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Style w:val="a4"/>
          <w:rFonts w:ascii="Helvetica Neue" w:hAnsi="Helvetica Neue"/>
          <w:color w:val="2F4F4F"/>
          <w:sz w:val="21"/>
          <w:szCs w:val="21"/>
        </w:rPr>
        <w:t>Этический Кодекс Руководителя </w:t>
      </w:r>
      <w:proofErr w:type="spellStart"/>
      <w:r w:rsidRPr="00F519D3">
        <w:rPr>
          <w:rStyle w:val="a4"/>
          <w:rFonts w:ascii="Helvetica Neue" w:hAnsi="Helvetica Neue"/>
          <w:color w:val="2F4F4F"/>
          <w:sz w:val="21"/>
          <w:szCs w:val="21"/>
        </w:rPr>
        <w:t>балинтовских</w:t>
      </w:r>
      <w:proofErr w:type="spellEnd"/>
      <w:r w:rsidRPr="00F519D3">
        <w:rPr>
          <w:rStyle w:val="a4"/>
          <w:rFonts w:ascii="Helvetica Neue" w:hAnsi="Helvetica Neue"/>
          <w:color w:val="2F4F4F"/>
          <w:sz w:val="21"/>
          <w:szCs w:val="21"/>
        </w:rPr>
        <w:t> групп 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2F4F4F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1. Общие положения.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Этический Кодекс Руководителя балинтовских групп определяет профессиональные стандарты и общие принципы поведения Руководителя в отношении специалистов,  пациентов, коллег и профессиональных сообществ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1.1. Цель настоящего Кодекса – закрепить правила работы Руководителя балинтовских групп, информировать и защищать специалистов, участвующих в балинтовской группе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1.2. Все члены комитета  следуют в своей профессиональной деятельности действующему Этическому Кодексу ОППЛ и  руководствуются им в своих обязательствах перед участниками балинтовской группы: специалистами, пациентами, коллегами и обществом в целом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1.3. Настоящий Кодекс не предусматривает всех возникающих в практике ситуаций, а является основой для разрешения этических вопросов и улучшения практической работы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1.4. Балинтовская группа является официальной формой взаимодействия, при которой участник группы регулярно обсуждает свою работу с Руководителем и другими участниками балинтовской группы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1.5. В задачу балинтовской группы входит совместная работа с целью повышения эффективности практики участников группы, профилактики эмоционального выгорания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1.6. В случае нарушения Руководителем Кодекса этики и практики на него может быть подана жалоба в Этическую Комиссию ОППЛ.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333333"/>
          <w:sz w:val="21"/>
          <w:szCs w:val="21"/>
        </w:rPr>
        <w:t> 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2. Определение </w:t>
      </w:r>
      <w:proofErr w:type="spellStart"/>
      <w:r w:rsidRPr="00F519D3">
        <w:rPr>
          <w:rFonts w:ascii="Helvetica Neue" w:hAnsi="Helvetica Neue"/>
          <w:color w:val="2F4F4F"/>
          <w:sz w:val="21"/>
          <w:szCs w:val="21"/>
        </w:rPr>
        <w:t>балинтовской</w:t>
      </w:r>
      <w:proofErr w:type="spellEnd"/>
      <w:r w:rsidRPr="00F519D3">
        <w:rPr>
          <w:rFonts w:ascii="Helvetica Neue" w:hAnsi="Helvetica Neue"/>
          <w:color w:val="2F4F4F"/>
          <w:sz w:val="21"/>
          <w:szCs w:val="21"/>
        </w:rPr>
        <w:t> работы.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2.1. Балинтовская работа представляет собой процесс совместной групповой работы специалиста с руководителем/руководителем и коруководлителем, и участниками балинтовской группы с целью повышения профессионального уровня, профилактики эмоционального выгорания, закрепления этических и профессиональных норм в практике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2.2. В зависимости от потребностей специалиста, существует несколько форм ведения балинтовских групп (см. п.3). Разные формы балинтовских групп могут использоваться одновременно. Настоящий Кодекс применим ко всем формам балинтовских групп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2.3. Регулярность работы в балинтовской группе  зависит от опыта специалиста, условий и объема его работы. 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333333"/>
          <w:sz w:val="21"/>
          <w:szCs w:val="21"/>
        </w:rPr>
        <w:t> 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3. Формы </w:t>
      </w:r>
      <w:proofErr w:type="spellStart"/>
      <w:r w:rsidRPr="00F519D3">
        <w:rPr>
          <w:rFonts w:ascii="Helvetica Neue" w:hAnsi="Helvetica Neue"/>
          <w:color w:val="2F4F4F"/>
          <w:sz w:val="21"/>
          <w:szCs w:val="21"/>
        </w:rPr>
        <w:t>балинтовской</w:t>
      </w:r>
      <w:proofErr w:type="spellEnd"/>
      <w:r w:rsidRPr="00F519D3">
        <w:rPr>
          <w:rFonts w:ascii="Helvetica Neue" w:hAnsi="Helvetica Neue"/>
          <w:color w:val="2F4F4F"/>
          <w:sz w:val="21"/>
          <w:szCs w:val="21"/>
        </w:rPr>
        <w:t> группы. 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3.1. Однородные группы. 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3.2. Смешанные группы (специалисты разных направлений, начинающие специалисты, студенты и уже опытные специалисты), 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3.3. Демонстрационные группы (на конгрессах, где существует два круга: внутренний и внешний).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 Во всех формах работы соблюдаются правила анонимности и конфиденциальности.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333333"/>
          <w:sz w:val="21"/>
          <w:szCs w:val="21"/>
        </w:rPr>
        <w:t> 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4. Кодекс этики.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Кодекс этики включает в себя описание основных ценностей балинтовской группы и принципов, вытекающих из них.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4.1. Основные ценности Балинтовской группы - это ответственность, беспристрастность и уважение. Руководитель балинтовских групп должен заботиться об этичности своей работы независимо от того, оплачивается ли их работа, и какую форму работы они используют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4.2. Конфиденциальность.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Информация, представленная в балинтовской группе, строго конфиденциальна. Руководитель должен ясно обозначить границы конфиденциальности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4.3. Безопасность.</w:t>
      </w:r>
      <w:r w:rsidRPr="00F519D3">
        <w:rPr>
          <w:rFonts w:ascii="Helvetica Neue" w:hAnsi="Helvetica Neue"/>
          <w:color w:val="2F4F4F"/>
          <w:sz w:val="21"/>
          <w:szCs w:val="21"/>
        </w:rPr>
        <w:br/>
      </w:r>
      <w:r w:rsidRPr="00F519D3">
        <w:rPr>
          <w:rFonts w:ascii="Helvetica Neue" w:hAnsi="Helvetica Neue"/>
          <w:color w:val="2F4F4F"/>
          <w:sz w:val="21"/>
          <w:szCs w:val="21"/>
        </w:rPr>
        <w:lastRenderedPageBreak/>
        <w:t>Следует сделать все возможное, чтобы обеспечить безопасность референта и их клиента/ пациента в ходе работы балинтовской группы.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4.4. Эффективность.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Руководитель должен предпринять необходимые меры для обеспечения эффективности работы участников балинтовской группы. 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4.5. Участие в балинтовской группе фиксируется Руководителем в ОППЛ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4.6. Компетентность.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Руководитель должен оценивать собственную компетентность, развивать ее и действовать в пределах своей профессиональной компетенции, а также проходить супервизию собственной балинтовской работы. В ситуации предоставления специалистом случая, выходящего за рамки компетенции Руководителя, он должен сообщить об этом специалисту.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333333"/>
          <w:sz w:val="21"/>
          <w:szCs w:val="21"/>
        </w:rPr>
        <w:t> 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5. Кодекс практики.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Кодекс практики описывает применение принципов этики в балинтовской группе.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333333"/>
          <w:sz w:val="21"/>
          <w:szCs w:val="21"/>
        </w:rPr>
        <w:t> 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6.1. Ответственность.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6.1.1.Руководитель совместно со специалистами обязаны использовать время балинтовской группы с наибольшей эффективностью для помощи в работе с клиентом/ пациентом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6.1.2. Руководитель обязан соблюдать границы между балинтовской группой и другими профессиональными отношениями: обучением, личной или групповой психотерапией, консультированием, руководством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6.1.3. Руководитель и специалисты должны заботиться о том, чтобы личные или социальные контакты между ними не препятствовали эффективности работы в балинтовской группе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6.1.4. Руководитель не имеют права проводить балинтовскую группу и индивидуальное консультирование, психотерапию для одного и того же специалиста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6.1.5. Руководитель не имеют права использовать участников балинтовской группы в финансовом, сексуальном, эмоциональном или в каком-либо другом отношении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6.1.6. Специалист обязан сообщать Руководителю об отношениях с клиентом/пациентом, выходящих за рамки консультативных, терапевтических отношений, так как они могут влиять на его объективность и эффективность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6.1.7. Руководитель обязан признавать личную ценность и достоинство участников балинтовской группы и их клиентов/пациентов. С уважением относиться к особенностям поведения, обусловленных происхождением, социальным положением, расой, возрастом, убеждениями, сексуальной ориентацией и ограничениями физических возможностей. Работа Руководителя включает в себя осознавание любых проявлений дискриминации, которые могут возникнуть между специалистом и его клиентом, пациентом или между Руководителем и специалистом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6.1.8. В случае, когда работа  специалиста не согласуется с Этическим Кодексом ОППЛ, Руководитель обязан обсудить это с ним и, при необходимости, обратится в Этическую Комиссию ОППЛ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6.1.9. В случае если способность специалиста к работе нарушена вследствие личных или эмоциональных затруднений, в силу болезни, под влиянием ПАВ или по другой причине, Руководитель обязан указать на это специалисту, и убедиться, что необходимые меры приняты и при необходимости обратиться в Этическую Комиссию ОППЛ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6.1.10. Руководитель обязан вести себя в своей профессиональной деятельности так, чтобы повышать доверие общества к работе руководителя балинтовских групп, к работе специалистов и к деятельности ОППЛ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6.1.11. Если Руководитель замечает, что другой Руководитель ведет себя не должным образом, и это не удается разрешить после обсуждения с ним его поведения, он должен обратиться в Этическую комиссию ОППЛ, сохраняя, при этом, границы конфиденциальности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6.2.  Компетентность.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6.2.1. Руководитель несет ответственность за продолжение собственного </w:t>
      </w:r>
      <w:r w:rsidRPr="00F519D3">
        <w:rPr>
          <w:rFonts w:ascii="Helvetica Neue" w:hAnsi="Helvetica Neue"/>
          <w:color w:val="2F4F4F"/>
          <w:sz w:val="21"/>
          <w:szCs w:val="21"/>
        </w:rPr>
        <w:lastRenderedPageBreak/>
        <w:t>профессионального развития.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6.2.2. Руководитель обязан систематически проходить собственную супервизию.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6.2.3. Руководитель должен осознавать пределы своей компетентности и работать в этих пределах.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6.2.4. Руководитель обязан воздерживаться от руководства, временно или постоянно, если его работа нарушается в силу личных или эмоциональных затруднений, болезни, под влиянием ПАВ или по любой другой причине.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333333"/>
          <w:sz w:val="21"/>
          <w:szCs w:val="21"/>
        </w:rPr>
        <w:t> 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7. Организация работы.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7.1. Договор о работе в </w:t>
      </w:r>
      <w:proofErr w:type="spellStart"/>
      <w:r w:rsidRPr="00F519D3">
        <w:rPr>
          <w:rFonts w:ascii="Helvetica Neue" w:hAnsi="Helvetica Neue"/>
          <w:color w:val="2F4F4F"/>
          <w:sz w:val="21"/>
          <w:szCs w:val="21"/>
        </w:rPr>
        <w:t>балинтовской</w:t>
      </w:r>
      <w:proofErr w:type="spellEnd"/>
      <w:r w:rsidRPr="00F519D3">
        <w:rPr>
          <w:rFonts w:ascii="Helvetica Neue" w:hAnsi="Helvetica Neue"/>
          <w:color w:val="2F4F4F"/>
          <w:sz w:val="21"/>
          <w:szCs w:val="21"/>
        </w:rPr>
        <w:t> группе.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7.1.1. Руководитель несет ответственность за разъяснение всех договорных обязательств.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7.1.2. В случае необходимости Руководитель должен предоставить участникам группы сведения о своем образовании и квалификации. 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7.1.3. Руководитель должен организовать условия для проведения группы: место, время, частота встреч, а также достигнуть согласия относительно ведения записей и конфиденциальности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7.1.4. Руководитель и участники балинтовской группы должны оговорить свои ожидания и требования в отношении друг друга.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7.1.5. Руководитель, работающий с проходящими обучение специалистами, должен сообщить о границах своей ответственности и обязанностях перед ними, перед ОППЛ, другими организациями, а также относительно проводимого учебного курса и возможной аттестации обучающихся.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333333"/>
          <w:sz w:val="21"/>
          <w:szCs w:val="21"/>
        </w:rPr>
        <w:t> 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8. Конфиденциальность.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8.1. Принцип конфиденциальности подразумевает, что Руководитель не имеют права раскрывать сведения об участниках балинтовской группы и их клиентах/пациентах кому бы то ни было, если на это не получено согласие всех сторон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8.2. При заключении договора Руководитель  информирует участников группы, о том, что он будет супервизировать работу группы. 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8.3. Руководитель должен помочь специалистам представить их работу так, чтобы была защищена личная информация пациентов (не называя имен, характерных особенностей, принадлежности к тем или иным группам или организациям, отличительных свойств пациентов или членов их семей). 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8.4. Руководитель не должен раскрывать конфиденциальные сведения об участниках балинтовской группы или их клиентах/ пациентах кому бы то ни было за исключением особых случаев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8.5. Информация о работе со специалистом может быть использована для публикации или выступления только с разрешения участников балинтовской группы с соблюдением анонимности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8.6. В случае, если у Руководителя возникает необходимость проконсультироваться с коллегами, обсуждение должно носить целенаправленный и профессиональный характер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8.7. В балинтовской группе ответственность за соблюдение конфиденциальности, ложится на всех участников группы.</w:t>
      </w:r>
    </w:p>
    <w:p w:rsidR="00F519D3" w:rsidRP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333333"/>
          <w:sz w:val="21"/>
          <w:szCs w:val="21"/>
        </w:rPr>
        <w:t> </w:t>
      </w:r>
    </w:p>
    <w:p w:rsidR="00F519D3" w:rsidRDefault="00F519D3" w:rsidP="00F519D3">
      <w:pPr>
        <w:pStyle w:val="a3"/>
        <w:shd w:val="clear" w:color="auto" w:fill="91E3DE"/>
        <w:rPr>
          <w:rFonts w:ascii="Helvetica Neue" w:hAnsi="Helvetica Neue"/>
          <w:color w:val="333333"/>
          <w:sz w:val="21"/>
          <w:szCs w:val="21"/>
        </w:rPr>
      </w:pPr>
      <w:r w:rsidRPr="00F519D3">
        <w:rPr>
          <w:rFonts w:ascii="Helvetica Neue" w:hAnsi="Helvetica Neue"/>
          <w:color w:val="2F4F4F"/>
          <w:sz w:val="21"/>
          <w:szCs w:val="21"/>
        </w:rPr>
        <w:t>9. Проведение </w:t>
      </w:r>
      <w:proofErr w:type="spellStart"/>
      <w:r w:rsidRPr="00F519D3">
        <w:rPr>
          <w:rFonts w:ascii="Helvetica Neue" w:hAnsi="Helvetica Neue"/>
          <w:color w:val="2F4F4F"/>
          <w:sz w:val="21"/>
          <w:szCs w:val="21"/>
        </w:rPr>
        <w:t>балинтовской</w:t>
      </w:r>
      <w:proofErr w:type="spellEnd"/>
      <w:r w:rsidRPr="00F519D3">
        <w:rPr>
          <w:rFonts w:ascii="Helvetica Neue" w:hAnsi="Helvetica Neue"/>
          <w:color w:val="2F4F4F"/>
          <w:sz w:val="21"/>
          <w:szCs w:val="21"/>
        </w:rPr>
        <w:t> группы.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9.1. Если в ходе работы балинтовской группы обнаруживается, что специалисту нужно пройти индивидуальное консультирование, психотерапию для того, чтобы продолжать работать эффективно, руководитель не имеет права указывать ему на это.</w:t>
      </w:r>
      <w:r w:rsidRPr="00F519D3">
        <w:rPr>
          <w:rFonts w:ascii="Helvetica Neue" w:hAnsi="Helvetica Neue"/>
          <w:color w:val="2F4F4F"/>
          <w:sz w:val="21"/>
          <w:szCs w:val="21"/>
        </w:rPr>
        <w:br/>
        <w:t>9.2. Руководитель должен убедиться, что участники балинтовской группы понимают различие между консультированием, терапией, балинтовской группой и обучением.</w:t>
      </w:r>
    </w:p>
    <w:p w:rsidR="00F519D3" w:rsidRDefault="00F519D3" w:rsidP="00F519D3"/>
    <w:p w:rsidR="00346288" w:rsidRDefault="00F519D3">
      <w:bookmarkStart w:id="0" w:name="_GoBack"/>
      <w:bookmarkEnd w:id="0"/>
    </w:p>
    <w:sectPr w:rsidR="00346288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D3"/>
    <w:rsid w:val="003409EE"/>
    <w:rsid w:val="003F5B74"/>
    <w:rsid w:val="005D03C9"/>
    <w:rsid w:val="00F519D3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046E5540-DB4C-0243-B8A8-7395F945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9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F51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1</cp:revision>
  <dcterms:created xsi:type="dcterms:W3CDTF">2020-09-07T11:15:00Z</dcterms:created>
  <dcterms:modified xsi:type="dcterms:W3CDTF">2020-09-07T11:21:00Z</dcterms:modified>
</cp:coreProperties>
</file>