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A99" w:rsidRDefault="00F06A99" w:rsidP="00F06A99">
      <w:pPr>
        <w:shd w:val="clear" w:color="auto" w:fill="FFFFFF"/>
        <w:jc w:val="center"/>
        <w:rPr>
          <w:rStyle w:val="a4"/>
          <w:rFonts w:ascii="Open Sans" w:hAnsi="Open Sans"/>
          <w:color w:val="03A9F4"/>
          <w:u w:val="none"/>
        </w:rPr>
      </w:pPr>
      <w:r>
        <w:rPr>
          <w:rFonts w:ascii="Open Sans" w:hAnsi="Open Sans"/>
          <w:color w:val="46707F"/>
        </w:rPr>
        <w:fldChar w:fldCharType="begin"/>
      </w:r>
      <w:r>
        <w:rPr>
          <w:rFonts w:ascii="Open Sans" w:hAnsi="Open Sans"/>
          <w:color w:val="46707F"/>
        </w:rPr>
        <w:instrText xml:space="preserve"> HYPERLINK "https://ru.balintrt.com/publishing-house-psyllabus/" </w:instrText>
      </w:r>
      <w:r>
        <w:rPr>
          <w:rFonts w:ascii="Open Sans" w:hAnsi="Open Sans"/>
          <w:color w:val="46707F"/>
        </w:rPr>
        <w:fldChar w:fldCharType="separate"/>
      </w:r>
    </w:p>
    <w:p w:rsidR="00F06A99" w:rsidRDefault="00F06A99" w:rsidP="00F06A99">
      <w:pPr>
        <w:pStyle w:val="3"/>
        <w:shd w:val="clear" w:color="auto" w:fill="FFFFFF"/>
        <w:spacing w:before="0"/>
        <w:jc w:val="center"/>
        <w:rPr>
          <w:color w:val="17252A"/>
          <w:sz w:val="54"/>
          <w:szCs w:val="54"/>
        </w:rPr>
      </w:pPr>
      <w:r>
        <w:rPr>
          <w:rFonts w:ascii="Open Sans" w:hAnsi="Open Sans"/>
          <w:color w:val="17252A"/>
          <w:sz w:val="54"/>
          <w:szCs w:val="54"/>
        </w:rPr>
        <w:t>Издательство “Псиллабус”</w:t>
      </w:r>
    </w:p>
    <w:p w:rsidR="00F06A99" w:rsidRDefault="00F06A99" w:rsidP="00F06A99">
      <w:pPr>
        <w:shd w:val="clear" w:color="auto" w:fill="FFFFFF"/>
        <w:jc w:val="center"/>
        <w:rPr>
          <w:rFonts w:ascii="Open Sans" w:hAnsi="Open Sans"/>
          <w:color w:val="46707F"/>
        </w:rPr>
      </w:pPr>
      <w:r>
        <w:rPr>
          <w:rFonts w:ascii="Open Sans" w:hAnsi="Open Sans"/>
          <w:color w:val="46707F"/>
        </w:rPr>
        <w:fldChar w:fldCharType="end"/>
      </w:r>
    </w:p>
    <w:p w:rsidR="00F06A99" w:rsidRDefault="00F06A99" w:rsidP="00F06A99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/>
          <w:color w:val="000001"/>
          <w:sz w:val="27"/>
          <w:szCs w:val="27"/>
        </w:rPr>
      </w:pPr>
      <w:r>
        <w:rPr>
          <w:rFonts w:ascii="Open Sans" w:hAnsi="Open Sans"/>
          <w:color w:val="000001"/>
          <w:sz w:val="27"/>
          <w:szCs w:val="27"/>
        </w:rPr>
        <w:t>Издательство «ПСИЛЛАБУС» — проект Русского Балинтовского Общества. Его цель — издание книг о Балинтовской работе для российских специалистов. Первые три книги уже изданы на русском и английском языках.</w:t>
      </w:r>
    </w:p>
    <w:p w:rsidR="00F06A99" w:rsidRDefault="00F06A99" w:rsidP="00F06A99">
      <w:pPr>
        <w:pStyle w:val="a3"/>
        <w:shd w:val="clear" w:color="auto" w:fill="FFFFFF"/>
        <w:spacing w:before="0" w:beforeAutospacing="0" w:after="0" w:afterAutospacing="0"/>
        <w:rPr>
          <w:rFonts w:ascii="Open Sans" w:hAnsi="Open Sans"/>
          <w:color w:val="000001"/>
          <w:sz w:val="27"/>
          <w:szCs w:val="27"/>
        </w:rPr>
      </w:pPr>
      <w:r>
        <w:rPr>
          <w:rFonts w:ascii="Open Sans" w:hAnsi="Open Sans"/>
          <w:color w:val="000001"/>
          <w:sz w:val="27"/>
          <w:szCs w:val="27"/>
        </w:rPr>
        <w:t>Более подробную информацию об издательстве PSYLLABUS и его книгах можно найти по адресу</w:t>
      </w:r>
    </w:p>
    <w:p w:rsidR="00F06A99" w:rsidRPr="00F06A99" w:rsidRDefault="00F06A99" w:rsidP="00F06A99">
      <w:pPr>
        <w:pStyle w:val="a3"/>
        <w:shd w:val="clear" w:color="auto" w:fill="FFFFFF"/>
        <w:spacing w:before="0" w:beforeAutospacing="0" w:after="0" w:afterAutospacing="0"/>
        <w:rPr>
          <w:rFonts w:ascii="Open Sans" w:hAnsi="Open Sans"/>
          <w:color w:val="000001"/>
          <w:sz w:val="27"/>
          <w:szCs w:val="27"/>
          <w:lang w:val="en-US"/>
        </w:rPr>
      </w:pPr>
      <w:hyperlink r:id="rId4" w:history="1">
        <w:r w:rsidRPr="000559DD">
          <w:rPr>
            <w:rStyle w:val="a4"/>
            <w:rFonts w:ascii="Open Sans" w:hAnsi="Open Sans"/>
            <w:sz w:val="27"/>
            <w:szCs w:val="27"/>
            <w:lang w:val="en-US"/>
          </w:rPr>
          <w:t>WWW.P</w:t>
        </w:r>
        <w:r w:rsidRPr="000559DD">
          <w:rPr>
            <w:rStyle w:val="a4"/>
            <w:rFonts w:ascii="Open Sans" w:hAnsi="Open Sans"/>
            <w:sz w:val="27"/>
            <w:szCs w:val="27"/>
            <w:lang w:val="en-US"/>
          </w:rPr>
          <w:t>S</w:t>
        </w:r>
        <w:r w:rsidRPr="000559DD">
          <w:rPr>
            <w:rStyle w:val="a4"/>
            <w:rFonts w:ascii="Open Sans" w:hAnsi="Open Sans"/>
            <w:sz w:val="27"/>
            <w:szCs w:val="27"/>
            <w:lang w:val="en-US"/>
          </w:rPr>
          <w:t>YLLABUS.BIZ</w:t>
        </w:r>
      </w:hyperlink>
      <w:r>
        <w:rPr>
          <w:rFonts w:ascii="Open Sans" w:hAnsi="Open Sans"/>
          <w:color w:val="000001"/>
          <w:sz w:val="27"/>
          <w:szCs w:val="27"/>
          <w:lang w:val="en-US"/>
        </w:rPr>
        <w:t xml:space="preserve"> </w:t>
      </w:r>
    </w:p>
    <w:p w:rsidR="00F06A99" w:rsidRDefault="00F06A99" w:rsidP="00F06A99">
      <w:pPr>
        <w:shd w:val="clear" w:color="auto" w:fill="FFFFFF"/>
        <w:jc w:val="center"/>
        <w:rPr>
          <w:rFonts w:ascii="Open Sans" w:hAnsi="Open Sans"/>
          <w:color w:val="46707F"/>
        </w:rPr>
      </w:pPr>
      <w:hyperlink r:id="rId5" w:tgtFrame="_blank" w:history="1">
        <w:r>
          <w:rPr>
            <w:rFonts w:ascii="Open Sans" w:hAnsi="Open Sans"/>
            <w:b/>
            <w:bCs/>
            <w:caps/>
            <w:color w:val="FFFFFF"/>
            <w:spacing w:val="15"/>
            <w:sz w:val="18"/>
            <w:szCs w:val="18"/>
            <w:bdr w:val="single" w:sz="12" w:space="9" w:color="03A9F4" w:frame="1"/>
            <w:shd w:val="clear" w:color="auto" w:fill="03A9F4"/>
          </w:rPr>
          <w:br/>
        </w:r>
      </w:hyperlink>
    </w:p>
    <w:p w:rsidR="00F06A99" w:rsidRDefault="00F06A99" w:rsidP="00F06A99">
      <w:pPr>
        <w:shd w:val="clear" w:color="auto" w:fill="F5FAFD"/>
        <w:jc w:val="center"/>
        <w:outlineLvl w:val="4"/>
        <w:rPr>
          <w:rFonts w:ascii="Open Sans" w:eastAsia="Times New Roman" w:hAnsi="Open Sans" w:cs="Times New Roman"/>
          <w:b/>
          <w:bCs/>
          <w:color w:val="17252A"/>
          <w:sz w:val="27"/>
          <w:szCs w:val="27"/>
          <w:lang w:eastAsia="ru-RU"/>
        </w:rPr>
      </w:pPr>
    </w:p>
    <w:p w:rsidR="00F06A99" w:rsidRDefault="00F06A99" w:rsidP="00F06A99">
      <w:pPr>
        <w:shd w:val="clear" w:color="auto" w:fill="F5FAFD"/>
        <w:jc w:val="center"/>
        <w:outlineLvl w:val="4"/>
        <w:rPr>
          <w:rFonts w:ascii="Open Sans" w:eastAsia="Times New Roman" w:hAnsi="Open Sans" w:cs="Times New Roman"/>
          <w:b/>
          <w:bCs/>
          <w:color w:val="17252A"/>
          <w:sz w:val="27"/>
          <w:szCs w:val="27"/>
          <w:lang w:eastAsia="ru-RU"/>
        </w:rPr>
      </w:pPr>
    </w:p>
    <w:p w:rsidR="00F06A99" w:rsidRPr="00F06A99" w:rsidRDefault="00F06A99" w:rsidP="00F06A99">
      <w:pPr>
        <w:shd w:val="clear" w:color="auto" w:fill="FFFFFF"/>
        <w:jc w:val="center"/>
        <w:rPr>
          <w:rFonts w:ascii="Open Sans" w:eastAsia="Times New Roman" w:hAnsi="Open Sans" w:cs="Times New Roman"/>
          <w:color w:val="46707F"/>
          <w:lang w:eastAsia="ru-RU"/>
        </w:rPr>
      </w:pPr>
    </w:p>
    <w:p w:rsidR="00F06A99" w:rsidRDefault="00F06A99" w:rsidP="00F06A99">
      <w:pPr>
        <w:pStyle w:val="4"/>
        <w:shd w:val="clear" w:color="auto" w:fill="F5FAFD"/>
        <w:spacing w:before="0"/>
        <w:jc w:val="center"/>
        <w:rPr>
          <w:rFonts w:ascii="Open Sans" w:hAnsi="Open Sans"/>
          <w:color w:val="17252A"/>
          <w:sz w:val="34"/>
          <w:szCs w:val="34"/>
        </w:rPr>
      </w:pPr>
    </w:p>
    <w:p w:rsidR="00F06A99" w:rsidRDefault="00F06A99" w:rsidP="00F06A99">
      <w:pPr>
        <w:pStyle w:val="4"/>
        <w:shd w:val="clear" w:color="auto" w:fill="F5FAFD"/>
        <w:spacing w:before="0"/>
        <w:jc w:val="center"/>
        <w:rPr>
          <w:rFonts w:ascii="Open Sans" w:hAnsi="Open Sans"/>
          <w:color w:val="17252A"/>
          <w:sz w:val="34"/>
          <w:szCs w:val="34"/>
        </w:rPr>
      </w:pPr>
      <w:r>
        <w:rPr>
          <w:rFonts w:ascii="Open Sans" w:hAnsi="Open Sans"/>
          <w:color w:val="17252A"/>
          <w:sz w:val="34"/>
          <w:szCs w:val="34"/>
        </w:rPr>
        <w:t>ХАЙДЕ ОТТЕН</w:t>
      </w:r>
    </w:p>
    <w:p w:rsidR="00F06A99" w:rsidRDefault="00F06A99" w:rsidP="00F06A99">
      <w:pPr>
        <w:pStyle w:val="a3"/>
        <w:shd w:val="clear" w:color="auto" w:fill="F5FAFD"/>
        <w:spacing w:before="0" w:beforeAutospacing="0" w:after="0" w:afterAutospacing="0"/>
        <w:jc w:val="center"/>
        <w:rPr>
          <w:rFonts w:ascii="Open Sans" w:hAnsi="Open Sans"/>
          <w:b/>
          <w:bCs/>
          <w:color w:val="000001"/>
        </w:rPr>
      </w:pPr>
    </w:p>
    <w:p w:rsidR="00F06A99" w:rsidRDefault="00F06A99" w:rsidP="00F06A99">
      <w:pPr>
        <w:pStyle w:val="a3"/>
        <w:shd w:val="clear" w:color="auto" w:fill="F5FAFD"/>
        <w:spacing w:before="0" w:beforeAutospacing="0" w:after="0" w:afterAutospacing="0"/>
        <w:jc w:val="center"/>
        <w:rPr>
          <w:rFonts w:ascii="Open Sans" w:hAnsi="Open Sans"/>
          <w:b/>
          <w:bCs/>
          <w:color w:val="000001"/>
        </w:rPr>
      </w:pPr>
      <w:r>
        <w:rPr>
          <w:rFonts w:ascii="Open Sans" w:hAnsi="Open Sans"/>
          <w:b/>
          <w:bCs/>
          <w:color w:val="000001"/>
        </w:rPr>
        <w:t>ЛИДЕР БАЛИНТОВСКОЙ ГРУППЫ </w:t>
      </w:r>
      <w:r>
        <w:rPr>
          <w:rFonts w:ascii="Open Sans" w:hAnsi="Open Sans"/>
          <w:b/>
          <w:bCs/>
          <w:color w:val="000001"/>
        </w:rPr>
        <w:br/>
        <w:t>Практическое руководство</w:t>
      </w:r>
    </w:p>
    <w:p w:rsidR="00F06A99" w:rsidRDefault="00F06A99" w:rsidP="00F06A99">
      <w:pPr>
        <w:pStyle w:val="a3"/>
        <w:shd w:val="clear" w:color="auto" w:fill="F5FAFD"/>
        <w:spacing w:before="0" w:beforeAutospacing="0" w:after="240" w:afterAutospacing="0"/>
        <w:rPr>
          <w:rFonts w:ascii="Open Sans" w:hAnsi="Open Sans"/>
          <w:color w:val="000001"/>
        </w:rPr>
      </w:pPr>
      <w:r>
        <w:rPr>
          <w:rFonts w:ascii="Open Sans" w:hAnsi="Open Sans"/>
          <w:color w:val="000001"/>
        </w:rPr>
        <w:t>Эта книга будет интересна и полезна различным специалистам, вовлеченным в практику Балинтовской групповой работы и заинтересованным в получении сертификата лидера Балинтовской группы.</w:t>
      </w:r>
    </w:p>
    <w:p w:rsidR="00F06A99" w:rsidRDefault="00F06A99" w:rsidP="00F06A99">
      <w:pPr>
        <w:pStyle w:val="a3"/>
        <w:shd w:val="clear" w:color="auto" w:fill="F5FAFD"/>
        <w:spacing w:before="0" w:beforeAutospacing="0" w:after="240" w:afterAutospacing="0"/>
        <w:rPr>
          <w:rFonts w:ascii="Open Sans" w:hAnsi="Open Sans"/>
          <w:color w:val="000001"/>
        </w:rPr>
      </w:pPr>
      <w:r>
        <w:rPr>
          <w:rFonts w:ascii="Open Sans" w:hAnsi="Open Sans"/>
          <w:color w:val="000001"/>
        </w:rPr>
        <w:t>Доступно, понятным языком книга рассказывает о многочисленных аспектах подготовки и работы лидеров Балинтовских групп. В ней описываются виды Балинтовских групп и их главные особенности, а также то, чем Балинтовская группа не является по определению.</w:t>
      </w:r>
    </w:p>
    <w:p w:rsidR="00F06A99" w:rsidRDefault="00F06A99" w:rsidP="00F06A99">
      <w:pPr>
        <w:pStyle w:val="a3"/>
        <w:shd w:val="clear" w:color="auto" w:fill="F5FAFD"/>
        <w:spacing w:before="0" w:beforeAutospacing="0" w:after="240" w:afterAutospacing="0"/>
        <w:rPr>
          <w:rFonts w:ascii="Open Sans" w:hAnsi="Open Sans"/>
          <w:color w:val="000001"/>
        </w:rPr>
      </w:pPr>
      <w:r>
        <w:rPr>
          <w:rFonts w:ascii="Open Sans" w:hAnsi="Open Sans"/>
          <w:color w:val="000001"/>
        </w:rPr>
        <w:t>Автор подробно рассматривает такие вопросы, как позиция лидера в Балинтовской группе, в чем заключается работа со-лидера, что такое параллельный процесс, какова специфика тренинга лидеров: требования, стадии и критерии. В книге говорится и о стилях руководства различными группами, например, такими как гомогенные и гетерогенные группы, группы с врачами, психологами и психиатрами, а также представителями других помогающих профессий.</w:t>
      </w:r>
    </w:p>
    <w:p w:rsidR="00F06A99" w:rsidRDefault="00F06A99" w:rsidP="00F06A99">
      <w:pPr>
        <w:pStyle w:val="a3"/>
        <w:shd w:val="clear" w:color="auto" w:fill="F5FAFD"/>
        <w:spacing w:before="0" w:beforeAutospacing="0" w:after="240" w:afterAutospacing="0"/>
        <w:rPr>
          <w:rFonts w:ascii="Open Sans" w:hAnsi="Open Sans"/>
          <w:color w:val="000001"/>
        </w:rPr>
      </w:pPr>
      <w:r>
        <w:rPr>
          <w:rFonts w:ascii="Open Sans" w:hAnsi="Open Sans"/>
          <w:color w:val="000001"/>
        </w:rPr>
        <w:t>Книга охватывает аспект супервизий для лидеров Балинтовских групп и обозначает ключевые задачи лидеров в классической и в скульптурной группе. В специальном Приложении приведены основные положения Международной Балинтовской Федерации для аккредитации Балинтовских лидеров и критерии для их аккредитации в Германии.</w:t>
      </w:r>
    </w:p>
    <w:p w:rsidR="00F06A99" w:rsidRDefault="00F06A99" w:rsidP="00F06A99">
      <w:pPr>
        <w:pStyle w:val="a3"/>
        <w:shd w:val="clear" w:color="auto" w:fill="F5FAFD"/>
        <w:spacing w:before="0" w:beforeAutospacing="0" w:after="0" w:afterAutospacing="0"/>
        <w:rPr>
          <w:rFonts w:ascii="Open Sans" w:hAnsi="Open Sans"/>
          <w:color w:val="000001"/>
        </w:rPr>
      </w:pPr>
      <w:r>
        <w:rPr>
          <w:rFonts w:ascii="Open Sans" w:hAnsi="Open Sans"/>
          <w:color w:val="000001"/>
        </w:rPr>
        <w:t>Издание напечатано в русской и английской версиях, скомпонованных в одну книгу, и дополнено оригинальными тематическими иллюстрациями.</w:t>
      </w:r>
    </w:p>
    <w:p w:rsidR="00F06A99" w:rsidRDefault="00F06A99" w:rsidP="00F06A99">
      <w:pPr>
        <w:pStyle w:val="a3"/>
        <w:shd w:val="clear" w:color="auto" w:fill="F5FAFD"/>
        <w:spacing w:before="0" w:beforeAutospacing="0" w:after="0" w:afterAutospacing="0"/>
        <w:rPr>
          <w:rFonts w:ascii="Open Sans" w:hAnsi="Open Sans"/>
          <w:b/>
          <w:bCs/>
          <w:color w:val="000001"/>
        </w:rPr>
      </w:pPr>
      <w:r>
        <w:rPr>
          <w:rFonts w:ascii="Open Sans" w:hAnsi="Open Sans"/>
          <w:b/>
          <w:bCs/>
          <w:color w:val="000001"/>
        </w:rPr>
        <w:t>Эта книга является совместным проектом доктора Хайде Оттен и издательства Psyllabus.</w:t>
      </w:r>
    </w:p>
    <w:p w:rsidR="00346288" w:rsidRDefault="000C3DAC"/>
    <w:p w:rsidR="00F06A99" w:rsidRDefault="00F06A99" w:rsidP="00F06A99">
      <w:pPr>
        <w:pStyle w:val="4"/>
        <w:shd w:val="clear" w:color="auto" w:fill="FFFFFF"/>
        <w:spacing w:before="0"/>
        <w:jc w:val="center"/>
        <w:rPr>
          <w:rFonts w:ascii="Open Sans" w:hAnsi="Open Sans"/>
          <w:color w:val="17252A"/>
          <w:sz w:val="34"/>
          <w:szCs w:val="34"/>
        </w:rPr>
      </w:pPr>
      <w:r>
        <w:rPr>
          <w:rFonts w:ascii="Open Sans" w:hAnsi="Open Sans"/>
          <w:color w:val="17252A"/>
          <w:sz w:val="34"/>
          <w:szCs w:val="34"/>
        </w:rPr>
        <w:lastRenderedPageBreak/>
        <w:t>МИКАЭЛ БАЛИНТ</w:t>
      </w:r>
    </w:p>
    <w:p w:rsidR="00F06A99" w:rsidRDefault="00F06A99" w:rsidP="00F06A9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Open Sans" w:hAnsi="Open Sans"/>
          <w:b/>
          <w:bCs/>
          <w:color w:val="000001"/>
          <w:sz w:val="26"/>
          <w:szCs w:val="26"/>
        </w:rPr>
      </w:pPr>
    </w:p>
    <w:p w:rsidR="00F06A99" w:rsidRDefault="00F06A99" w:rsidP="00F06A9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Open Sans" w:hAnsi="Open Sans"/>
          <w:b/>
          <w:bCs/>
          <w:color w:val="000001"/>
          <w:sz w:val="26"/>
          <w:szCs w:val="26"/>
        </w:rPr>
      </w:pPr>
      <w:r>
        <w:rPr>
          <w:rFonts w:ascii="Open Sans" w:hAnsi="Open Sans"/>
          <w:b/>
          <w:bCs/>
          <w:color w:val="000001"/>
          <w:sz w:val="26"/>
          <w:szCs w:val="26"/>
        </w:rPr>
        <w:t>ВРАЧ, ЕГО ПАЦИЕНТ И БОЛЕЗНЬ</w:t>
      </w:r>
    </w:p>
    <w:p w:rsidR="00F06A99" w:rsidRDefault="00F06A99" w:rsidP="00F06A99">
      <w:pPr>
        <w:pStyle w:val="a3"/>
        <w:shd w:val="clear" w:color="auto" w:fill="FFFFFF"/>
        <w:spacing w:before="0" w:beforeAutospacing="0" w:after="0" w:afterAutospacing="0"/>
        <w:jc w:val="center"/>
        <w:rPr>
          <w:rFonts w:ascii="Open Sans" w:hAnsi="Open Sans"/>
          <w:b/>
          <w:bCs/>
          <w:color w:val="000001"/>
          <w:sz w:val="26"/>
          <w:szCs w:val="26"/>
        </w:rPr>
      </w:pPr>
    </w:p>
    <w:p w:rsidR="00F06A99" w:rsidRDefault="00F06A99" w:rsidP="00F06A99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/>
          <w:color w:val="000001"/>
        </w:rPr>
      </w:pPr>
      <w:r>
        <w:rPr>
          <w:rFonts w:ascii="Open Sans" w:hAnsi="Open Sans"/>
          <w:color w:val="000001"/>
        </w:rPr>
        <w:t>Особая природа отношений врача-пациента не получала заслуженного внимания в традиционных учебниках. Книга доктора Балинта подробно рассказывает об одном из немногих систематических исследований, предпринятых в этой области.</w:t>
      </w:r>
    </w:p>
    <w:p w:rsidR="00F06A99" w:rsidRDefault="00F06A99" w:rsidP="00F06A99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/>
          <w:color w:val="000001"/>
        </w:rPr>
      </w:pPr>
      <w:r>
        <w:rPr>
          <w:rFonts w:ascii="Open Sans" w:hAnsi="Open Sans"/>
          <w:color w:val="000001"/>
        </w:rPr>
        <w:t>В течение нескольких лет в Тавистокской Клинике в Лондоне были организованы исследовательские семинары в форме дискуссионных групп для изучения роли психологического аспекта в общей медицинской практике. Дискуссии на семинарах показали, что самым часто используемым лекарством был сам врач: значение имели не только пузырек с лекарством или коробка таблеток, но и вся атмосфера, в которой лекарство давалось и принималось. Основной целью этого проекта стало тщательное исследование постоянно меняющихся отношений врача-пациента. Книга содержит множество реальных клинических случаев, представленных участниками дискуссионных семинаров для их обсуждения в группе.</w:t>
      </w:r>
    </w:p>
    <w:p w:rsidR="00F06A99" w:rsidRDefault="00F06A99" w:rsidP="00F06A99">
      <w:pPr>
        <w:pStyle w:val="a3"/>
        <w:shd w:val="clear" w:color="auto" w:fill="FFFFFF"/>
        <w:spacing w:before="0" w:beforeAutospacing="0" w:after="240" w:afterAutospacing="0"/>
        <w:rPr>
          <w:rFonts w:ascii="Open Sans" w:hAnsi="Open Sans"/>
          <w:color w:val="000001"/>
        </w:rPr>
      </w:pPr>
      <w:r>
        <w:rPr>
          <w:rFonts w:ascii="Open Sans" w:hAnsi="Open Sans"/>
          <w:color w:val="000001"/>
        </w:rPr>
        <w:t>Первое издание этой книги, опубликованное в 1957 году, вызвало восторженные отзывы из-за предложенных новаторских идей, касающихся отношений врача со своим пациентом и того, как эти отношения могли бы повлиять на лечение пациента. Во втором издании, впервые опубликованном в 1964 году, Балинт лишь немного изменил формат и текст, чтобы сохранить простоту и согласованность манеры изложения, устранить некоторые двусмысленности толкования и обозначить направление своих новых идей. Этот репринт второго издания, приуроченный к началу нового тысячелетия, содержит предисловие сына автора, профессора Джона А. Балинта о влиянии и значимости идей Балинта для современной медицины.</w:t>
      </w:r>
    </w:p>
    <w:p w:rsidR="00F06A99" w:rsidRDefault="00F06A99" w:rsidP="00F06A99">
      <w:pPr>
        <w:pStyle w:val="a3"/>
        <w:shd w:val="clear" w:color="auto" w:fill="FFFFFF"/>
        <w:spacing w:before="0" w:beforeAutospacing="0" w:after="0" w:afterAutospacing="0"/>
        <w:rPr>
          <w:rFonts w:ascii="Open Sans" w:hAnsi="Open Sans"/>
          <w:color w:val="000001"/>
        </w:rPr>
      </w:pPr>
      <w:r>
        <w:rPr>
          <w:rFonts w:ascii="Open Sans" w:hAnsi="Open Sans"/>
          <w:color w:val="000001"/>
        </w:rPr>
        <w:t>«Врач, его пациент и болезнь» – важная книга, поскольку она предлагает практикующим врачам по-новому взглянуть на свой ежедневный опыт и развить эффективные отношения со своими пациентами. Эта книга рекомендуется психиатрам, психотерапевтам, психологам, преподавателям медицины и, безусловно, врачам общей практики.</w:t>
      </w:r>
    </w:p>
    <w:p w:rsidR="00F06A99" w:rsidRDefault="00F06A99"/>
    <w:p w:rsidR="000C3DAC" w:rsidRPr="00F06A99" w:rsidRDefault="000C3DAC" w:rsidP="000C3DAC">
      <w:pPr>
        <w:shd w:val="clear" w:color="auto" w:fill="F5FAFD"/>
        <w:jc w:val="center"/>
        <w:outlineLvl w:val="4"/>
        <w:rPr>
          <w:rFonts w:ascii="Open Sans" w:eastAsia="Times New Roman" w:hAnsi="Open Sans" w:cs="Times New Roman"/>
          <w:b/>
          <w:bCs/>
          <w:color w:val="17252A"/>
          <w:sz w:val="27"/>
          <w:szCs w:val="27"/>
          <w:lang w:eastAsia="ru-RU"/>
        </w:rPr>
      </w:pPr>
    </w:p>
    <w:p w:rsidR="000C3DAC" w:rsidRDefault="000C3DAC" w:rsidP="000C3DAC">
      <w:pPr>
        <w:shd w:val="clear" w:color="auto" w:fill="F5FAFD"/>
        <w:jc w:val="center"/>
        <w:rPr>
          <w:rFonts w:ascii="Open Sans" w:eastAsia="Times New Roman" w:hAnsi="Open Sans" w:cs="Times New Roman"/>
          <w:b/>
          <w:bCs/>
          <w:color w:val="000001"/>
          <w:sz w:val="30"/>
          <w:szCs w:val="30"/>
          <w:lang w:eastAsia="ru-RU"/>
        </w:rPr>
      </w:pPr>
      <w:r w:rsidRPr="00F06A99">
        <w:rPr>
          <w:rFonts w:ascii="Open Sans" w:eastAsia="Times New Roman" w:hAnsi="Open Sans" w:cs="Times New Roman"/>
          <w:b/>
          <w:bCs/>
          <w:color w:val="000001"/>
          <w:sz w:val="30"/>
          <w:szCs w:val="30"/>
          <w:lang w:eastAsia="ru-RU"/>
        </w:rPr>
        <w:t>БАЛИНТОВСКИЙ ГРУППОВОЙ ТРЕНИНГ </w:t>
      </w:r>
      <w:r w:rsidRPr="00F06A99">
        <w:rPr>
          <w:rFonts w:ascii="Open Sans" w:eastAsia="Times New Roman" w:hAnsi="Open Sans" w:cs="Times New Roman"/>
          <w:b/>
          <w:bCs/>
          <w:color w:val="000001"/>
          <w:sz w:val="30"/>
          <w:szCs w:val="30"/>
          <w:lang w:eastAsia="ru-RU"/>
        </w:rPr>
        <w:br/>
        <w:t>Теория и применение</w:t>
      </w:r>
    </w:p>
    <w:p w:rsidR="000C3DAC" w:rsidRDefault="000C3DAC" w:rsidP="000C3DAC">
      <w:pPr>
        <w:shd w:val="clear" w:color="auto" w:fill="F5FAFD"/>
        <w:jc w:val="center"/>
        <w:rPr>
          <w:rFonts w:ascii="Open Sans" w:eastAsia="Times New Roman" w:hAnsi="Open Sans" w:cs="Times New Roman"/>
          <w:b/>
          <w:bCs/>
          <w:color w:val="000001"/>
          <w:sz w:val="30"/>
          <w:szCs w:val="30"/>
          <w:lang w:eastAsia="ru-RU"/>
        </w:rPr>
      </w:pPr>
    </w:p>
    <w:p w:rsidR="000C3DAC" w:rsidRPr="00F06A99" w:rsidRDefault="000C3DAC" w:rsidP="000C3DAC">
      <w:pPr>
        <w:shd w:val="clear" w:color="auto" w:fill="F5FAFD"/>
        <w:jc w:val="center"/>
        <w:rPr>
          <w:rFonts w:ascii="Open Sans" w:eastAsia="Times New Roman" w:hAnsi="Open Sans" w:cs="Times New Roman"/>
          <w:b/>
          <w:bCs/>
          <w:color w:val="000001"/>
          <w:sz w:val="30"/>
          <w:szCs w:val="30"/>
          <w:lang w:eastAsia="ru-RU"/>
        </w:rPr>
      </w:pPr>
      <w:r w:rsidRPr="00F06A99">
        <w:rPr>
          <w:rFonts w:ascii="Open Sans" w:eastAsia="Times New Roman" w:hAnsi="Open Sans" w:cs="Times New Roman"/>
          <w:b/>
          <w:bCs/>
          <w:color w:val="17252A"/>
          <w:sz w:val="27"/>
          <w:szCs w:val="27"/>
          <w:lang w:eastAsia="ru-RU"/>
        </w:rPr>
        <w:t>Под научной редакцией</w:t>
      </w:r>
      <w:r w:rsidRPr="00F06A99">
        <w:rPr>
          <w:rFonts w:ascii="Open Sans" w:eastAsia="Times New Roman" w:hAnsi="Open Sans" w:cs="Times New Roman"/>
          <w:b/>
          <w:bCs/>
          <w:color w:val="17252A"/>
          <w:sz w:val="27"/>
          <w:szCs w:val="27"/>
          <w:lang w:eastAsia="ru-RU"/>
        </w:rPr>
        <w:br/>
        <w:t>Богдана Василевски и Лилианны Энгель</w:t>
      </w:r>
    </w:p>
    <w:p w:rsidR="000C3DAC" w:rsidRDefault="000C3DAC" w:rsidP="000C3DAC">
      <w:pPr>
        <w:shd w:val="clear" w:color="auto" w:fill="F5FAFD"/>
        <w:spacing w:after="240"/>
        <w:rPr>
          <w:rFonts w:ascii="Open Sans" w:eastAsia="Times New Roman" w:hAnsi="Open Sans" w:cs="Times New Roman"/>
          <w:color w:val="000001"/>
          <w:lang w:eastAsia="ru-RU"/>
        </w:rPr>
      </w:pPr>
    </w:p>
    <w:p w:rsidR="000C3DAC" w:rsidRPr="00F06A99" w:rsidRDefault="000C3DAC" w:rsidP="000C3DAC">
      <w:pPr>
        <w:shd w:val="clear" w:color="auto" w:fill="F5FAFD"/>
        <w:spacing w:after="240"/>
        <w:rPr>
          <w:rFonts w:ascii="Open Sans" w:eastAsia="Times New Roman" w:hAnsi="Open Sans" w:cs="Times New Roman"/>
          <w:color w:val="000001"/>
          <w:lang w:eastAsia="ru-RU"/>
        </w:rPr>
      </w:pPr>
      <w:r w:rsidRPr="00F06A99">
        <w:rPr>
          <w:rFonts w:ascii="Open Sans" w:eastAsia="Times New Roman" w:hAnsi="Open Sans" w:cs="Times New Roman"/>
          <w:color w:val="000001"/>
          <w:lang w:eastAsia="ru-RU"/>
        </w:rPr>
        <w:t>Эта монография, главы которой написаны разными авторами, предоставляет введение в теорию Балинтовской групповой работы и всеобъемлющий обзор ее текущего состояния в Польше.</w:t>
      </w:r>
    </w:p>
    <w:p w:rsidR="000C3DAC" w:rsidRPr="00F06A99" w:rsidRDefault="000C3DAC" w:rsidP="000C3DAC">
      <w:pPr>
        <w:shd w:val="clear" w:color="auto" w:fill="F5FAFD"/>
        <w:spacing w:after="240"/>
        <w:rPr>
          <w:rFonts w:ascii="Open Sans" w:eastAsia="Times New Roman" w:hAnsi="Open Sans" w:cs="Times New Roman"/>
          <w:color w:val="000001"/>
          <w:lang w:eastAsia="ru-RU"/>
        </w:rPr>
      </w:pPr>
      <w:r w:rsidRPr="00F06A99">
        <w:rPr>
          <w:rFonts w:ascii="Open Sans" w:eastAsia="Times New Roman" w:hAnsi="Open Sans" w:cs="Times New Roman"/>
          <w:color w:val="000001"/>
          <w:lang w:eastAsia="ru-RU"/>
        </w:rPr>
        <w:t xml:space="preserve">В книге подняты важные темы, такие как основы работы Микаэла Балинта, современное применение его метода в работе семейных врачей, психотерапевтов и </w:t>
      </w:r>
      <w:r w:rsidRPr="00F06A99">
        <w:rPr>
          <w:rFonts w:ascii="Open Sans" w:eastAsia="Times New Roman" w:hAnsi="Open Sans" w:cs="Times New Roman"/>
          <w:color w:val="000001"/>
          <w:lang w:eastAsia="ru-RU"/>
        </w:rPr>
        <w:lastRenderedPageBreak/>
        <w:t>других профессионалов, а также в тренинге студентов медицинского факультета и уходе за неизлечимо больными.</w:t>
      </w:r>
    </w:p>
    <w:p w:rsidR="000C3DAC" w:rsidRPr="00F06A99" w:rsidRDefault="000C3DAC" w:rsidP="000C3DAC">
      <w:pPr>
        <w:shd w:val="clear" w:color="auto" w:fill="F5FAFD"/>
        <w:spacing w:after="240"/>
        <w:rPr>
          <w:rFonts w:ascii="Open Sans" w:eastAsia="Times New Roman" w:hAnsi="Open Sans" w:cs="Times New Roman"/>
          <w:color w:val="000001"/>
          <w:lang w:eastAsia="ru-RU"/>
        </w:rPr>
      </w:pPr>
      <w:r w:rsidRPr="00F06A99">
        <w:rPr>
          <w:rFonts w:ascii="Open Sans" w:eastAsia="Times New Roman" w:hAnsi="Open Sans" w:cs="Times New Roman"/>
          <w:color w:val="000001"/>
          <w:lang w:eastAsia="ru-RU"/>
        </w:rPr>
        <w:t>Методы, используемые в Балинтовской групповой работе, показывают, что чувства и страхи профессионалов медицины следуют определенным паттернам и правилам. Их групповой анализ позволяет эффективнее предотвращать синдром выгорания и улучшает контакты с пациентами. Участие в Балинтовских групповых сессиях – это превентивная мера, которая воздействует не только на отношения врача-пациента, но также на ежедневную деятельность врачей. Признание Балинтом необходимости для врачей подходить к пациентам в холистической манере с осознанием взаимодействия между выраженными потребностями, эмоциями пациента и их собственными, описано авторами с их личной точки зрения, и эти новые голоса придают убедительности Балинтовским фундаментальным идеям.</w:t>
      </w:r>
    </w:p>
    <w:p w:rsidR="000C3DAC" w:rsidRPr="00F06A99" w:rsidRDefault="000C3DAC" w:rsidP="000C3DAC">
      <w:pPr>
        <w:shd w:val="clear" w:color="auto" w:fill="F5FAFD"/>
        <w:spacing w:after="240"/>
        <w:rPr>
          <w:rFonts w:ascii="Open Sans" w:eastAsia="Times New Roman" w:hAnsi="Open Sans" w:cs="Times New Roman"/>
          <w:color w:val="000001"/>
          <w:lang w:eastAsia="ru-RU"/>
        </w:rPr>
      </w:pPr>
      <w:r w:rsidRPr="00F06A99">
        <w:rPr>
          <w:rFonts w:ascii="Open Sans" w:eastAsia="Times New Roman" w:hAnsi="Open Sans" w:cs="Times New Roman"/>
          <w:color w:val="000001"/>
          <w:lang w:eastAsia="ru-RU"/>
        </w:rPr>
        <w:t>Эта книга также содержит обширный раздел библиографий с перечнем литературы и исследований по Балинтовской групповой работе во всем мире за последние 50 лет, который будет чрезвычайно полезен тем русскоязычным профессионалам, кто хочет обратиться к первоисточникам.</w:t>
      </w:r>
    </w:p>
    <w:p w:rsidR="000C3DAC" w:rsidRPr="00F06A99" w:rsidRDefault="000C3DAC" w:rsidP="000C3DAC">
      <w:pPr>
        <w:shd w:val="clear" w:color="auto" w:fill="F5FAFD"/>
        <w:rPr>
          <w:rFonts w:ascii="Open Sans" w:eastAsia="Times New Roman" w:hAnsi="Open Sans" w:cs="Times New Roman"/>
          <w:color w:val="000001"/>
          <w:lang w:eastAsia="ru-RU"/>
        </w:rPr>
      </w:pPr>
      <w:r w:rsidRPr="00F06A99">
        <w:rPr>
          <w:rFonts w:ascii="Open Sans" w:eastAsia="Times New Roman" w:hAnsi="Open Sans" w:cs="Times New Roman"/>
          <w:color w:val="000001"/>
          <w:lang w:eastAsia="ru-RU"/>
        </w:rPr>
        <w:t>В российское издание включена глава, написанная русскими коллегами и посвященная развитию Балинтовского движения в России.</w:t>
      </w:r>
    </w:p>
    <w:p w:rsidR="000C3DAC" w:rsidRDefault="000C3DAC">
      <w:bookmarkStart w:id="0" w:name="_GoBack"/>
      <w:bookmarkEnd w:id="0"/>
    </w:p>
    <w:sectPr w:rsidR="000C3DAC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99"/>
    <w:rsid w:val="000C3DAC"/>
    <w:rsid w:val="003409EE"/>
    <w:rsid w:val="003F5B74"/>
    <w:rsid w:val="005D03C9"/>
    <w:rsid w:val="007064C5"/>
    <w:rsid w:val="00F06A99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AA224"/>
  <w14:defaultImageDpi w14:val="32767"/>
  <w15:chartTrackingRefBased/>
  <w15:docId w15:val="{03EBD27B-74F2-714E-A72B-F01A2A60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6A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A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F06A9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06A9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06A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06A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06A9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4">
    <w:name w:val="Hyperlink"/>
    <w:basedOn w:val="a0"/>
    <w:uiPriority w:val="99"/>
    <w:unhideWhenUsed/>
    <w:rsid w:val="00F06A99"/>
    <w:rPr>
      <w:color w:val="0000FF"/>
      <w:u w:val="single"/>
    </w:rPr>
  </w:style>
  <w:style w:type="character" w:customStyle="1" w:styleId="h-buttonouter">
    <w:name w:val="h-button__outer"/>
    <w:basedOn w:val="a0"/>
    <w:rsid w:val="00F06A99"/>
  </w:style>
  <w:style w:type="character" w:styleId="a5">
    <w:name w:val="Unresolved Mention"/>
    <w:basedOn w:val="a0"/>
    <w:uiPriority w:val="99"/>
    <w:rsid w:val="00F06A9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06A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898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255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2528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86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72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76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49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1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5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72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59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71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4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57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syllabus.biz/" TargetMode="External"/><Relationship Id="rId4" Type="http://schemas.openxmlformats.org/officeDocument/2006/relationships/hyperlink" Target="http://WWW.PSYLLABUS.BIZ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2</cp:revision>
  <dcterms:created xsi:type="dcterms:W3CDTF">2020-09-15T18:56:00Z</dcterms:created>
  <dcterms:modified xsi:type="dcterms:W3CDTF">2020-09-15T19:10:00Z</dcterms:modified>
</cp:coreProperties>
</file>