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C1C0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简答题（20分）</w:t>
      </w:r>
    </w:p>
    <w:p w14:paraId="5EE0A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1、抑郁障碍的临床表现</w:t>
      </w:r>
      <w:bookmarkStart w:id="0" w:name="_GoBack"/>
      <w:bookmarkEnd w:id="0"/>
    </w:p>
    <w:p w14:paraId="07A41AE0">
      <w:pPr>
        <w:rPr>
          <w:rFonts w:hint="eastAsia"/>
          <w:lang w:val="en-US" w:eastAsia="zh-CN"/>
        </w:rPr>
      </w:pPr>
    </w:p>
    <w:p w14:paraId="16729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2、简述并举例说明4P因素</w:t>
      </w:r>
    </w:p>
    <w:p w14:paraId="6F61DA2B">
      <w:pPr>
        <w:rPr>
          <w:rFonts w:hint="eastAsia"/>
          <w:lang w:val="en-US" w:eastAsia="zh-CN"/>
        </w:rPr>
      </w:pPr>
    </w:p>
    <w:p w14:paraId="3C4DE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3、强迫症的治疗方法</w:t>
      </w:r>
    </w:p>
    <w:p w14:paraId="05041640">
      <w:pPr>
        <w:rPr>
          <w:rFonts w:hint="default"/>
          <w:lang w:val="en-US" w:eastAsia="zh-CN"/>
        </w:rPr>
      </w:pPr>
    </w:p>
    <w:p w14:paraId="0A82054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论述题（12分）</w:t>
      </w:r>
    </w:p>
    <w:p w14:paraId="4786D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PTSD，创伤后应激障碍的临床表现和诊断要点（超出当年考纲，老师说阅卷时酌情考虑给分）</w:t>
      </w:r>
    </w:p>
    <w:p w14:paraId="6EB845D0">
      <w:pPr>
        <w:rPr>
          <w:rFonts w:hint="eastAsia"/>
          <w:lang w:val="en-US" w:eastAsia="zh-CN"/>
        </w:rPr>
      </w:pPr>
    </w:p>
    <w:p w14:paraId="0D467E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病例分析题（20分）</w:t>
      </w:r>
    </w:p>
    <w:p w14:paraId="214BB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为双相情感障碍I型的病例</w:t>
      </w:r>
    </w:p>
    <w:p w14:paraId="1523329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通过该病例，总结归纳患者存在的临床症状</w:t>
      </w:r>
    </w:p>
    <w:p w14:paraId="2132C4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考虑该患者为何种诊断，并说出鉴别诊断。需要提供诊断依据和鉴别诊断依据</w:t>
      </w:r>
    </w:p>
    <w:p w14:paraId="6C62FE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治疗原则</w:t>
      </w:r>
    </w:p>
    <w:p w14:paraId="137E43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288DD"/>
    <w:multiLevelType w:val="singleLevel"/>
    <w:tmpl w:val="167288D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330AD6"/>
    <w:rsid w:val="63B70A36"/>
    <w:rsid w:val="725E0124"/>
    <w:rsid w:val="78F3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论文正文"/>
    <w:basedOn w:val="1"/>
    <w:qFormat/>
    <w:uiPriority w:val="0"/>
    <w:pPr>
      <w:spacing w:line="360" w:lineRule="auto"/>
    </w:pPr>
    <w:rPr>
      <w:rFonts w:hint="eastAsia" w:ascii="宋体" w:hAnsi="宋体" w:eastAsia="宋体" w:cs="宋体"/>
      <w:color w:val="000000" w:themeColor="text1"/>
      <w:sz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166</Characters>
  <Lines>0</Lines>
  <Paragraphs>0</Paragraphs>
  <TotalTime>0</TotalTime>
  <ScaleCrop>false</ScaleCrop>
  <LinksUpToDate>false</LinksUpToDate>
  <CharactersWithSpaces>166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2025-03-12T04:55:00Z</dcterms:created>
  <dc:creator>13672</dc:creator>
  <cp:lastModifiedBy>微信用户</cp:lastModifiedBy>
  <dcterms:modified xsi:type="dcterms:W3CDTF">2025-08-24T14:00:16Z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8DF4C26873504FA0B4E85138532E5C7D_12</vt:lpwstr>
  </property>
  <property fmtid="{D5CDD505-2E9C-101B-9397-08002B2CF9AE}" pid="4" name="KSOTemplateDocerSaveRecord">
    <vt:lpwstr>eyJoZGlkIjoiNTI5ZmZhMDMxMTgzYjc5MTM4YWJiMGZmNjlkZjk1OTAiLCJ1c2VySWQiOiIxMjY0NDA3MzE4In0=</vt:lpwstr>
  </property>
</Properties>
</file>