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</w:pPr>
      <w:r>
        <w:rPr>
          <w:rFonts w:hint="eastAsia"/>
          <w:lang w:val="en-US" w:eastAsia="zh-CN"/>
        </w:rPr>
        <w:t>人人实验接口</w:t>
      </w:r>
      <w:r>
        <w:t>全局返回码说明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人人实验</w:t>
      </w:r>
      <w:r>
        <w:t xml:space="preserve">每次调用接口时，可能获得正确或错误的返回码，开发者可以根据返回码信息调试接口，排查错误。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全局返回码说明如下：</w:t>
      </w:r>
      <w: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6893" w:type="dxa"/>
            <w:vAlign w:val="top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480" w:lineRule="auto"/>
              <w:jc w:val="left"/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  <w:t>0</w:t>
            </w:r>
          </w:p>
        </w:tc>
        <w:tc>
          <w:tcPr>
            <w:tcW w:w="6893" w:type="dxa"/>
            <w:vAlign w:val="top"/>
          </w:tcPr>
          <w:p>
            <w:pPr>
              <w:spacing w:line="48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  <w:t>2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  <w:t>5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没有权限（执行相关操作）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  <w:t>6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非法访问（不属于当前登录用户的数据）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  <w:t>7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  <w:t>11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请求异常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99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token 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1001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1002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2001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用户角色错误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2002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2003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用户已被注册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2004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用户已被删除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2005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验证码错误，暂未使用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2006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验证码过期，暂未使用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2007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用户已被禁用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24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2100</w:t>
            </w:r>
          </w:p>
        </w:tc>
        <w:tc>
          <w:tcPr>
            <w:tcW w:w="6893" w:type="dxa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未登录异常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2010</w:t>
            </w:r>
          </w:p>
        </w:tc>
        <w:tc>
          <w:tcPr>
            <w:tcW w:w="6893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该用户不是机构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2011</w:t>
            </w:r>
          </w:p>
        </w:tc>
        <w:tc>
          <w:tcPr>
            <w:tcW w:w="6893" w:type="dxa"/>
            <w:vAlign w:val="top"/>
          </w:tcPr>
          <w:p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用户未认证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2012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不能购买自己或同一机构用户发布的商品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2013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用户姓名不能为空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3003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上传文件失败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3004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发送短信失败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3001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机构不存在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3002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机构代码错误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3003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机构地址错误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3004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机构类型错误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3005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该机构不能被删除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4001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该商品不存在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4002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商品价格不存在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4003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  <w:t>商品已经下架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5001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5002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禁止访问他人的订单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5003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跳转失败，请稍候再试！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5004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该订单已被删除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5005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重复付款，请检查订单状态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6001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该消息不存在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7001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申请发票金额不能大于可兑换金额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1629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-999999</w:t>
            </w:r>
          </w:p>
        </w:tc>
        <w:tc>
          <w:tcPr>
            <w:tcW w:w="6893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  <w:highlight w:val="white"/>
              </w:rPr>
              <w:t>假定为永远也不会出现的returnCode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314629"/>
    <w:rsid w:val="2DD40A99"/>
    <w:rsid w:val="2F7260E8"/>
    <w:rsid w:val="44744B37"/>
    <w:rsid w:val="4C91363C"/>
    <w:rsid w:val="622F6C66"/>
    <w:rsid w:val="65F269D1"/>
    <w:rsid w:val="759E59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2016-08-25T06:45:46Z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