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2A4A"/>
          <w:sz w:val="48"/>
          <w:szCs w:val="48"/>
        </w:rPr>
        <w:t xml:space="preserve">SCRIPTWRITING</w:t>
      </w:r>
    </w:p>
    <w:p>
      <w:pPr>
        <w:spacing w:after="200"/>
        <w:jc w:val="center"/>
      </w:pPr>
      <w:r>
        <w:rPr>
          <w:rFonts w:ascii="Arial" w:cs="Arial" w:eastAsia="Arial" w:hAnsi="Arial"/>
          <w:b/>
          <w:bCs/>
          <w:color w:val="1B2A4A"/>
          <w:sz w:val="48"/>
          <w:szCs w:val="48"/>
        </w:rPr>
        <w:t xml:space="preserve">INFRASTRUCTURE</w:t>
      </w:r>
    </w:p>
    <w:p>
      <w:pPr>
        <w:spacing w:after="80"/>
        <w:jc w:val="center"/>
      </w:pPr>
      <w:r>
        <w:rPr>
          <w:rFonts w:ascii="Arial" w:cs="Arial" w:eastAsia="Arial" w:hAnsi="Arial"/>
          <w:color w:val="2E8B8B"/>
          <w:sz w:val="36"/>
          <w:szCs w:val="36"/>
        </w:rPr>
        <w:t xml:space="preserve">—</w:t>
      </w:r>
    </w:p>
    <w:p>
      <w:pPr>
        <w:spacing w:after="600"/>
        <w:jc w:val="center"/>
      </w:pPr>
      <w:r>
        <w:rPr>
          <w:rFonts w:ascii="Arial" w:cs="Arial" w:eastAsia="Arial" w:hAnsi="Arial"/>
          <w:color w:val="2E8B8B"/>
          <w:sz w:val="24"/>
          <w:szCs w:val="24"/>
        </w:rPr>
        <w:t xml:space="preserve">Tools, Skills, and Learning Systems for Video Script Development</w:t>
      </w:r>
    </w:p>
    <w:p>
      <w:pPr>
        <w:spacing w:after="100"/>
        <w:jc w:val="center"/>
      </w:pPr>
      <w:r>
        <w:rPr>
          <w:rFonts w:ascii="Arial" w:cs="Arial" w:eastAsia="Arial" w:hAnsi="Arial"/>
          <w:color w:val="999999"/>
          <w:sz w:val="22"/>
          <w:szCs w:val="22"/>
        </w:rPr>
        <w:t xml:space="preserve">Version 1.0  ·  April 2026</w:t>
      </w:r>
    </w:p>
    <w:p>
      <w:pPr>
        <w:jc w:val="center"/>
      </w:pPr>
      <w:r>
        <w:rPr>
          <w:rFonts w:ascii="Arial" w:cs="Arial" w:eastAsia="Arial" w:hAnsi="Arial"/>
          <w:color w:val="999999"/>
          <w:sz w:val="22"/>
          <w:szCs w:val="22"/>
        </w:rPr>
        <w:t xml:space="preserve">Content Research and Production Project</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2A4A"/>
          <w:sz w:val="32"/>
          <w:szCs w:val="32"/>
        </w:rPr>
        <w:t xml:space="preserve">1. What This Document Covers</w:t>
      </w:r>
    </w:p>
    <w:p>
      <w:pPr>
        <w:spacing w:after="160" w:line="300"/>
      </w:pPr>
      <w:r>
        <w:rPr>
          <w:rFonts w:ascii="Arial" w:cs="Arial" w:eastAsia="Arial" w:hAnsi="Arial"/>
          <w:sz w:val="22"/>
          <w:szCs w:val="22"/>
        </w:rPr>
        <w:t xml:space="preserve">This document describes the scriptwriting infrastructure we’ve built for the channel’s video production pipeline. It covers the tools (two Cowork skills), the processes (revision tracking, audience evaluation), and the learning system that connects them. The goal is not to perfect any single script but to </w:t>
      </w:r>
      <w:r>
        <w:rPr>
          <w:rFonts w:ascii="Arial" w:cs="Arial" w:eastAsia="Arial" w:hAnsi="Arial"/>
          <w:b/>
          <w:bCs/>
          <w:sz w:val="22"/>
          <w:szCs w:val="22"/>
        </w:rPr>
        <w:t xml:space="preserve">compound learning across episodes</w:t>
      </w:r>
      <w:r>
        <w:rPr>
          <w:rFonts w:ascii="Arial" w:cs="Arial" w:eastAsia="Arial" w:hAnsi="Arial"/>
          <w:sz w:val="22"/>
          <w:szCs w:val="22"/>
        </w:rPr>
        <w:t xml:space="preserve"> so that every script is better than the last.</w:t>
      </w:r>
    </w:p>
    <w:p>
      <w:pPr>
        <w:spacing w:after="160" w:line="300"/>
      </w:pPr>
      <w:r>
        <w:rPr>
          <w:rFonts w:ascii="Arial" w:cs="Arial" w:eastAsia="Arial" w:hAnsi="Arial"/>
          <w:sz w:val="22"/>
          <w:szCs w:val="22"/>
        </w:rPr>
        <w:t xml:space="preserve">The infrastructure sits between research (which produces a brief and verification table) and production (which turns a finished script into a video). This document covers everything that happens in the scriptwriting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8B" w:sz="1"/>
              <w:left w:val="single" w:color="2E8B8B" w:sz="6"/>
              <w:bottom w:val="single" w:color="2E8B8B" w:sz="1"/>
              <w:right w:val="single" w:color="2E8B8B" w:sz="1"/>
            </w:tcBorders>
            <w:shd w:fill="F0F5F5" w:val="clear"/>
            <w:tcMar>
              <w:top w:type="dxa" w:w="120"/>
              <w:left w:type="dxa" w:w="200"/>
              <w:bottom w:type="dxa" w:w="120"/>
              <w:right w:type="dxa" w:w="200"/>
            </w:tcMar>
          </w:tcPr>
          <w:p>
            <w:pPr>
              <w:spacing w:after="80"/>
            </w:pPr>
            <w:r>
              <w:rPr>
                <w:rFonts w:ascii="Arial" w:cs="Arial" w:eastAsia="Arial" w:hAnsi="Arial"/>
                <w:b/>
                <w:bCs/>
                <w:color w:val="2E8B8B"/>
                <w:sz w:val="22"/>
                <w:szCs w:val="22"/>
              </w:rPr>
              <w:t xml:space="preserve">Design Philosophy</w:t>
            </w:r>
          </w:p>
          <w:p>
            <w:pPr>
              <w:spacing w:after="0"/>
            </w:pPr>
            <w:r>
              <w:rPr>
                <w:rFonts w:ascii="Arial" w:cs="Arial" w:eastAsia="Arial" w:hAnsi="Arial"/>
                <w:i/>
                <w:iCs/>
                <w:sz w:val="21"/>
                <w:szCs w:val="21"/>
              </w:rPr>
              <w:t xml:space="preserve">Scripts fail for two reasons: they’re not interesting (craft problem), or they don’t resonate with the target audience (fit problem). These are different problems requiring different evaluation tools. The infrastructure addresses both, separately, then synthesizes the findings.</w:t>
            </w:r>
          </w:p>
        </w:tc>
      </w:tr>
    </w:tbl>
    <w:p>
      <w:pPr>
        <w:pStyle w:val="Heading1"/>
        <w:spacing w:after="200" w:before="360"/>
      </w:pPr>
      <w:r>
        <w:rPr>
          <w:rFonts w:ascii="Arial" w:cs="Arial" w:eastAsia="Arial" w:hAnsi="Arial"/>
          <w:b/>
          <w:bCs/>
          <w:color w:val="1B2A4A"/>
          <w:sz w:val="32"/>
          <w:szCs w:val="32"/>
        </w:rPr>
        <w:t xml:space="preserve">2. The Scriptwriting Workflow</w:t>
      </w:r>
    </w:p>
    <w:p>
      <w:pPr>
        <w:spacing w:after="160" w:line="300"/>
      </w:pPr>
      <w:r>
        <w:rPr>
          <w:rFonts w:ascii="Arial" w:cs="Arial" w:eastAsia="Arial" w:hAnsi="Arial"/>
          <w:sz w:val="22"/>
          <w:szCs w:val="22"/>
        </w:rPr>
        <w:t xml:space="preserve">Each episode follows a loop. The loop is designed so that learning from one episode feeds into the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BCCCC" w:sz="1"/>
              <w:left w:val="single" w:color="BBCCCC" w:sz="1"/>
              <w:bottom w:val="single" w:color="BBCCCC" w:sz="1"/>
              <w:right w:val="single" w:color="BBCCCC" w:sz="1"/>
            </w:tcBorders>
            <w:shd w:fill="1B2A4A" w:val="clear"/>
            <w:tcMar>
              <w:top w:type="dxa" w:w="100"/>
              <w:left w:type="dxa" w:w="80"/>
              <w:bottom w:type="dxa" w:w="100"/>
              <w:right w:type="dxa" w:w="80"/>
            </w:tcMar>
            <w:vAlign w:val="center"/>
          </w:tcPr>
          <w:p>
            <w:pPr>
              <w:spacing w:after="0"/>
              <w:jc w:val="center"/>
            </w:pPr>
            <w:r>
              <w:rPr>
                <w:rFonts w:ascii="Arial" w:cs="Arial" w:eastAsia="Arial" w:hAnsi="Arial"/>
                <w:b/>
                <w:bCs/>
                <w:color w:val="FFFFFF"/>
                <w:sz w:val="18"/>
                <w:szCs w:val="18"/>
              </w:rPr>
              <w:t xml:space="preserve">Draft</w:t>
            </w:r>
          </w:p>
        </w:tc>
        <w:tc>
          <w:tcPr>
            <w:tcW w:type="dxa" w:w="1872"/>
            <w:tcBorders>
              <w:top w:val="single" w:color="BBCCCC" w:sz="1"/>
              <w:left w:val="single" w:color="BBCCCC" w:sz="1"/>
              <w:bottom w:val="single" w:color="BBCCCC" w:sz="1"/>
              <w:right w:val="single" w:color="BBCCCC" w:sz="1"/>
            </w:tcBorders>
            <w:shd w:fill="2E8B8B" w:val="clear"/>
            <w:tcMar>
              <w:top w:type="dxa" w:w="100"/>
              <w:left w:type="dxa" w:w="80"/>
              <w:bottom w:type="dxa" w:w="100"/>
              <w:right w:type="dxa" w:w="80"/>
            </w:tcMar>
            <w:vAlign w:val="center"/>
          </w:tcPr>
          <w:p>
            <w:pPr>
              <w:spacing w:after="0"/>
              <w:jc w:val="center"/>
            </w:pPr>
            <w:r>
              <w:rPr>
                <w:rFonts w:ascii="Arial" w:cs="Arial" w:eastAsia="Arial" w:hAnsi="Arial"/>
                <w:b/>
                <w:bCs/>
                <w:color w:val="FFFFFF"/>
                <w:sz w:val="18"/>
                <w:szCs w:val="18"/>
              </w:rPr>
              <w:t xml:space="preserve">Script Audit</w:t>
            </w:r>
          </w:p>
        </w:tc>
        <w:tc>
          <w:tcPr>
            <w:tcW w:type="dxa" w:w="1872"/>
            <w:tcBorders>
              <w:top w:val="single" w:color="BBCCCC" w:sz="1"/>
              <w:left w:val="single" w:color="BBCCCC" w:sz="1"/>
              <w:bottom w:val="single" w:color="BBCCCC" w:sz="1"/>
              <w:right w:val="single" w:color="BBCCCC" w:sz="1"/>
            </w:tcBorders>
            <w:shd w:fill="1B2A4A" w:val="clear"/>
            <w:tcMar>
              <w:top w:type="dxa" w:w="100"/>
              <w:left w:type="dxa" w:w="80"/>
              <w:bottom w:type="dxa" w:w="100"/>
              <w:right w:type="dxa" w:w="80"/>
            </w:tcMar>
            <w:vAlign w:val="center"/>
          </w:tcPr>
          <w:p>
            <w:pPr>
              <w:spacing w:after="0"/>
              <w:jc w:val="center"/>
            </w:pPr>
            <w:r>
              <w:rPr>
                <w:rFonts w:ascii="Arial" w:cs="Arial" w:eastAsia="Arial" w:hAnsi="Arial"/>
                <w:b/>
                <w:bCs/>
                <w:color w:val="FFFFFF"/>
                <w:sz w:val="18"/>
                <w:szCs w:val="18"/>
              </w:rPr>
              <w:t xml:space="preserve">Revise</w:t>
            </w:r>
          </w:p>
        </w:tc>
        <w:tc>
          <w:tcPr>
            <w:tcW w:type="dxa" w:w="1872"/>
            <w:tcBorders>
              <w:top w:val="single" w:color="BBCCCC" w:sz="1"/>
              <w:left w:val="single" w:color="BBCCCC" w:sz="1"/>
              <w:bottom w:val="single" w:color="BBCCCC" w:sz="1"/>
              <w:right w:val="single" w:color="BBCCCC" w:sz="1"/>
            </w:tcBorders>
            <w:shd w:fill="2E8B8B" w:val="clear"/>
            <w:tcMar>
              <w:top w:type="dxa" w:w="100"/>
              <w:left w:type="dxa" w:w="80"/>
              <w:bottom w:type="dxa" w:w="100"/>
              <w:right w:type="dxa" w:w="80"/>
            </w:tcMar>
            <w:vAlign w:val="center"/>
          </w:tcPr>
          <w:p>
            <w:pPr>
              <w:spacing w:after="0"/>
              <w:jc w:val="center"/>
            </w:pPr>
            <w:r>
              <w:rPr>
                <w:rFonts w:ascii="Arial" w:cs="Arial" w:eastAsia="Arial" w:hAnsi="Arial"/>
                <w:b/>
                <w:bCs/>
                <w:color w:val="FFFFFF"/>
                <w:sz w:val="18"/>
                <w:szCs w:val="18"/>
              </w:rPr>
              <w:t xml:space="preserve">Persona Eval</w:t>
            </w:r>
          </w:p>
        </w:tc>
        <w:tc>
          <w:tcPr>
            <w:tcW w:type="dxa" w:w="1872"/>
            <w:tcBorders>
              <w:top w:val="single" w:color="BBCCCC" w:sz="1"/>
              <w:left w:val="single" w:color="BBCCCC" w:sz="1"/>
              <w:bottom w:val="single" w:color="BBCCCC" w:sz="1"/>
              <w:right w:val="single" w:color="BBCCCC" w:sz="1"/>
            </w:tcBorders>
            <w:shd w:fill="1B2A4A" w:val="clear"/>
            <w:tcMar>
              <w:top w:type="dxa" w:w="100"/>
              <w:left w:type="dxa" w:w="80"/>
              <w:bottom w:type="dxa" w:w="100"/>
              <w:right w:type="dxa" w:w="80"/>
            </w:tcMar>
            <w:vAlign w:val="center"/>
          </w:tcPr>
          <w:p>
            <w:pPr>
              <w:spacing w:after="0"/>
              <w:jc w:val="center"/>
            </w:pPr>
            <w:r>
              <w:rPr>
                <w:rFonts w:ascii="Arial" w:cs="Arial" w:eastAsia="Arial" w:hAnsi="Arial"/>
                <w:b/>
                <w:bCs/>
                <w:color w:val="FFFFFF"/>
                <w:sz w:val="18"/>
                <w:szCs w:val="18"/>
              </w:rPr>
              <w:t xml:space="preserve">Extract
Hypotheses</w:t>
            </w:r>
          </w:p>
        </w:tc>
      </w:tr>
    </w:tbl>
    <w:p>
      <w:pPr>
        <w:spacing w:after="60"/>
      </w:pPr>
    </w:p>
    <w:p>
      <w:pPr>
        <w:spacing w:after="200"/>
        <w:jc w:val="center"/>
      </w:pPr>
      <w:r>
        <w:rPr>
          <w:rFonts w:ascii="Arial" w:cs="Arial" w:eastAsia="Arial" w:hAnsi="Arial"/>
          <w:i/>
          <w:iCs/>
          <w:color w:val="2E8B8B"/>
          <w:sz w:val="20"/>
          <w:szCs w:val="20"/>
        </w:rPr>
        <w:t xml:space="preserve">Hypotheses from Episode N feed into the Draft of Episode N+1</w:t>
      </w:r>
    </w:p>
    <w:p>
      <w:pPr>
        <w:spacing w:after="160" w:line="300"/>
      </w:pPr>
      <w:r>
        <w:rPr>
          <w:rFonts w:ascii="Arial" w:cs="Arial" w:eastAsia="Arial" w:hAnsi="Arial"/>
          <w:b/>
          <w:bCs/>
          <w:sz w:val="22"/>
          <w:szCs w:val="22"/>
        </w:rPr>
        <w:t xml:space="preserve">Draft: </w:t>
      </w:r>
      <w:r>
        <w:rPr>
          <w:rFonts w:ascii="Arial" w:cs="Arial" w:eastAsia="Arial" w:hAnsi="Arial"/>
          <w:sz w:val="22"/>
          <w:szCs w:val="22"/>
        </w:rPr>
        <w:t xml:space="preserve">Write the script using the episode brief, research dossier, and any hypotheses carried forward from previous episodes. The first draft is organized by tension (escalating questions), not by logic (information delivery).</w:t>
      </w:r>
    </w:p>
    <w:p>
      <w:pPr>
        <w:spacing w:after="160" w:line="300"/>
      </w:pPr>
      <w:r>
        <w:rPr>
          <w:rFonts w:ascii="Arial" w:cs="Arial" w:eastAsia="Arial" w:hAnsi="Arial"/>
          <w:b/>
          <w:bCs/>
          <w:sz w:val="22"/>
          <w:szCs w:val="22"/>
        </w:rPr>
        <w:t xml:space="preserve">Script Audit: </w:t>
      </w:r>
      <w:r>
        <w:rPr>
          <w:rFonts w:ascii="Arial" w:cs="Arial" w:eastAsia="Arial" w:hAnsi="Arial"/>
          <w:sz w:val="22"/>
          <w:szCs w:val="22"/>
        </w:rPr>
        <w:t xml:space="preserve">Run the script-audit skill. This evaluates narrative craft across five lenses: transitions, lecture patterns, human moments, pacing, and claim verification. It produces a prioritized list of specific fixes with suggested rewrites.</w:t>
      </w:r>
    </w:p>
    <w:p>
      <w:pPr>
        <w:spacing w:after="160" w:line="300"/>
      </w:pPr>
      <w:r>
        <w:rPr>
          <w:rFonts w:ascii="Arial" w:cs="Arial" w:eastAsia="Arial" w:hAnsi="Arial"/>
          <w:b/>
          <w:bCs/>
          <w:sz w:val="22"/>
          <w:szCs w:val="22"/>
        </w:rPr>
        <w:t xml:space="preserve">Revise: </w:t>
      </w:r>
      <w:r>
        <w:rPr>
          <w:rFonts w:ascii="Arial" w:cs="Arial" w:eastAsia="Arial" w:hAnsi="Arial"/>
          <w:sz w:val="22"/>
          <w:szCs w:val="22"/>
        </w:rPr>
        <w:t xml:space="preserve">Apply the priority fixes. Update the revision log with what changed and why. Save the new version—never overwrite previous versions.</w:t>
      </w:r>
    </w:p>
    <w:p>
      <w:pPr>
        <w:spacing w:after="160" w:line="300"/>
      </w:pPr>
      <w:r>
        <w:rPr>
          <w:rFonts w:ascii="Arial" w:cs="Arial" w:eastAsia="Arial" w:hAnsi="Arial"/>
          <w:b/>
          <w:bCs/>
          <w:sz w:val="22"/>
          <w:szCs w:val="22"/>
        </w:rPr>
        <w:t xml:space="preserve">Persona Eval: </w:t>
      </w:r>
      <w:r>
        <w:rPr>
          <w:rFonts w:ascii="Arial" w:cs="Arial" w:eastAsia="Arial" w:hAnsi="Arial"/>
          <w:sz w:val="22"/>
          <w:szCs w:val="22"/>
        </w:rPr>
        <w:t xml:space="preserve">Run the persona-eval skill on the revised script. This simulates how five target audience personas would experience the video, checkpoint by checkpoint, and scores resonance, engagement, subscribe likelihood, and share likelihood.</w:t>
      </w:r>
    </w:p>
    <w:p>
      <w:pPr>
        <w:spacing w:after="160" w:line="300"/>
      </w:pPr>
      <w:r>
        <w:rPr>
          <w:rFonts w:ascii="Arial" w:cs="Arial" w:eastAsia="Arial" w:hAnsi="Arial"/>
          <w:b/>
          <w:bCs/>
          <w:sz w:val="22"/>
          <w:szCs w:val="22"/>
        </w:rPr>
        <w:t xml:space="preserve">Extract Hypotheses: </w:t>
      </w:r>
      <w:r>
        <w:rPr>
          <w:rFonts w:ascii="Arial" w:cs="Arial" w:eastAsia="Arial" w:hAnsi="Arial"/>
          <w:sz w:val="22"/>
          <w:szCs w:val="22"/>
        </w:rPr>
        <w:t xml:space="preserve">The persona eval produces 2–3 testable hypotheses about what worked, what didn’t, and what to try next. These carry forward into the next episode’s draft as design constraints to test.</w:t>
      </w:r>
    </w:p>
    <w:p>
      <w:pPr>
        <w:pStyle w:val="Heading1"/>
        <w:spacing w:after="200" w:before="360"/>
      </w:pPr>
      <w:r>
        <w:rPr>
          <w:rFonts w:ascii="Arial" w:cs="Arial" w:eastAsia="Arial" w:hAnsi="Arial"/>
          <w:b/>
          <w:bCs/>
          <w:color w:val="1B2A4A"/>
          <w:sz w:val="32"/>
          <w:szCs w:val="32"/>
        </w:rPr>
        <w:t xml:space="preserve">3. Skill: Script Audit</w:t>
      </w:r>
    </w:p>
    <w:p>
      <w:pPr>
        <w:spacing w:after="160" w:line="300"/>
      </w:pPr>
      <w:r>
        <w:rPr>
          <w:rFonts w:ascii="Arial" w:cs="Arial" w:eastAsia="Arial" w:hAnsi="Arial"/>
          <w:sz w:val="22"/>
          <w:szCs w:val="22"/>
        </w:rPr>
        <w:t xml:space="preserve">The script-audit skill evaluates a video script for narrative quality. Its job is to answer one question: </w:t>
      </w:r>
      <w:r>
        <w:rPr>
          <w:rFonts w:ascii="Arial" w:cs="Arial" w:eastAsia="Arial" w:hAnsi="Arial"/>
          <w:b/>
          <w:bCs/>
          <w:sz w:val="22"/>
          <w:szCs w:val="22"/>
        </w:rPr>
        <w:t xml:space="preserve">is this script interesting?</w:t>
      </w:r>
      <w:r>
        <w:rPr>
          <w:rFonts w:ascii="Arial" w:cs="Arial" w:eastAsia="Arial" w:hAnsi="Arial"/>
          <w:sz w:val="22"/>
          <w:szCs w:val="22"/>
        </w:rPr>
        <w:t xml:space="preserve"> A factually perfect script that bores the viewer is a failed script.</w:t>
      </w:r>
    </w:p>
    <w:p>
      <w:pPr>
        <w:pStyle w:val="Heading2"/>
        <w:spacing w:after="160" w:before="280"/>
      </w:pPr>
      <w:r>
        <w:rPr>
          <w:rFonts w:ascii="Arial" w:cs="Arial" w:eastAsia="Arial" w:hAnsi="Arial"/>
          <w:b/>
          <w:bCs/>
          <w:color w:val="2E8B8B"/>
          <w:sz w:val="26"/>
          <w:szCs w:val="26"/>
        </w:rPr>
        <w:t xml:space="preserve">3.1 The Five Lenses</w:t>
      </w:r>
    </w:p>
    <w:p>
      <w:pPr>
        <w:pStyle w:val="Heading3"/>
        <w:spacing w:after="120" w:before="200"/>
      </w:pPr>
      <w:r>
        <w:rPr>
          <w:rFonts w:ascii="Arial" w:cs="Arial" w:eastAsia="Arial" w:hAnsi="Arial"/>
          <w:b/>
          <w:bCs/>
          <w:color w:val="1B2A4A"/>
          <w:sz w:val="22"/>
          <w:szCs w:val="22"/>
        </w:rPr>
        <w:t xml:space="preserve">Lens 1: Transition Audit</w:t>
      </w:r>
    </w:p>
    <w:p>
      <w:pPr>
        <w:spacing w:after="160" w:line="300"/>
      </w:pPr>
      <w:r>
        <w:rPr>
          <w:rFonts w:ascii="Arial" w:cs="Arial" w:eastAsia="Arial" w:hAnsi="Arial"/>
          <w:sz w:val="22"/>
          <w:szCs w:val="22"/>
        </w:rPr>
        <w:t xml:space="preserve">Walks through the script paragraph by paragraph—not just beat by beat—checking whether a reader can follow the emotional and logical thread at every boundary. The specific test: read the last sentence of paragraph A and the first sentence of paragraph B back to back. Do they connect?</w:t>
      </w:r>
    </w:p>
    <w:p>
      <w:pPr>
        <w:spacing w:after="160" w:line="300"/>
      </w:pPr>
      <w:r>
        <w:rPr>
          <w:rFonts w:ascii="Arial" w:cs="Arial" w:eastAsia="Arial" w:hAnsi="Arial"/>
          <w:sz w:val="22"/>
          <w:szCs w:val="22"/>
        </w:rPr>
        <w:t xml:space="preserve">Common failures: tonal reversals without a bridge (positive buildup followed by negative reveal), topic jumps where the reader has to infer the connection, and orphaned signposts—where a previous version used a phrase like “Here’s the problem” to bridge two paragraphs, and that signpost was removed without replacing the connective tissue.</w:t>
      </w:r>
    </w:p>
    <w:p>
      <w:pPr>
        <w:pStyle w:val="Heading3"/>
        <w:spacing w:after="120" w:before="200"/>
      </w:pPr>
      <w:r>
        <w:rPr>
          <w:rFonts w:ascii="Arial" w:cs="Arial" w:eastAsia="Arial" w:hAnsi="Arial"/>
          <w:b/>
          <w:bCs/>
          <w:color w:val="1B2A4A"/>
          <w:sz w:val="22"/>
          <w:szCs w:val="22"/>
        </w:rPr>
        <w:t xml:space="preserve">Lens 2: Lecture Detection</w:t>
      </w:r>
    </w:p>
    <w:p>
      <w:pPr>
        <w:spacing w:after="160" w:line="300"/>
      </w:pPr>
      <w:r>
        <w:rPr>
          <w:rFonts w:ascii="Arial" w:cs="Arial" w:eastAsia="Arial" w:hAnsi="Arial"/>
          <w:sz w:val="22"/>
          <w:szCs w:val="22"/>
        </w:rPr>
        <w:t xml:space="preserve">Scans for patterns that make the script feel like a classroom: signpost phrases (“Here’s the problem,” “Think about what that means”), information dumps (three or more data points without narrative framing), and define-then-illustrate ordering (lecture structure) vs. illustrate-then-name (story structure). Also checks for telling vs. showing—moments where the script states a conclusion the evidence could deliver on its own—and voice consistency between conversational and formal registers.</w:t>
      </w:r>
    </w:p>
    <w:p>
      <w:pPr>
        <w:pStyle w:val="Heading3"/>
        <w:spacing w:after="120" w:before="200"/>
      </w:pPr>
      <w:r>
        <w:rPr>
          <w:rFonts w:ascii="Arial" w:cs="Arial" w:eastAsia="Arial" w:hAnsi="Arial"/>
          <w:b/>
          <w:bCs/>
          <w:color w:val="1B2A4A"/>
          <w:sz w:val="22"/>
          <w:szCs w:val="22"/>
        </w:rPr>
        <w:t xml:space="preserve">Lens 3: Human Moment Audit</w:t>
      </w:r>
    </w:p>
    <w:p>
      <w:pPr>
        <w:spacing w:after="160" w:line="300"/>
      </w:pPr>
      <w:r>
        <w:rPr>
          <w:rFonts w:ascii="Arial" w:cs="Arial" w:eastAsia="Arial" w:hAnsi="Arial"/>
          <w:sz w:val="22"/>
          <w:szCs w:val="22"/>
        </w:rPr>
        <w:t xml:space="preserve">Tracks how far the script goes between moments anchored in specific people, places, scenes, or sensory details. Rule of thumb: if more than 400–500 words pass without a human anchor (a named individual, a specific place, dialogue, an anecdote), flag it. The audience processes abstract analysis through concrete moments.</w:t>
      </w:r>
    </w:p>
    <w:p>
      <w:pPr>
        <w:pStyle w:val="Heading3"/>
        <w:spacing w:after="120" w:before="200"/>
      </w:pPr>
      <w:r>
        <w:rPr>
          <w:rFonts w:ascii="Arial" w:cs="Arial" w:eastAsia="Arial" w:hAnsi="Arial"/>
          <w:b/>
          <w:bCs/>
          <w:color w:val="1B2A4A"/>
          <w:sz w:val="22"/>
          <w:szCs w:val="22"/>
        </w:rPr>
        <w:t xml:space="preserve">Lens 4: Pacing Check</w:t>
      </w:r>
    </w:p>
    <w:p>
      <w:pPr>
        <w:spacing w:after="160" w:line="300"/>
      </w:pPr>
      <w:r>
        <w:rPr>
          <w:rFonts w:ascii="Arial" w:cs="Arial" w:eastAsia="Arial" w:hAnsi="Arial"/>
          <w:sz w:val="22"/>
          <w:szCs w:val="22"/>
        </w:rPr>
        <w:t xml:space="preserve">Identifies the 3–5 strongest moments and maps where they fall. Checks what happens at the 3-minute mark (where YouTube viewers decide to stay) and the 7-minute mark (the second decision point). Flags stretches longer than 600 words that are pure setup without a payoff. If the key insight first appears in the final quarter, the script is structured as an essay, not a video.</w:t>
      </w:r>
    </w:p>
    <w:p>
      <w:pPr>
        <w:pStyle w:val="Heading3"/>
        <w:spacing w:after="120" w:before="200"/>
      </w:pPr>
      <w:r>
        <w:rPr>
          <w:rFonts w:ascii="Arial" w:cs="Arial" w:eastAsia="Arial" w:hAnsi="Arial"/>
          <w:b/>
          <w:bCs/>
          <w:color w:val="1B2A4A"/>
          <w:sz w:val="22"/>
          <w:szCs w:val="22"/>
        </w:rPr>
        <w:t xml:space="preserve">Lens 5: Claim Audit</w:t>
      </w:r>
    </w:p>
    <w:p>
      <w:pPr>
        <w:spacing w:after="160" w:line="300"/>
      </w:pPr>
      <w:r>
        <w:rPr>
          <w:rFonts w:ascii="Arial" w:cs="Arial" w:eastAsia="Arial" w:hAnsi="Arial"/>
          <w:sz w:val="22"/>
          <w:szCs w:val="22"/>
        </w:rPr>
        <w:t xml:space="preserve">Extracts every factual claim and cross-references it against the episode brief and verification table. Flags claims stated confidently that are marked unverified, discrepancies between the script and the brief, and quotes used as emotional climaxes that lack source attribution. This lens gets about 20% of the report’s attention—accuracy matters, but the first four lenses determine whether anyone watches long enough to hear the facts.</w:t>
      </w:r>
    </w:p>
    <w:p>
      <w:pPr>
        <w:pStyle w:val="Heading2"/>
        <w:spacing w:after="160" w:before="280"/>
      </w:pPr>
      <w:r>
        <w:rPr>
          <w:rFonts w:ascii="Arial" w:cs="Arial" w:eastAsia="Arial" w:hAnsi="Arial"/>
          <w:b/>
          <w:bCs/>
          <w:color w:val="2E8B8B"/>
          <w:sz w:val="26"/>
          <w:szCs w:val="26"/>
        </w:rPr>
        <w:t xml:space="preserve">3.2 Output</w:t>
      </w:r>
    </w:p>
    <w:p>
      <w:pPr>
        <w:spacing w:after="160" w:line="300"/>
      </w:pPr>
      <w:r>
        <w:rPr>
          <w:rFonts w:ascii="Arial" w:cs="Arial" w:eastAsia="Arial" w:hAnsi="Arial"/>
          <w:sz w:val="22"/>
          <w:szCs w:val="22"/>
        </w:rPr>
        <w:t xml:space="preserve">The skill produces a structured report with specific issues (quoting the exact text), a one-sentence diagnosis, and a concrete suggested rewrite—actual prose the narrator could read aloud, not meta-advice like “add a transition here.” The report ends with 3–5 priority fixes ranked by impact on viewer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8B" w:sz="1"/>
              <w:left w:val="single" w:color="2E8B8B" w:sz="6"/>
              <w:bottom w:val="single" w:color="2E8B8B" w:sz="1"/>
              <w:right w:val="single" w:color="2E8B8B" w:sz="1"/>
            </w:tcBorders>
            <w:shd w:fill="F0F5F5" w:val="clear"/>
            <w:tcMar>
              <w:top w:type="dxa" w:w="120"/>
              <w:left w:type="dxa" w:w="200"/>
              <w:bottom w:type="dxa" w:w="120"/>
              <w:right w:type="dxa" w:w="200"/>
            </w:tcMar>
          </w:tcPr>
          <w:p>
            <w:pPr>
              <w:spacing w:after="80"/>
            </w:pPr>
            <w:r>
              <w:rPr>
                <w:rFonts w:ascii="Arial" w:cs="Arial" w:eastAsia="Arial" w:hAnsi="Arial"/>
                <w:b/>
                <w:bCs/>
                <w:color w:val="2E8B8B"/>
                <w:sz w:val="22"/>
                <w:szCs w:val="22"/>
              </w:rPr>
              <w:t xml:space="preserve">Key Lesson from Development</w:t>
            </w:r>
          </w:p>
          <w:p>
            <w:pPr>
              <w:spacing w:after="0"/>
            </w:pPr>
            <w:r>
              <w:rPr>
                <w:rFonts w:ascii="Arial" w:cs="Arial" w:eastAsia="Arial" w:hAnsi="Arial"/>
                <w:i/>
                <w:iCs/>
                <w:sz w:val="21"/>
                <w:szCs w:val="21"/>
              </w:rPr>
              <w:t xml:space="preserve">The transition audit had to be made paragraph-level, not beat-level. The most common transition failures aren’t between major sections (those are obvious) but between adjacent paragraphs within the same beat. A paragraph ends on a positive note; the next pivots to bad news. These micro-breaks are where readers get lost without knowing why.</w:t>
            </w:r>
          </w:p>
        </w:tc>
      </w:tr>
    </w:tbl>
    <w:p>
      <w:pPr>
        <w:pStyle w:val="Heading1"/>
        <w:spacing w:after="200" w:before="360"/>
      </w:pPr>
      <w:r>
        <w:rPr>
          <w:rFonts w:ascii="Arial" w:cs="Arial" w:eastAsia="Arial" w:hAnsi="Arial"/>
          <w:b/>
          <w:bCs/>
          <w:color w:val="1B2A4A"/>
          <w:sz w:val="32"/>
          <w:szCs w:val="32"/>
        </w:rPr>
        <w:t xml:space="preserve">4. Skill: Persona Evaluation</w:t>
      </w:r>
    </w:p>
    <w:p>
      <w:pPr>
        <w:spacing w:after="160" w:line="300"/>
      </w:pPr>
      <w:r>
        <w:rPr>
          <w:rFonts w:ascii="Arial" w:cs="Arial" w:eastAsia="Arial" w:hAnsi="Arial"/>
          <w:sz w:val="22"/>
          <w:szCs w:val="22"/>
        </w:rPr>
        <w:t xml:space="preserve">The persona-eval skill assesses audience resonance—not craft quality (that’s the script-audit’s job), but whether the content lands with the people it’s made for. It does this by simulating how five distinct target audience personas would experience the script, checkpoint by checkpoint, in first person.</w:t>
      </w:r>
    </w:p>
    <w:p>
      <w:pPr>
        <w:pStyle w:val="Heading2"/>
        <w:spacing w:after="160" w:before="280"/>
      </w:pPr>
      <w:r>
        <w:rPr>
          <w:rFonts w:ascii="Arial" w:cs="Arial" w:eastAsia="Arial" w:hAnsi="Arial"/>
          <w:b/>
          <w:bCs/>
          <w:color w:val="2E8B8B"/>
          <w:sz w:val="26"/>
          <w:szCs w:val="26"/>
        </w:rPr>
        <w:t xml:space="preserve">4.1 The Five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780"/>
        <w:gridCol w:w="2780"/>
      </w:tblGrid>
      <w:tr>
        <w:tc>
          <w:tcPr>
            <w:tcW w:type="dxa" w:w="1600"/>
            <w:tcBorders>
              <w:top w:val="single" w:color="BBCCCC" w:sz="1"/>
              <w:left w:val="single" w:color="BBCCCC" w:sz="1"/>
              <w:bottom w:val="single" w:color="BBCCCC" w:sz="1"/>
              <w:right w:val="single" w:color="BB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Persona</w:t>
            </w:r>
          </w:p>
        </w:tc>
        <w:tc>
          <w:tcPr>
            <w:tcW w:type="dxa" w:w="2200"/>
            <w:tcBorders>
              <w:top w:val="single" w:color="BBCCCC" w:sz="1"/>
              <w:left w:val="single" w:color="BBCCCC" w:sz="1"/>
              <w:bottom w:val="single" w:color="BBCCCC" w:sz="1"/>
              <w:right w:val="single" w:color="BB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Profile</w:t>
            </w:r>
          </w:p>
        </w:tc>
        <w:tc>
          <w:tcPr>
            <w:tcW w:type="dxa" w:w="2780"/>
            <w:tcBorders>
              <w:top w:val="single" w:color="BBCCCC" w:sz="1"/>
              <w:left w:val="single" w:color="BBCCCC" w:sz="1"/>
              <w:bottom w:val="single" w:color="BBCCCC" w:sz="1"/>
              <w:right w:val="single" w:color="BB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What Hooks Them</w:t>
            </w:r>
          </w:p>
        </w:tc>
        <w:tc>
          <w:tcPr>
            <w:tcW w:type="dxa" w:w="2780"/>
            <w:tcBorders>
              <w:top w:val="single" w:color="BBCCCC" w:sz="1"/>
              <w:left w:val="single" w:color="BBCCCC" w:sz="1"/>
              <w:bottom w:val="single" w:color="BBCCCC" w:sz="1"/>
              <w:right w:val="single" w:color="BB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What Loses Them</w:t>
            </w:r>
          </w:p>
        </w:tc>
      </w:tr>
      <w:tr>
        <w:tc>
          <w:tcPr>
            <w:tcW w:type="dxa" w:w="1600"/>
            <w:tcBorders>
              <w:top w:val="single" w:color="BBCCCC" w:sz="1"/>
              <w:left w:val="single" w:color="BBCCCC" w:sz="1"/>
              <w:bottom w:val="single" w:color="BBCCCC" w:sz="1"/>
              <w:right w:val="single" w:color="BBCCCC" w:sz="1"/>
            </w:tcBorders>
            <w:shd w:fill="F0F5F5" w:val="clear"/>
            <w:tcMar>
              <w:top w:type="dxa" w:w="80"/>
              <w:left w:type="dxa" w:w="120"/>
              <w:bottom w:type="dxa" w:w="80"/>
              <w:right w:type="dxa" w:w="120"/>
            </w:tcMar>
          </w:tcPr>
          <w:p>
            <w:pPr>
              <w:spacing w:after="0"/>
            </w:pPr>
            <w:r>
              <w:rPr>
                <w:rFonts w:ascii="Arial" w:cs="Arial" w:eastAsia="Arial" w:hAnsi="Arial"/>
                <w:sz w:val="18"/>
                <w:szCs w:val="18"/>
              </w:rPr>
              <w:t xml:space="preserve">Priya
(Geopolitics
Regular)</w:t>
            </w:r>
          </w:p>
        </w:tc>
        <w:tc>
          <w:tcPr>
            <w:tcW w:type="dxa" w:w="2200"/>
            <w:tcBorders>
              <w:top w:val="single" w:color="BBCCCC" w:sz="1"/>
              <w:left w:val="single" w:color="BBCCCC" w:sz="1"/>
              <w:bottom w:val="single" w:color="BBCCCC" w:sz="1"/>
              <w:right w:val="single" w:color="BBCCCC" w:sz="1"/>
            </w:tcBorders>
            <w:shd w:fill="F0F5F5" w:val="clear"/>
            <w:tcMar>
              <w:top w:type="dxa" w:w="80"/>
              <w:left w:type="dxa" w:w="120"/>
              <w:bottom w:type="dxa" w:w="80"/>
              <w:right w:type="dxa" w:w="120"/>
            </w:tcMar>
          </w:tcPr>
          <w:p>
            <w:pPr>
              <w:spacing w:after="0"/>
            </w:pPr>
            <w:r>
              <w:rPr>
                <w:rFonts w:ascii="Arial" w:cs="Arial" w:eastAsia="Arial" w:hAnsi="Arial"/>
                <w:sz w:val="18"/>
                <w:szCs w:val="18"/>
              </w:rPr>
              <w:t xml:space="preserve">34, DC policy analyst.
Reads Foreign Affairs,
follows CaspianReport.</w:t>
            </w:r>
          </w:p>
        </w:tc>
        <w:tc>
          <w:tcPr>
            <w:tcW w:type="dxa" w:w="2780"/>
            <w:tcBorders>
              <w:top w:val="single" w:color="BBCCCC" w:sz="1"/>
              <w:left w:val="single" w:color="BBCCCC" w:sz="1"/>
              <w:bottom w:val="single" w:color="BBCCCC" w:sz="1"/>
              <w:right w:val="single" w:color="BBCCCC" w:sz="1"/>
            </w:tcBorders>
            <w:shd w:fill="F0F5F5" w:val="clear"/>
            <w:tcMar>
              <w:top w:type="dxa" w:w="80"/>
              <w:left w:type="dxa" w:w="120"/>
              <w:bottom w:type="dxa" w:w="80"/>
              <w:right w:type="dxa" w:w="120"/>
            </w:tcMar>
          </w:tcPr>
          <w:p>
            <w:pPr>
              <w:spacing w:after="0"/>
            </w:pPr>
            <w:r>
              <w:rPr>
                <w:rFonts w:ascii="Arial" w:cs="Arial" w:eastAsia="Arial" w:hAnsi="Arial"/>
                <w:sz w:val="18"/>
                <w:szCs w:val="18"/>
              </w:rPr>
              <w:t xml:space="preserve">Novel framing she hasn’t
encountered. Historical
parallels that recontextualize.</w:t>
            </w:r>
          </w:p>
        </w:tc>
        <w:tc>
          <w:tcPr>
            <w:tcW w:type="dxa" w:w="2780"/>
            <w:tcBorders>
              <w:top w:val="single" w:color="BBCCCC" w:sz="1"/>
              <w:left w:val="single" w:color="BBCCCC" w:sz="1"/>
              <w:bottom w:val="single" w:color="BBCCCC" w:sz="1"/>
              <w:right w:val="single" w:color="BBCCCC" w:sz="1"/>
            </w:tcBorders>
            <w:shd w:fill="F0F5F5" w:val="clear"/>
            <w:tcMar>
              <w:top w:type="dxa" w:w="80"/>
              <w:left w:type="dxa" w:w="120"/>
              <w:bottom w:type="dxa" w:w="80"/>
              <w:right w:type="dxa" w:w="120"/>
            </w:tcMar>
          </w:tcPr>
          <w:p>
            <w:pPr>
              <w:spacing w:after="0"/>
            </w:pPr>
            <w:r>
              <w:rPr>
                <w:rFonts w:ascii="Arial" w:cs="Arial" w:eastAsia="Arial" w:hAnsi="Arial"/>
                <w:sz w:val="18"/>
                <w:szCs w:val="18"/>
              </w:rPr>
              <w:t xml:space="preserve">Retreading ground she
already knows.
Oversimplification.</w:t>
            </w:r>
          </w:p>
        </w:tc>
      </w:tr>
      <w:tr>
        <w:tc>
          <w:tcPr>
            <w:tcW w:type="dxa" w:w="1600"/>
            <w:tcBorders>
              <w:top w:val="single" w:color="BBCCCC" w:sz="1"/>
              <w:left w:val="single" w:color="BBCCCC" w:sz="1"/>
              <w:bottom w:val="single" w:color="BBCCCC" w:sz="1"/>
              <w:right w:val="single" w:color="BB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Marcus
(Algorithm
Discovery)</w:t>
            </w:r>
          </w:p>
        </w:tc>
        <w:tc>
          <w:tcPr>
            <w:tcW w:type="dxa" w:w="2200"/>
            <w:tcBorders>
              <w:top w:val="single" w:color="BBCCCC" w:sz="1"/>
              <w:left w:val="single" w:color="BBCCCC" w:sz="1"/>
              <w:bottom w:val="single" w:color="BBCCCC" w:sz="1"/>
              <w:right w:val="single" w:color="BB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28, software engineer.
YouTube recommended
this after Wendover.</w:t>
            </w:r>
          </w:p>
        </w:tc>
        <w:tc>
          <w:tcPr>
            <w:tcW w:type="dxa" w:w="2780"/>
            <w:tcBorders>
              <w:top w:val="single" w:color="BBCCCC" w:sz="1"/>
              <w:left w:val="single" w:color="BBCCCC" w:sz="1"/>
              <w:bottom w:val="single" w:color="BBCCCC" w:sz="1"/>
              <w:right w:val="single" w:color="BB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A surprising fact in the
first 30 seconds. A paradox.
The feeling of discovery.</w:t>
            </w:r>
          </w:p>
        </w:tc>
        <w:tc>
          <w:tcPr>
            <w:tcW w:type="dxa" w:w="2780"/>
            <w:tcBorders>
              <w:top w:val="single" w:color="BBCCCC" w:sz="1"/>
              <w:left w:val="single" w:color="BBCCCC" w:sz="1"/>
              <w:bottom w:val="single" w:color="BBCCCC" w:sz="1"/>
              <w:right w:val="single" w:color="BB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Jargon he has to decode.
More than 2 min of setup
before something surprising.</w:t>
            </w:r>
          </w:p>
        </w:tc>
      </w:tr>
      <w:tr>
        <w:tc>
          <w:tcPr>
            <w:tcW w:type="dxa" w:w="1600"/>
            <w:tcBorders>
              <w:top w:val="single" w:color="BBCCCC" w:sz="1"/>
              <w:left w:val="single" w:color="BBCCCC" w:sz="1"/>
              <w:bottom w:val="single" w:color="BBCCCC" w:sz="1"/>
              <w:right w:val="single" w:color="BBCCCC" w:sz="1"/>
            </w:tcBorders>
            <w:shd w:fill="F0F5F5" w:val="clear"/>
            <w:tcMar>
              <w:top w:type="dxa" w:w="80"/>
              <w:left w:type="dxa" w:w="120"/>
              <w:bottom w:type="dxa" w:w="80"/>
              <w:right w:type="dxa" w:w="120"/>
            </w:tcMar>
          </w:tcPr>
          <w:p>
            <w:pPr>
              <w:spacing w:after="0"/>
            </w:pPr>
            <w:r>
              <w:rPr>
                <w:rFonts w:ascii="Arial" w:cs="Arial" w:eastAsia="Arial" w:hAnsi="Arial"/>
                <w:sz w:val="18"/>
                <w:szCs w:val="18"/>
              </w:rPr>
              <w:t xml:space="preserve">Wei
(Chinese
Diaspora)</w:t>
            </w:r>
          </w:p>
        </w:tc>
        <w:tc>
          <w:tcPr>
            <w:tcW w:type="dxa" w:w="2200"/>
            <w:tcBorders>
              <w:top w:val="single" w:color="BBCCCC" w:sz="1"/>
              <w:left w:val="single" w:color="BBCCCC" w:sz="1"/>
              <w:bottom w:val="single" w:color="BBCCCC" w:sz="1"/>
              <w:right w:val="single" w:color="BBCCCC" w:sz="1"/>
            </w:tcBorders>
            <w:shd w:fill="F0F5F5" w:val="clear"/>
            <w:tcMar>
              <w:top w:type="dxa" w:w="80"/>
              <w:left w:type="dxa" w:w="120"/>
              <w:bottom w:type="dxa" w:w="80"/>
              <w:right w:type="dxa" w:w="120"/>
            </w:tcMar>
          </w:tcPr>
          <w:p>
            <w:pPr>
              <w:spacing w:after="0"/>
            </w:pPr>
            <w:r>
              <w:rPr>
                <w:rFonts w:ascii="Arial" w:cs="Arial" w:eastAsia="Arial" w:hAnsi="Arial"/>
                <w:sz w:val="18"/>
                <w:szCs w:val="18"/>
              </w:rPr>
              <w:t xml:space="preserve">31, PM in Singapore.
Born in China, educated
in the US.</w:t>
            </w:r>
          </w:p>
        </w:tc>
        <w:tc>
          <w:tcPr>
            <w:tcW w:type="dxa" w:w="2780"/>
            <w:tcBorders>
              <w:top w:val="single" w:color="BBCCCC" w:sz="1"/>
              <w:left w:val="single" w:color="BBCCCC" w:sz="1"/>
              <w:bottom w:val="single" w:color="BBCCCC" w:sz="1"/>
              <w:right w:val="single" w:color="BBCCCC" w:sz="1"/>
            </w:tcBorders>
            <w:shd w:fill="F0F5F5" w:val="clear"/>
            <w:tcMar>
              <w:top w:type="dxa" w:w="80"/>
              <w:left w:type="dxa" w:w="120"/>
              <w:bottom w:type="dxa" w:w="80"/>
              <w:right w:type="dxa" w:w="120"/>
            </w:tcMar>
          </w:tcPr>
          <w:p>
            <w:pPr>
              <w:spacing w:after="0"/>
            </w:pPr>
            <w:r>
              <w:rPr>
                <w:rFonts w:ascii="Arial" w:cs="Arial" w:eastAsia="Arial" w:hAnsi="Arial"/>
                <w:sz w:val="18"/>
                <w:szCs w:val="18"/>
              </w:rPr>
              <w:t xml:space="preserve">Someone who understands
Chinese cultural context.
Using concepts correctly.</w:t>
            </w:r>
          </w:p>
        </w:tc>
        <w:tc>
          <w:tcPr>
            <w:tcW w:type="dxa" w:w="2780"/>
            <w:tcBorders>
              <w:top w:val="single" w:color="BBCCCC" w:sz="1"/>
              <w:left w:val="single" w:color="BBCCCC" w:sz="1"/>
              <w:bottom w:val="single" w:color="BBCCCC" w:sz="1"/>
              <w:right w:val="single" w:color="BBCCCC" w:sz="1"/>
            </w:tcBorders>
            <w:shd w:fill="F0F5F5" w:val="clear"/>
            <w:tcMar>
              <w:top w:type="dxa" w:w="80"/>
              <w:left w:type="dxa" w:w="120"/>
              <w:bottom w:type="dxa" w:w="80"/>
              <w:right w:type="dxa" w:w="120"/>
            </w:tcMar>
          </w:tcPr>
          <w:p>
            <w:pPr>
              <w:spacing w:after="0"/>
            </w:pPr>
            <w:r>
              <w:rPr>
                <w:rFonts w:ascii="Arial" w:cs="Arial" w:eastAsia="Arial" w:hAnsi="Arial"/>
                <w:sz w:val="18"/>
                <w:szCs w:val="18"/>
              </w:rPr>
              <w:t xml:space="preserve">Western-centric framing.
Condescending explanations.
China as merely reactive.</w:t>
            </w:r>
          </w:p>
        </w:tc>
      </w:tr>
      <w:tr>
        <w:tc>
          <w:tcPr>
            <w:tcW w:type="dxa" w:w="1600"/>
            <w:tcBorders>
              <w:top w:val="single" w:color="BBCCCC" w:sz="1"/>
              <w:left w:val="single" w:color="BBCCCC" w:sz="1"/>
              <w:bottom w:val="single" w:color="BBCCCC" w:sz="1"/>
              <w:right w:val="single" w:color="BB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James
(Tech
Insider)</w:t>
            </w:r>
          </w:p>
        </w:tc>
        <w:tc>
          <w:tcPr>
            <w:tcW w:type="dxa" w:w="2200"/>
            <w:tcBorders>
              <w:top w:val="single" w:color="BBCCCC" w:sz="1"/>
              <w:left w:val="single" w:color="BBCCCC" w:sz="1"/>
              <w:bottom w:val="single" w:color="BBCCCC" w:sz="1"/>
              <w:right w:val="single" w:color="BB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41, director of engineering
at a semiconductor
equipment company.</w:t>
            </w:r>
          </w:p>
        </w:tc>
        <w:tc>
          <w:tcPr>
            <w:tcW w:type="dxa" w:w="2780"/>
            <w:tcBorders>
              <w:top w:val="single" w:color="BBCCCC" w:sz="1"/>
              <w:left w:val="single" w:color="BBCCCC" w:sz="1"/>
              <w:bottom w:val="single" w:color="BBCCCC" w:sz="1"/>
              <w:right w:val="single" w:color="BB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Getting technical details
right. Specific verifiable
numbers. Real nuance.</w:t>
            </w:r>
          </w:p>
        </w:tc>
        <w:tc>
          <w:tcPr>
            <w:tcW w:type="dxa" w:w="2780"/>
            <w:tcBorders>
              <w:top w:val="single" w:color="BBCCCC" w:sz="1"/>
              <w:left w:val="single" w:color="BBCCCC" w:sz="1"/>
              <w:bottom w:val="single" w:color="BBCCCC" w:sz="1"/>
              <w:right w:val="single" w:color="BBCCCC" w:sz="1"/>
            </w:tcBorders>
            <w:shd w:fill="FFFFFF" w:val="clear"/>
            <w:tcMar>
              <w:top w:type="dxa" w:w="80"/>
              <w:left w:type="dxa" w:w="120"/>
              <w:bottom w:type="dxa" w:w="80"/>
              <w:right w:type="dxa" w:w="120"/>
            </w:tcMar>
          </w:tcPr>
          <w:p>
            <w:pPr>
              <w:spacing w:after="0"/>
            </w:pPr>
            <w:r>
              <w:rPr>
                <w:rFonts w:ascii="Arial" w:cs="Arial" w:eastAsia="Arial" w:hAnsi="Arial"/>
                <w:sz w:val="18"/>
                <w:szCs w:val="18"/>
              </w:rPr>
              <w:t xml:space="preserve">Technical errors. Confident
claims about genuinely
uncertain things.</w:t>
            </w:r>
          </w:p>
        </w:tc>
      </w:tr>
      <w:tr>
        <w:tc>
          <w:tcPr>
            <w:tcW w:type="dxa" w:w="1600"/>
            <w:tcBorders>
              <w:top w:val="single" w:color="BBCCCC" w:sz="1"/>
              <w:left w:val="single" w:color="BBCCCC" w:sz="1"/>
              <w:bottom w:val="single" w:color="BBCCCC" w:sz="1"/>
              <w:right w:val="single" w:color="BBCCCC" w:sz="1"/>
            </w:tcBorders>
            <w:shd w:fill="F0F5F5" w:val="clear"/>
            <w:tcMar>
              <w:top w:type="dxa" w:w="80"/>
              <w:left w:type="dxa" w:w="120"/>
              <w:bottom w:type="dxa" w:w="80"/>
              <w:right w:type="dxa" w:w="120"/>
            </w:tcMar>
          </w:tcPr>
          <w:p>
            <w:pPr>
              <w:spacing w:after="0"/>
            </w:pPr>
            <w:r>
              <w:rPr>
                <w:rFonts w:ascii="Arial" w:cs="Arial" w:eastAsia="Arial" w:hAnsi="Arial"/>
                <w:sz w:val="18"/>
                <w:szCs w:val="18"/>
              </w:rPr>
              <w:t xml:space="preserve">Sofia
(Framework
Thinker)</w:t>
            </w:r>
          </w:p>
        </w:tc>
        <w:tc>
          <w:tcPr>
            <w:tcW w:type="dxa" w:w="2200"/>
            <w:tcBorders>
              <w:top w:val="single" w:color="BBCCCC" w:sz="1"/>
              <w:left w:val="single" w:color="BBCCCC" w:sz="1"/>
              <w:bottom w:val="single" w:color="BBCCCC" w:sz="1"/>
              <w:right w:val="single" w:color="BBCCCC" w:sz="1"/>
            </w:tcBorders>
            <w:shd w:fill="F0F5F5" w:val="clear"/>
            <w:tcMar>
              <w:top w:type="dxa" w:w="80"/>
              <w:left w:type="dxa" w:w="120"/>
              <w:bottom w:type="dxa" w:w="80"/>
              <w:right w:type="dxa" w:w="120"/>
            </w:tcMar>
          </w:tcPr>
          <w:p>
            <w:pPr>
              <w:spacing w:after="0"/>
            </w:pPr>
            <w:r>
              <w:rPr>
                <w:rFonts w:ascii="Arial" w:cs="Arial" w:eastAsia="Arial" w:hAnsi="Arial"/>
                <w:sz w:val="18"/>
                <w:szCs w:val="18"/>
              </w:rPr>
              <w:t xml:space="preserve">37, management consultant.
Reads Taleb, listens
to Lex Fridman.</w:t>
            </w:r>
          </w:p>
        </w:tc>
        <w:tc>
          <w:tcPr>
            <w:tcW w:type="dxa" w:w="2780"/>
            <w:tcBorders>
              <w:top w:val="single" w:color="BBCCCC" w:sz="1"/>
              <w:left w:val="single" w:color="BBCCCC" w:sz="1"/>
              <w:bottom w:val="single" w:color="BBCCCC" w:sz="1"/>
              <w:right w:val="single" w:color="BBCCCC" w:sz="1"/>
            </w:tcBorders>
            <w:shd w:fill="F0F5F5" w:val="clear"/>
            <w:tcMar>
              <w:top w:type="dxa" w:w="80"/>
              <w:left w:type="dxa" w:w="120"/>
              <w:bottom w:type="dxa" w:w="80"/>
              <w:right w:type="dxa" w:w="120"/>
            </w:tcMar>
          </w:tcPr>
          <w:p>
            <w:pPr>
              <w:spacing w:after="0"/>
            </w:pPr>
            <w:r>
              <w:rPr>
                <w:rFonts w:ascii="Arial" w:cs="Arial" w:eastAsia="Arial" w:hAnsi="Arial"/>
                <w:sz w:val="18"/>
                <w:szCs w:val="18"/>
              </w:rPr>
              <w:t xml:space="preserve">An extractable framework.
Game theory, systems
thinking, Bayesian reasoning.</w:t>
            </w:r>
          </w:p>
        </w:tc>
        <w:tc>
          <w:tcPr>
            <w:tcW w:type="dxa" w:w="2780"/>
            <w:tcBorders>
              <w:top w:val="single" w:color="BBCCCC" w:sz="1"/>
              <w:left w:val="single" w:color="BBCCCC" w:sz="1"/>
              <w:bottom w:val="single" w:color="BBCCCC" w:sz="1"/>
              <w:right w:val="single" w:color="BBCCCC" w:sz="1"/>
            </w:tcBorders>
            <w:shd w:fill="F0F5F5" w:val="clear"/>
            <w:tcMar>
              <w:top w:type="dxa" w:w="80"/>
              <w:left w:type="dxa" w:w="120"/>
              <w:bottom w:type="dxa" w:w="80"/>
              <w:right w:type="dxa" w:w="120"/>
            </w:tcMar>
          </w:tcPr>
          <w:p>
            <w:pPr>
              <w:spacing w:after="0"/>
            </w:pPr>
            <w:r>
              <w:rPr>
                <w:rFonts w:ascii="Arial" w:cs="Arial" w:eastAsia="Arial" w:hAnsi="Arial"/>
                <w:sz w:val="18"/>
                <w:szCs w:val="18"/>
              </w:rPr>
              <w:t xml:space="preserve">Pure news reporting
without a generalizable
insight. Missing the meta-lesson.</w:t>
            </w:r>
          </w:p>
        </w:tc>
      </w:tr>
    </w:tbl>
    <w:p>
      <w:pPr>
        <w:spacing w:after="200"/>
      </w:pPr>
    </w:p>
    <w:p>
      <w:pPr>
        <w:pStyle w:val="Heading2"/>
        <w:spacing w:after="160" w:before="280"/>
      </w:pPr>
      <w:r>
        <w:rPr>
          <w:rFonts w:ascii="Arial" w:cs="Arial" w:eastAsia="Arial" w:hAnsi="Arial"/>
          <w:b/>
          <w:bCs/>
          <w:color w:val="2E8B8B"/>
          <w:sz w:val="26"/>
          <w:szCs w:val="26"/>
        </w:rPr>
        <w:t xml:space="preserve">4.2 Checkpoint Structure</w:t>
      </w:r>
    </w:p>
    <w:p>
      <w:pPr>
        <w:spacing w:after="160" w:line="300"/>
      </w:pPr>
      <w:r>
        <w:rPr>
          <w:rFonts w:ascii="Arial" w:cs="Arial" w:eastAsia="Arial" w:hAnsi="Arial"/>
          <w:sz w:val="22"/>
          <w:szCs w:val="22"/>
        </w:rPr>
        <w:t xml:space="preserve">The skill walks each persona through the script chronologically, recording reactions at five checkpoints that correspond to YouTube viewer decision points:</w:t>
      </w:r>
    </w:p>
    <w:p>
      <w:pPr>
        <w:pStyle w:val="ListParagraph"/>
        <w:numPr>
          <w:ilvl w:val="0"/>
          <w:numId w:val="2"/>
        </w:numPr>
        <w:spacing w:after="80" w:line="300"/>
      </w:pPr>
      <w:r>
        <w:rPr>
          <w:rFonts w:ascii="Arial" w:cs="Arial" w:eastAsia="Arial" w:hAnsi="Arial"/>
          <w:b/>
          <w:bCs/>
          <w:sz w:val="22"/>
          <w:szCs w:val="22"/>
        </w:rPr>
        <w:t xml:space="preserve">The Hook </w:t>
      </w:r>
      <w:r>
        <w:rPr>
          <w:rFonts w:ascii="Arial" w:cs="Arial" w:eastAsia="Arial" w:hAnsi="Arial"/>
          <w:sz w:val="22"/>
          <w:szCs w:val="22"/>
        </w:rPr>
        <w:t xml:space="preserve">(first ~450 words / ~3 min): Would this persona keep watching?</w:t>
      </w:r>
    </w:p>
    <w:p>
      <w:pPr>
        <w:pStyle w:val="ListParagraph"/>
        <w:numPr>
          <w:ilvl w:val="0"/>
          <w:numId w:val="2"/>
        </w:numPr>
        <w:spacing w:after="80" w:line="300"/>
      </w:pPr>
      <w:r>
        <w:rPr>
          <w:rFonts w:ascii="Arial" w:cs="Arial" w:eastAsia="Arial" w:hAnsi="Arial"/>
          <w:b/>
          <w:bCs/>
          <w:sz w:val="22"/>
          <w:szCs w:val="22"/>
        </w:rPr>
        <w:t xml:space="preserve">The 7-Minute Mark </w:t>
      </w:r>
      <w:r>
        <w:rPr>
          <w:rFonts w:ascii="Arial" w:cs="Arial" w:eastAsia="Arial" w:hAnsi="Arial"/>
          <w:sz w:val="22"/>
          <w:szCs w:val="22"/>
        </w:rPr>
        <w:t xml:space="preserve">(~1,050 words): Still watching, fading, or gone?</w:t>
      </w:r>
    </w:p>
    <w:p>
      <w:pPr>
        <w:pStyle w:val="ListParagraph"/>
        <w:numPr>
          <w:ilvl w:val="0"/>
          <w:numId w:val="2"/>
        </w:numPr>
        <w:spacing w:after="80" w:line="300"/>
      </w:pPr>
      <w:r>
        <w:rPr>
          <w:rFonts w:ascii="Arial" w:cs="Arial" w:eastAsia="Arial" w:hAnsi="Arial"/>
          <w:b/>
          <w:bCs/>
          <w:sz w:val="22"/>
          <w:szCs w:val="22"/>
        </w:rPr>
        <w:t xml:space="preserve">The Midpoint </w:t>
      </w:r>
      <w:r>
        <w:rPr>
          <w:rFonts w:ascii="Arial" w:cs="Arial" w:eastAsia="Arial" w:hAnsi="Arial"/>
          <w:sz w:val="22"/>
          <w:szCs w:val="22"/>
        </w:rPr>
        <w:t xml:space="preserve">(~1,350 words / ~9 min): Engagement level and strongest moment so far.</w:t>
      </w:r>
    </w:p>
    <w:p>
      <w:pPr>
        <w:pStyle w:val="ListParagraph"/>
        <w:numPr>
          <w:ilvl w:val="0"/>
          <w:numId w:val="2"/>
        </w:numPr>
        <w:spacing w:after="80" w:line="300"/>
      </w:pPr>
      <w:r>
        <w:rPr>
          <w:rFonts w:ascii="Arial" w:cs="Arial" w:eastAsia="Arial" w:hAnsi="Arial"/>
          <w:b/>
          <w:bCs/>
          <w:sz w:val="22"/>
          <w:szCs w:val="22"/>
        </w:rPr>
        <w:t xml:space="preserve">The Final Third </w:t>
      </w:r>
      <w:r>
        <w:rPr>
          <w:rFonts w:ascii="Arial" w:cs="Arial" w:eastAsia="Arial" w:hAnsi="Arial"/>
          <w:sz w:val="22"/>
          <w:szCs w:val="22"/>
        </w:rPr>
        <w:t xml:space="preserve">(~1,800+ words / ~12 min): Would they watch to the end?</w:t>
      </w:r>
    </w:p>
    <w:p>
      <w:pPr>
        <w:pStyle w:val="ListParagraph"/>
        <w:numPr>
          <w:ilvl w:val="0"/>
          <w:numId w:val="2"/>
        </w:numPr>
        <w:spacing w:after="80" w:line="300"/>
      </w:pPr>
      <w:r>
        <w:rPr>
          <w:rFonts w:ascii="Arial" w:cs="Arial" w:eastAsia="Arial" w:hAnsi="Arial"/>
          <w:b/>
          <w:bCs/>
          <w:sz w:val="22"/>
          <w:szCs w:val="22"/>
        </w:rPr>
        <w:t xml:space="preserve">After the Video: </w:t>
      </w:r>
      <w:r>
        <w:rPr>
          <w:rFonts w:ascii="Arial" w:cs="Arial" w:eastAsia="Arial" w:hAnsi="Arial"/>
          <w:sz w:val="22"/>
          <w:szCs w:val="22"/>
        </w:rPr>
        <w:t xml:space="preserve">Would they subscribe? Share? What would they tell a friend?</w:t>
      </w:r>
    </w:p>
    <w:p>
      <w:pPr>
        <w:spacing w:after="120"/>
      </w:pPr>
    </w:p>
    <w:p>
      <w:pPr>
        <w:pStyle w:val="Heading2"/>
        <w:spacing w:after="160" w:before="280"/>
      </w:pPr>
      <w:r>
        <w:rPr>
          <w:rFonts w:ascii="Arial" w:cs="Arial" w:eastAsia="Arial" w:hAnsi="Arial"/>
          <w:b/>
          <w:bCs/>
          <w:color w:val="2E8B8B"/>
          <w:sz w:val="26"/>
          <w:szCs w:val="26"/>
        </w:rPr>
        <w:t xml:space="preserve">4.3 Scoring and Analysis</w:t>
      </w:r>
    </w:p>
    <w:p>
      <w:pPr>
        <w:spacing w:after="160" w:line="300"/>
      </w:pPr>
      <w:r>
        <w:rPr>
          <w:rFonts w:ascii="Arial" w:cs="Arial" w:eastAsia="Arial" w:hAnsi="Arial"/>
          <w:sz w:val="22"/>
          <w:szCs w:val="22"/>
        </w:rPr>
        <w:t xml:space="preserve">Each persona is scored on four dimensions (1–10): engagement (would they watch to the end?), resonance (did it feel made for them?), subscribe likelihood (would they come back?), and share likelihood (would they send it to someone?).</w:t>
      </w:r>
    </w:p>
    <w:p>
      <w:pPr>
        <w:spacing w:after="160" w:line="300"/>
      </w:pPr>
      <w:r>
        <w:rPr>
          <w:rFonts w:ascii="Arial" w:cs="Arial" w:eastAsia="Arial" w:hAnsi="Arial"/>
          <w:sz w:val="22"/>
          <w:szCs w:val="22"/>
        </w:rPr>
        <w:t xml:space="preserve">The cross-persona analysis then synthesizes: who is best served, who is underserved, and—most importantly—the </w:t>
      </w:r>
      <w:r>
        <w:rPr>
          <w:rFonts w:ascii="Arial" w:cs="Arial" w:eastAsia="Arial" w:hAnsi="Arial"/>
          <w:b/>
          <w:bCs/>
          <w:sz w:val="22"/>
          <w:szCs w:val="22"/>
        </w:rPr>
        <w:t xml:space="preserve">tension map</w:t>
      </w:r>
      <w:r>
        <w:rPr>
          <w:rFonts w:ascii="Arial" w:cs="Arial" w:eastAsia="Arial" w:hAnsi="Arial"/>
          <w:sz w:val="22"/>
          <w:szCs w:val="22"/>
        </w:rPr>
        <w:t xml:space="preserve">. The tension map reveals where persona needs conflict (e.g., Marcus needs simpler explanations, but James finds simplification insulting; Wei wants more Chinese-language depth, but Marcus would be lost). This is where editorial strategy lives. Every script implicitly prioritizes some viewers over others. The skill names that trade-off explicitly.</w:t>
      </w:r>
    </w:p>
    <w:p>
      <w:pPr>
        <w:pStyle w:val="Heading2"/>
        <w:spacing w:after="160" w:before="280"/>
      </w:pPr>
      <w:r>
        <w:rPr>
          <w:rFonts w:ascii="Arial" w:cs="Arial" w:eastAsia="Arial" w:hAnsi="Arial"/>
          <w:b/>
          <w:bCs/>
          <w:color w:val="2E8B8B"/>
          <w:sz w:val="26"/>
          <w:szCs w:val="26"/>
        </w:rPr>
        <w:t xml:space="preserve">4.4 Cross-Episode Learning</w:t>
      </w:r>
    </w:p>
    <w:p>
      <w:pPr>
        <w:spacing w:after="160" w:line="300"/>
      </w:pPr>
      <w:r>
        <w:rPr>
          <w:rFonts w:ascii="Arial" w:cs="Arial" w:eastAsia="Arial" w:hAnsi="Arial"/>
          <w:sz w:val="22"/>
          <w:szCs w:val="22"/>
        </w:rPr>
        <w:t xml:space="preserve">The skill’s most valuable output is the “Learning for Next Episode” section: 2–3 testable hypotheses framed as design constraints, not generic advice. Good example: “The chess/go metaphor landed with all five personas—this suggests game-theory framing is a channel signature worth doubling down on.” Bad example: “Consider the audience more carefully.”</w:t>
      </w:r>
    </w:p>
    <w:p>
      <w:pPr>
        <w:spacing w:after="160" w:line="300"/>
      </w:pPr>
      <w:r>
        <w:rPr>
          <w:rFonts w:ascii="Arial" w:cs="Arial" w:eastAsia="Arial" w:hAnsi="Arial"/>
          <w:sz w:val="22"/>
          <w:szCs w:val="22"/>
        </w:rPr>
        <w:t xml:space="preserve">When previous episode evaluations exist, the skill also compares across episodes: Are the same personas consistently underserved? Is the channel getting better at serving its weakest persona? Are there patterns in what works across all personas (channel signature strengths) or what fails across all personas (systemic weaknesses)?</w:t>
      </w:r>
    </w:p>
    <w:p>
      <w:pPr>
        <w:pStyle w:val="Heading1"/>
        <w:spacing w:after="200" w:before="360"/>
      </w:pPr>
      <w:r>
        <w:rPr>
          <w:rFonts w:ascii="Arial" w:cs="Arial" w:eastAsia="Arial" w:hAnsi="Arial"/>
          <w:b/>
          <w:bCs/>
          <w:color w:val="1B2A4A"/>
          <w:sz w:val="32"/>
          <w:szCs w:val="32"/>
        </w:rPr>
        <w:t xml:space="preserve">5. The Revision Log</w:t>
      </w:r>
    </w:p>
    <w:p>
      <w:pPr>
        <w:spacing w:after="160" w:line="300"/>
      </w:pPr>
      <w:r>
        <w:rPr>
          <w:rFonts w:ascii="Arial" w:cs="Arial" w:eastAsia="Arial" w:hAnsi="Arial"/>
          <w:sz w:val="22"/>
          <w:szCs w:val="22"/>
        </w:rPr>
        <w:t xml:space="preserve">Every episode folder contains a REVISION_LOG.md that tracks not just </w:t>
      </w:r>
      <w:r>
        <w:rPr>
          <w:rFonts w:ascii="Arial" w:cs="Arial" w:eastAsia="Arial" w:hAnsi="Arial"/>
          <w:i/>
          <w:iCs/>
          <w:sz w:val="22"/>
          <w:szCs w:val="22"/>
        </w:rPr>
        <w:t xml:space="preserve">what</w:t>
      </w:r>
      <w:r>
        <w:rPr>
          <w:rFonts w:ascii="Arial" w:cs="Arial" w:eastAsia="Arial" w:hAnsi="Arial"/>
          <w:sz w:val="22"/>
          <w:szCs w:val="22"/>
        </w:rPr>
        <w:t xml:space="preserve"> changed between versions, but </w:t>
      </w:r>
      <w:r>
        <w:rPr>
          <w:rFonts w:ascii="Arial" w:cs="Arial" w:eastAsia="Arial" w:hAnsi="Arial"/>
          <w:b/>
          <w:bCs/>
          <w:sz w:val="22"/>
          <w:szCs w:val="22"/>
        </w:rPr>
        <w:t xml:space="preserve">why</w:t>
      </w:r>
      <w:r>
        <w:rPr>
          <w:rFonts w:ascii="Arial" w:cs="Arial" w:eastAsia="Arial" w:hAnsi="Arial"/>
          <w:sz w:val="22"/>
          <w:szCs w:val="22"/>
        </w:rPr>
        <w:t xml:space="preserve">—what we learned about storytelling, audience, and editorial instincts. The revision log is the primary learning artifact. Skills produce evaluations; the revision log captures decisions.</w:t>
      </w:r>
    </w:p>
    <w:p>
      <w:pPr>
        <w:pStyle w:val="Heading2"/>
        <w:spacing w:after="160" w:before="280"/>
      </w:pPr>
      <w:r>
        <w:rPr>
          <w:rFonts w:ascii="Arial" w:cs="Arial" w:eastAsia="Arial" w:hAnsi="Arial"/>
          <w:b/>
          <w:bCs/>
          <w:color w:val="2E8B8B"/>
          <w:sz w:val="26"/>
          <w:szCs w:val="26"/>
        </w:rPr>
        <w:t xml:space="preserve">5.1 Structure</w:t>
      </w:r>
    </w:p>
    <w:p>
      <w:pPr>
        <w:spacing w:after="160" w:line="300"/>
      </w:pPr>
      <w:r>
        <w:rPr>
          <w:rFonts w:ascii="Arial" w:cs="Arial" w:eastAsia="Arial" w:hAnsi="Arial"/>
          <w:sz w:val="22"/>
          <w:szCs w:val="22"/>
        </w:rPr>
        <w:t xml:space="preserve">Each entry in the revision log records:</w:t>
      </w:r>
    </w:p>
    <w:p>
      <w:pPr>
        <w:pStyle w:val="ListParagraph"/>
        <w:numPr>
          <w:ilvl w:val="0"/>
          <w:numId w:val="3"/>
        </w:numPr>
        <w:spacing w:after="80" w:line="300"/>
      </w:pPr>
      <w:r>
        <w:rPr>
          <w:rFonts w:ascii="Arial" w:cs="Arial" w:eastAsia="Arial" w:hAnsi="Arial"/>
          <w:b/>
          <w:bCs/>
          <w:sz w:val="22"/>
          <w:szCs w:val="22"/>
        </w:rPr>
        <w:t xml:space="preserve">What it was: </w:t>
      </w:r>
      <w:r>
        <w:rPr>
          <w:rFonts w:ascii="Arial" w:cs="Arial" w:eastAsia="Arial" w:hAnsi="Arial"/>
          <w:sz w:val="22"/>
          <w:szCs w:val="22"/>
        </w:rPr>
        <w:t xml:space="preserve">A snapshot of the version’s structure, word count, and core approach.</w:t>
      </w:r>
    </w:p>
    <w:p>
      <w:pPr>
        <w:pStyle w:val="ListParagraph"/>
        <w:numPr>
          <w:ilvl w:val="0"/>
          <w:numId w:val="3"/>
        </w:numPr>
        <w:spacing w:after="80" w:line="300"/>
      </w:pPr>
      <w:r>
        <w:rPr>
          <w:rFonts w:ascii="Arial" w:cs="Arial" w:eastAsia="Arial" w:hAnsi="Arial"/>
          <w:b/>
          <w:bCs/>
          <w:sz w:val="22"/>
          <w:szCs w:val="22"/>
        </w:rPr>
        <w:t xml:space="preserve">What changed: </w:t>
      </w:r>
      <w:r>
        <w:rPr>
          <w:rFonts w:ascii="Arial" w:cs="Arial" w:eastAsia="Arial" w:hAnsi="Arial"/>
          <w:sz w:val="22"/>
          <w:szCs w:val="22"/>
        </w:rPr>
        <w:t xml:space="preserve">Specific structural and textural changes, with enough detail to understand the magnitude.</w:t>
      </w:r>
    </w:p>
    <w:p>
      <w:pPr>
        <w:pStyle w:val="ListParagraph"/>
        <w:numPr>
          <w:ilvl w:val="0"/>
          <w:numId w:val="3"/>
        </w:numPr>
        <w:spacing w:after="80" w:line="300"/>
      </w:pPr>
      <w:r>
        <w:rPr>
          <w:rFonts w:ascii="Arial" w:cs="Arial" w:eastAsia="Arial" w:hAnsi="Arial"/>
          <w:b/>
          <w:bCs/>
          <w:sz w:val="22"/>
          <w:szCs w:val="22"/>
        </w:rPr>
        <w:t xml:space="preserve">Why: </w:t>
      </w:r>
      <w:r>
        <w:rPr>
          <w:rFonts w:ascii="Arial" w:cs="Arial" w:eastAsia="Arial" w:hAnsi="Arial"/>
          <w:sz w:val="22"/>
          <w:szCs w:val="22"/>
        </w:rPr>
        <w:t xml:space="preserve">The reasoning behind each change—what problem it solved, what insight it applied.</w:t>
      </w:r>
    </w:p>
    <w:p>
      <w:pPr>
        <w:pStyle w:val="ListParagraph"/>
        <w:numPr>
          <w:ilvl w:val="0"/>
          <w:numId w:val="3"/>
        </w:numPr>
        <w:spacing w:after="80" w:line="300"/>
      </w:pPr>
      <w:r>
        <w:rPr>
          <w:rFonts w:ascii="Arial" w:cs="Arial" w:eastAsia="Arial" w:hAnsi="Arial"/>
          <w:b/>
          <w:bCs/>
          <w:sz w:val="22"/>
          <w:szCs w:val="22"/>
        </w:rPr>
        <w:t xml:space="preserve">Lessons: </w:t>
      </w:r>
      <w:r>
        <w:rPr>
          <w:rFonts w:ascii="Arial" w:cs="Arial" w:eastAsia="Arial" w:hAnsi="Arial"/>
          <w:sz w:val="22"/>
          <w:szCs w:val="22"/>
        </w:rPr>
        <w:t xml:space="preserve">Generalizable principles extracted from the specific changes. These are what compound across episodes.</w:t>
      </w:r>
    </w:p>
    <w:p>
      <w:pPr>
        <w:spacing w:after="120"/>
      </w:pPr>
    </w:p>
    <w:p>
      <w:pPr>
        <w:pStyle w:val="Heading2"/>
        <w:spacing w:after="160" w:before="280"/>
      </w:pPr>
      <w:r>
        <w:rPr>
          <w:rFonts w:ascii="Arial" w:cs="Arial" w:eastAsia="Arial" w:hAnsi="Arial"/>
          <w:b/>
          <w:bCs/>
          <w:color w:val="2E8B8B"/>
          <w:sz w:val="26"/>
          <w:szCs w:val="26"/>
        </w:rPr>
        <w:t xml:space="preserve">5.2 Example Lessons from EP01</w:t>
      </w:r>
    </w:p>
    <w:p>
      <w:pPr>
        <w:spacing w:after="160" w:line="300"/>
      </w:pPr>
      <w:r>
        <w:rPr>
          <w:rFonts w:ascii="Arial" w:cs="Arial" w:eastAsia="Arial" w:hAnsi="Arial"/>
          <w:sz w:val="22"/>
          <w:szCs w:val="22"/>
        </w:rPr>
        <w:t xml:space="preserve">The EP01 revision log (across three versions) produced several lessons that now inform how every future script is written:</w:t>
      </w:r>
    </w:p>
    <w:p>
      <w:pPr>
        <w:pStyle w:val="ListParagraph"/>
        <w:numPr>
          <w:ilvl w:val="0"/>
          <w:numId w:val="3"/>
        </w:numPr>
        <w:spacing w:after="80" w:line="300"/>
      </w:pPr>
      <w:r>
        <w:rPr>
          <w:rFonts w:ascii="Arial" w:cs="Arial" w:eastAsia="Arial" w:hAnsi="Arial"/>
          <w:i/>
          <w:iCs/>
          <w:sz w:val="22"/>
          <w:szCs w:val="22"/>
        </w:rPr>
        <w:t xml:space="preserve">“Organizing by ‘things you need to know’ is lecture structure. Organizing by ‘questions that keep tightening’ is story structure.”</w:t>
      </w:r>
      <w:r>
        <w:rPr>
          <w:rFonts w:ascii="Arial" w:cs="Arial" w:eastAsia="Arial" w:hAnsi="Arial"/>
          <w:sz w:val="22"/>
          <w:szCs w:val="22"/>
        </w:rPr>
        <w:t xml:space="preserve"> — This became the primary structural test for all future drafts.</w:t>
      </w:r>
    </w:p>
    <w:p>
      <w:pPr>
        <w:pStyle w:val="ListParagraph"/>
        <w:numPr>
          <w:ilvl w:val="0"/>
          <w:numId w:val="3"/>
        </w:numPr>
        <w:spacing w:after="80" w:line="300"/>
      </w:pPr>
      <w:r>
        <w:rPr>
          <w:rFonts w:ascii="Arial" w:cs="Arial" w:eastAsia="Arial" w:hAnsi="Arial"/>
          <w:i/>
          <w:iCs/>
          <w:sz w:val="22"/>
          <w:szCs w:val="22"/>
        </w:rPr>
        <w:t xml:space="preserve">“Dissolving a beat is more powerful than compressing it.”</w:t>
      </w:r>
      <w:r>
        <w:rPr>
          <w:rFonts w:ascii="Arial" w:cs="Arial" w:eastAsia="Arial" w:hAnsi="Arial"/>
          <w:sz w:val="22"/>
          <w:szCs w:val="22"/>
        </w:rPr>
        <w:t xml:space="preserve"> — When a section isn’t working, redistributing its insights into surrounding beats often works better than trying to make it shorter.</w:t>
      </w:r>
    </w:p>
    <w:p>
      <w:pPr>
        <w:pStyle w:val="ListParagraph"/>
        <w:numPr>
          <w:ilvl w:val="0"/>
          <w:numId w:val="3"/>
        </w:numPr>
        <w:spacing w:after="80" w:line="300"/>
      </w:pPr>
      <w:r>
        <w:rPr>
          <w:rFonts w:ascii="Arial" w:cs="Arial" w:eastAsia="Arial" w:hAnsi="Arial"/>
          <w:i/>
          <w:iCs/>
          <w:sz w:val="22"/>
          <w:szCs w:val="22"/>
        </w:rPr>
        <w:t xml:space="preserve">“Signpost phrases are a symptom, not the disease.”</w:t>
      </w:r>
      <w:r>
        <w:rPr>
          <w:rFonts w:ascii="Arial" w:cs="Arial" w:eastAsia="Arial" w:hAnsi="Arial"/>
          <w:sz w:val="22"/>
          <w:szCs w:val="22"/>
        </w:rPr>
        <w:t xml:space="preserve"> — When a script needs “Here’s the problem” to stay coherent, the real issue is structural, not stylistic.</w:t>
      </w:r>
    </w:p>
    <w:p>
      <w:pPr>
        <w:pStyle w:val="ListParagraph"/>
        <w:numPr>
          <w:ilvl w:val="0"/>
          <w:numId w:val="3"/>
        </w:numPr>
        <w:spacing w:after="80" w:line="300"/>
      </w:pPr>
      <w:r>
        <w:rPr>
          <w:rFonts w:ascii="Arial" w:cs="Arial" w:eastAsia="Arial" w:hAnsi="Arial"/>
          <w:i/>
          <w:iCs/>
          <w:sz w:val="22"/>
          <w:szCs w:val="22"/>
        </w:rPr>
        <w:t xml:space="preserve">“Human moments don’t have to be long.”</w:t>
      </w:r>
      <w:r>
        <w:rPr>
          <w:rFonts w:ascii="Arial" w:cs="Arial" w:eastAsia="Arial" w:hAnsi="Arial"/>
          <w:sz w:val="22"/>
          <w:szCs w:val="22"/>
        </w:rPr>
        <w:t xml:space="preserve"> — A single sentence anchoring an abstraction to a specific person or place does more work than a paragraph of analysis.</w:t>
      </w:r>
    </w:p>
    <w:p>
      <w:pPr>
        <w:spacing w:after="120"/>
      </w:pPr>
    </w:p>
    <w:p>
      <w:pPr>
        <w:pStyle w:val="Heading1"/>
        <w:spacing w:after="200" w:before="360"/>
      </w:pPr>
      <w:r>
        <w:rPr>
          <w:rFonts w:ascii="Arial" w:cs="Arial" w:eastAsia="Arial" w:hAnsi="Arial"/>
          <w:b/>
          <w:bCs/>
          <w:color w:val="1B2A4A"/>
          <w:sz w:val="32"/>
          <w:szCs w:val="32"/>
        </w:rPr>
        <w:t xml:space="preserve">6. Episode File Structure</w:t>
      </w:r>
    </w:p>
    <w:p>
      <w:pPr>
        <w:spacing w:after="160" w:line="300"/>
      </w:pPr>
      <w:r>
        <w:rPr>
          <w:rFonts w:ascii="Arial" w:cs="Arial" w:eastAsia="Arial" w:hAnsi="Arial"/>
          <w:sz w:val="22"/>
          <w:szCs w:val="22"/>
        </w:rPr>
        <w:t xml:space="preserve">Each episode lives in its own folder with version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CCCC" w:sz="1"/>
              <w:left w:val="single" w:color="BBCCCC" w:sz="1"/>
              <w:bottom w:val="single" w:color="BBCCCC" w:sz="1"/>
              <w:right w:val="single" w:color="BB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File</w:t>
            </w:r>
          </w:p>
        </w:tc>
        <w:tc>
          <w:tcPr>
            <w:tcW w:type="dxa" w:w="6160"/>
            <w:tcBorders>
              <w:top w:val="single" w:color="BBCCCC" w:sz="1"/>
              <w:left w:val="single" w:color="BBCCCC" w:sz="1"/>
              <w:bottom w:val="single" w:color="BBCCCC" w:sz="1"/>
              <w:right w:val="single" w:color="BB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3200"/>
            <w:tcBorders>
              <w:top w:val="single" w:color="BBCCCC" w:sz="1"/>
              <w:left w:val="single" w:color="BBCCCC" w:sz="1"/>
              <w:bottom w:val="single" w:color="BBCCCC" w:sz="1"/>
              <w:right w:val="single" w:color="BBCCCC" w:sz="1"/>
            </w:tcBorders>
            <w:shd w:fill="F0F5F5" w:val="clear"/>
            <w:tcMar>
              <w:top w:type="dxa" w:w="80"/>
              <w:left w:type="dxa" w:w="120"/>
              <w:bottom w:type="dxa" w:w="80"/>
              <w:right w:type="dxa" w:w="120"/>
            </w:tcMar>
          </w:tcPr>
          <w:p>
            <w:pPr>
              <w:spacing w:after="0"/>
            </w:pPr>
            <w:r>
              <w:rPr>
                <w:rFonts w:ascii="Arial" w:cs="Arial" w:eastAsia="Arial" w:hAnsi="Arial"/>
                <w:sz w:val="20"/>
                <w:szCs w:val="20"/>
              </w:rPr>
              <w:t xml:space="preserve">brief.md</w:t>
            </w:r>
          </w:p>
        </w:tc>
        <w:tc>
          <w:tcPr>
            <w:tcW w:type="dxa" w:w="6160"/>
            <w:tcBorders>
              <w:top w:val="single" w:color="BBCCCC" w:sz="1"/>
              <w:left w:val="single" w:color="BBCCCC" w:sz="1"/>
              <w:bottom w:val="single" w:color="BBCCCC" w:sz="1"/>
              <w:right w:val="single" w:color="BBCCCC" w:sz="1"/>
            </w:tcBorders>
            <w:shd w:fill="F0F5F5" w:val="clear"/>
            <w:tcMar>
              <w:top w:type="dxa" w:w="80"/>
              <w:left w:type="dxa" w:w="120"/>
              <w:bottom w:type="dxa" w:w="80"/>
              <w:right w:type="dxa" w:w="120"/>
            </w:tcMar>
          </w:tcPr>
          <w:p>
            <w:pPr>
              <w:spacing w:after="0"/>
            </w:pPr>
            <w:r>
              <w:rPr>
                <w:rFonts w:ascii="Arial" w:cs="Arial" w:eastAsia="Arial" w:hAnsi="Arial"/>
                <w:sz w:val="20"/>
                <w:szCs w:val="20"/>
              </w:rPr>
              <w:t xml:space="preserve">Episode structured brief with research dossier and verification table (17+ claims with sourcing status).</w:t>
            </w:r>
          </w:p>
        </w:tc>
      </w:tr>
      <w:tr>
        <w:tc>
          <w:tcPr>
            <w:tcW w:type="dxa" w:w="3200"/>
            <w:tcBorders>
              <w:top w:val="single" w:color="BBCCCC" w:sz="1"/>
              <w:left w:val="single" w:color="BBCCCC" w:sz="1"/>
              <w:bottom w:val="single" w:color="BBCCCC" w:sz="1"/>
              <w:right w:val="single" w:color="BB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script-v1.md</w:t>
            </w:r>
          </w:p>
        </w:tc>
        <w:tc>
          <w:tcPr>
            <w:tcW w:type="dxa" w:w="6160"/>
            <w:tcBorders>
              <w:top w:val="single" w:color="BBCCCC" w:sz="1"/>
              <w:left w:val="single" w:color="BBCCCC" w:sz="1"/>
              <w:bottom w:val="single" w:color="BBCCCC" w:sz="1"/>
              <w:right w:val="single" w:color="BB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First draft. Never deleted—serves as baseline for measuring improvement.</w:t>
            </w:r>
          </w:p>
        </w:tc>
      </w:tr>
      <w:tr>
        <w:tc>
          <w:tcPr>
            <w:tcW w:type="dxa" w:w="3200"/>
            <w:tcBorders>
              <w:top w:val="single" w:color="BBCCCC" w:sz="1"/>
              <w:left w:val="single" w:color="BBCCCC" w:sz="1"/>
              <w:bottom w:val="single" w:color="BBCCCC" w:sz="1"/>
              <w:right w:val="single" w:color="BBCCCC" w:sz="1"/>
            </w:tcBorders>
            <w:shd w:fill="F0F5F5" w:val="clear"/>
            <w:tcMar>
              <w:top w:type="dxa" w:w="80"/>
              <w:left w:type="dxa" w:w="120"/>
              <w:bottom w:type="dxa" w:w="80"/>
              <w:right w:type="dxa" w:w="120"/>
            </w:tcMar>
          </w:tcPr>
          <w:p>
            <w:pPr>
              <w:spacing w:after="0"/>
            </w:pPr>
            <w:r>
              <w:rPr>
                <w:rFonts w:ascii="Arial" w:cs="Arial" w:eastAsia="Arial" w:hAnsi="Arial"/>
                <w:sz w:val="20"/>
                <w:szCs w:val="20"/>
              </w:rPr>
              <w:t xml:space="preserve">script-v2.md, v3.md, ...</w:t>
            </w:r>
          </w:p>
        </w:tc>
        <w:tc>
          <w:tcPr>
            <w:tcW w:type="dxa" w:w="6160"/>
            <w:tcBorders>
              <w:top w:val="single" w:color="BBCCCC" w:sz="1"/>
              <w:left w:val="single" w:color="BBCCCC" w:sz="1"/>
              <w:bottom w:val="single" w:color="BBCCCC" w:sz="1"/>
              <w:right w:val="single" w:color="BBCCCC" w:sz="1"/>
            </w:tcBorders>
            <w:shd w:fill="F0F5F5" w:val="clear"/>
            <w:tcMar>
              <w:top w:type="dxa" w:w="80"/>
              <w:left w:type="dxa" w:w="120"/>
              <w:bottom w:type="dxa" w:w="80"/>
              <w:right w:type="dxa" w:w="120"/>
            </w:tcMar>
          </w:tcPr>
          <w:p>
            <w:pPr>
              <w:spacing w:after="0"/>
            </w:pPr>
            <w:r>
              <w:rPr>
                <w:rFonts w:ascii="Arial" w:cs="Arial" w:eastAsia="Arial" w:hAnsi="Arial"/>
                <w:sz w:val="20"/>
                <w:szCs w:val="20"/>
              </w:rPr>
              <w:t xml:space="preserve">Each revision saved as a separate file. Version numbers only increment after substantive structural changes.</w:t>
            </w:r>
          </w:p>
        </w:tc>
      </w:tr>
      <w:tr>
        <w:tc>
          <w:tcPr>
            <w:tcW w:type="dxa" w:w="3200"/>
            <w:tcBorders>
              <w:top w:val="single" w:color="BBCCCC" w:sz="1"/>
              <w:left w:val="single" w:color="BBCCCC" w:sz="1"/>
              <w:bottom w:val="single" w:color="BBCCCC" w:sz="1"/>
              <w:right w:val="single" w:color="BB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REVISION_LOG.md</w:t>
            </w:r>
          </w:p>
        </w:tc>
        <w:tc>
          <w:tcPr>
            <w:tcW w:type="dxa" w:w="6160"/>
            <w:tcBorders>
              <w:top w:val="single" w:color="BBCCCC" w:sz="1"/>
              <w:left w:val="single" w:color="BBCCCC" w:sz="1"/>
              <w:bottom w:val="single" w:color="BBCCCC" w:sz="1"/>
              <w:right w:val="single" w:color="BB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The learning artifact. Tracks what changed, why, and lessons extracted. See Section 5.</w:t>
            </w:r>
          </w:p>
        </w:tc>
      </w:tr>
      <w:tr>
        <w:tc>
          <w:tcPr>
            <w:tcW w:type="dxa" w:w="3200"/>
            <w:tcBorders>
              <w:top w:val="single" w:color="BBCCCC" w:sz="1"/>
              <w:left w:val="single" w:color="BBCCCC" w:sz="1"/>
              <w:bottom w:val="single" w:color="BBCCCC" w:sz="1"/>
              <w:right w:val="single" w:color="BBCCCC" w:sz="1"/>
            </w:tcBorders>
            <w:shd w:fill="F0F5F5" w:val="clear"/>
            <w:tcMar>
              <w:top w:type="dxa" w:w="80"/>
              <w:left w:type="dxa" w:w="120"/>
              <w:bottom w:type="dxa" w:w="80"/>
              <w:right w:type="dxa" w:w="120"/>
            </w:tcMar>
          </w:tcPr>
          <w:p>
            <w:pPr>
              <w:spacing w:after="0"/>
            </w:pPr>
            <w:r>
              <w:rPr>
                <w:rFonts w:ascii="Arial" w:cs="Arial" w:eastAsia="Arial" w:hAnsi="Arial"/>
                <w:sz w:val="20"/>
                <w:szCs w:val="20"/>
              </w:rPr>
              <w:t xml:space="preserve">research/</w:t>
            </w:r>
          </w:p>
        </w:tc>
        <w:tc>
          <w:tcPr>
            <w:tcW w:type="dxa" w:w="6160"/>
            <w:tcBorders>
              <w:top w:val="single" w:color="BBCCCC" w:sz="1"/>
              <w:left w:val="single" w:color="BBCCCC" w:sz="1"/>
              <w:bottom w:val="single" w:color="BBCCCC" w:sz="1"/>
              <w:right w:val="single" w:color="BBCCCC" w:sz="1"/>
            </w:tcBorders>
            <w:shd w:fill="F0F5F5" w:val="clear"/>
            <w:tcMar>
              <w:top w:type="dxa" w:w="80"/>
              <w:left w:type="dxa" w:w="120"/>
              <w:bottom w:type="dxa" w:w="80"/>
              <w:right w:type="dxa" w:w="120"/>
            </w:tcMar>
          </w:tcPr>
          <w:p>
            <w:pPr>
              <w:spacing w:after="0"/>
            </w:pPr>
            <w:r>
              <w:rPr>
                <w:rFonts w:ascii="Arial" w:cs="Arial" w:eastAsia="Arial" w:hAnsi="Arial"/>
                <w:sz w:val="20"/>
                <w:szCs w:val="20"/>
              </w:rPr>
              <w:t xml:space="preserve">Subfolder for research prompts, pipeline designs, and raw research outputs.</w:t>
            </w:r>
          </w:p>
        </w:tc>
      </w:tr>
    </w:tbl>
    <w:p>
      <w:pPr>
        <w:spacing w:after="200"/>
      </w:pPr>
    </w:p>
    <w:p>
      <w:pPr>
        <w:pStyle w:val="Heading1"/>
        <w:spacing w:after="200" w:before="360"/>
      </w:pPr>
      <w:r>
        <w:rPr>
          <w:rFonts w:ascii="Arial" w:cs="Arial" w:eastAsia="Arial" w:hAnsi="Arial"/>
          <w:b/>
          <w:bCs/>
          <w:color w:val="1B2A4A"/>
          <w:sz w:val="32"/>
          <w:szCs w:val="32"/>
        </w:rPr>
        <w:t xml:space="preserve">7. How the Pieces Connect</w:t>
      </w:r>
    </w:p>
    <w:p>
      <w:pPr>
        <w:spacing w:after="160" w:line="300"/>
      </w:pPr>
      <w:r>
        <w:rPr>
          <w:rFonts w:ascii="Arial" w:cs="Arial" w:eastAsia="Arial" w:hAnsi="Arial"/>
          <w:sz w:val="22"/>
          <w:szCs w:val="22"/>
        </w:rPr>
        <w:t xml:space="preserve">The infrastructure is designed as a </w:t>
      </w:r>
      <w:r>
        <w:rPr>
          <w:rFonts w:ascii="Arial" w:cs="Arial" w:eastAsia="Arial" w:hAnsi="Arial"/>
          <w:b/>
          <w:bCs/>
          <w:sz w:val="22"/>
          <w:szCs w:val="22"/>
        </w:rPr>
        <w:t xml:space="preserve">learning loop</w:t>
      </w:r>
      <w:r>
        <w:rPr>
          <w:rFonts w:ascii="Arial" w:cs="Arial" w:eastAsia="Arial" w:hAnsi="Arial"/>
          <w:sz w:val="22"/>
          <w:szCs w:val="22"/>
        </w:rPr>
        <w:t xml:space="preserve">, not a quality gate. The goal is not to get a perfect score from the skills—it’s to surface the specific trade-offs each script is making and to make those trade-offs deliberately rather than accidentally.</w:t>
      </w:r>
    </w:p>
    <w:p>
      <w:pPr>
        <w:pStyle w:val="Heading2"/>
        <w:spacing w:after="160" w:before="280"/>
      </w:pPr>
      <w:r>
        <w:rPr>
          <w:rFonts w:ascii="Arial" w:cs="Arial" w:eastAsia="Arial" w:hAnsi="Arial"/>
          <w:b/>
          <w:bCs/>
          <w:color w:val="2E8B8B"/>
          <w:sz w:val="26"/>
          <w:szCs w:val="26"/>
        </w:rPr>
        <w:t xml:space="preserve">7.1 Script Audit vs. Persona Eval</w:t>
      </w:r>
    </w:p>
    <w:p>
      <w:pPr>
        <w:spacing w:after="160" w:line="300"/>
      </w:pPr>
      <w:r>
        <w:rPr>
          <w:rFonts w:ascii="Arial" w:cs="Arial" w:eastAsia="Arial" w:hAnsi="Arial"/>
          <w:sz w:val="22"/>
          <w:szCs w:val="22"/>
        </w:rPr>
        <w:t xml:space="preserve">These two skills ask fundamentally different questions. The script audit asks: </w:t>
      </w:r>
      <w:r>
        <w:rPr>
          <w:rFonts w:ascii="Arial" w:cs="Arial" w:eastAsia="Arial" w:hAnsi="Arial"/>
          <w:i/>
          <w:iCs/>
          <w:sz w:val="22"/>
          <w:szCs w:val="22"/>
        </w:rPr>
        <w:t xml:space="preserve">is this well-crafted?</w:t>
      </w:r>
      <w:r>
        <w:rPr>
          <w:rFonts w:ascii="Arial" w:cs="Arial" w:eastAsia="Arial" w:hAnsi="Arial"/>
          <w:sz w:val="22"/>
          <w:szCs w:val="22"/>
        </w:rPr>
        <w:t xml:space="preserve"> The persona eval asks: </w:t>
      </w:r>
      <w:r>
        <w:rPr>
          <w:rFonts w:ascii="Arial" w:cs="Arial" w:eastAsia="Arial" w:hAnsi="Arial"/>
          <w:i/>
          <w:iCs/>
          <w:sz w:val="22"/>
          <w:szCs w:val="22"/>
        </w:rPr>
        <w:t xml:space="preserve">does this resonate with the right people?</w:t>
      </w:r>
      <w:r>
        <w:rPr>
          <w:rFonts w:ascii="Arial" w:cs="Arial" w:eastAsia="Arial" w:hAnsi="Arial"/>
          <w:sz w:val="22"/>
          <w:szCs w:val="22"/>
        </w:rPr>
        <w:t xml:space="preserve"> A script can be well-crafted and still fail to connect with a target audience (too technical for casual viewers, too simplified for insiders). And a script can resonate strongly with one persona while alienating another. The tension between these two evaluations is where the most useful editorial decisions live.</w:t>
      </w:r>
    </w:p>
    <w:p>
      <w:pPr>
        <w:pStyle w:val="Heading2"/>
        <w:spacing w:after="160" w:before="280"/>
      </w:pPr>
      <w:r>
        <w:rPr>
          <w:rFonts w:ascii="Arial" w:cs="Arial" w:eastAsia="Arial" w:hAnsi="Arial"/>
          <w:b/>
          <w:bCs/>
          <w:color w:val="2E8B8B"/>
          <w:sz w:val="26"/>
          <w:szCs w:val="26"/>
        </w:rPr>
        <w:t xml:space="preserve">7.2 The Compounding Mechanism</w:t>
      </w:r>
    </w:p>
    <w:p>
      <w:pPr>
        <w:spacing w:after="160" w:line="300"/>
      </w:pPr>
      <w:r>
        <w:rPr>
          <w:rFonts w:ascii="Arial" w:cs="Arial" w:eastAsia="Arial" w:hAnsi="Arial"/>
          <w:sz w:val="22"/>
          <w:szCs w:val="22"/>
        </w:rPr>
        <w:t xml:space="preserve">Episode N’s persona eval produces hypotheses. Episode N+1’s draft incorporates those hypotheses as design constraints. Episode N+1’s persona eval then tests whether the hypotheses were correct. Over time, this builds a body of evidence about what actually works for the channel’s specific audience—not generic best practices, but tested, episode-specific knowledge.</w:t>
      </w:r>
    </w:p>
    <w:p>
      <w:pPr>
        <w:spacing w:after="160" w:line="300"/>
      </w:pPr>
      <w:r>
        <w:rPr>
          <w:rFonts w:ascii="Arial" w:cs="Arial" w:eastAsia="Arial" w:hAnsi="Arial"/>
          <w:sz w:val="22"/>
          <w:szCs w:val="22"/>
        </w:rPr>
        <w:t xml:space="preserve">Example from EP01: the persona eval found that the chess/go metaphor landed across all five personas. Hypothesis: game-theory framing is a channel signature worth doubling down on. EP02 will test this by using a game-theory frame early. If all five personas respond well again, it becomes a confirmed pattern. If not, we learn what conditions make it work.</w:t>
      </w:r>
    </w:p>
    <w:p>
      <w:pPr>
        <w:pStyle w:val="Heading2"/>
        <w:spacing w:after="160" w:before="280"/>
      </w:pPr>
      <w:r>
        <w:rPr>
          <w:rFonts w:ascii="Arial" w:cs="Arial" w:eastAsia="Arial" w:hAnsi="Arial"/>
          <w:b/>
          <w:bCs/>
          <w:color w:val="2E8B8B"/>
          <w:sz w:val="26"/>
          <w:szCs w:val="26"/>
        </w:rPr>
        <w:t xml:space="preserve">7.3 What the Skills Cannot Do</w:t>
      </w:r>
    </w:p>
    <w:p>
      <w:pPr>
        <w:spacing w:after="160" w:line="300"/>
      </w:pPr>
      <w:r>
        <w:rPr>
          <w:rFonts w:ascii="Arial" w:cs="Arial" w:eastAsia="Arial" w:hAnsi="Arial"/>
          <w:sz w:val="22"/>
          <w:szCs w:val="22"/>
        </w:rPr>
        <w:t xml:space="preserve">The skills are evaluation tools, not creative tools. They can tell you that Beat 2 loses Marcus at the 7-minute mark, but they cannot write a better Beat 2. They can identify that Wei finds the framing Western-centric, but they cannot produce the Chinese perspective that would fix it. The creative work—structural decisions, voice, editorial judgment about which trade-offs to accept—remains human. The skills make that human judgment better-informed.</w:t>
      </w:r>
    </w:p>
    <w:p>
      <w:pPr>
        <w:pStyle w:val="Heading1"/>
        <w:spacing w:after="200" w:before="360"/>
      </w:pPr>
      <w:r>
        <w:rPr>
          <w:rFonts w:ascii="Arial" w:cs="Arial" w:eastAsia="Arial" w:hAnsi="Arial"/>
          <w:b/>
          <w:bCs/>
          <w:color w:val="1B2A4A"/>
          <w:sz w:val="32"/>
          <w:szCs w:val="32"/>
        </w:rPr>
        <w:t xml:space="preserve">8. Current Status and Next Steps</w:t>
      </w:r>
    </w:p>
    <w:p>
      <w:pPr>
        <w:pStyle w:val="Heading2"/>
        <w:spacing w:after="160" w:before="280"/>
      </w:pPr>
      <w:r>
        <w:rPr>
          <w:rFonts w:ascii="Arial" w:cs="Arial" w:eastAsia="Arial" w:hAnsi="Arial"/>
          <w:b/>
          <w:bCs/>
          <w:color w:val="2E8B8B"/>
          <w:sz w:val="26"/>
          <w:szCs w:val="26"/>
        </w:rPr>
        <w:t xml:space="preserve">8.1 What’s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4200"/>
      </w:tblGrid>
      <w:tr>
        <w:tc>
          <w:tcPr>
            <w:tcW w:type="dxa" w:w="3600"/>
            <w:tcBorders>
              <w:top w:val="single" w:color="BBCCCC" w:sz="1"/>
              <w:left w:val="single" w:color="BBCCCC" w:sz="1"/>
              <w:bottom w:val="single" w:color="BBCCCC" w:sz="1"/>
              <w:right w:val="single" w:color="BB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w:t>
            </w:r>
          </w:p>
        </w:tc>
        <w:tc>
          <w:tcPr>
            <w:tcW w:type="dxa" w:w="1560"/>
            <w:tcBorders>
              <w:top w:val="single" w:color="BBCCCC" w:sz="1"/>
              <w:left w:val="single" w:color="BBCCCC" w:sz="1"/>
              <w:bottom w:val="single" w:color="BBCCCC" w:sz="1"/>
              <w:right w:val="single" w:color="BB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c>
          <w:tcPr>
            <w:tcW w:type="dxa" w:w="4200"/>
            <w:tcBorders>
              <w:top w:val="single" w:color="BBCCCC" w:sz="1"/>
              <w:left w:val="single" w:color="BBCCCC" w:sz="1"/>
              <w:bottom w:val="single" w:color="BBCCCC" w:sz="1"/>
              <w:right w:val="single" w:color="BBCCCC" w:sz="1"/>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3600"/>
            <w:tcBorders>
              <w:top w:val="single" w:color="BBCCCC" w:sz="1"/>
              <w:left w:val="single" w:color="BBCCCC" w:sz="1"/>
              <w:bottom w:val="single" w:color="BBCCCC" w:sz="1"/>
              <w:right w:val="single" w:color="BBCCCC" w:sz="1"/>
            </w:tcBorders>
            <w:shd w:fill="F0F5F5" w:val="clear"/>
            <w:tcMar>
              <w:top w:type="dxa" w:w="80"/>
              <w:left w:type="dxa" w:w="120"/>
              <w:bottom w:type="dxa" w:w="80"/>
              <w:right w:type="dxa" w:w="120"/>
            </w:tcMar>
          </w:tcPr>
          <w:p>
            <w:pPr>
              <w:spacing w:after="0"/>
            </w:pPr>
            <w:r>
              <w:rPr>
                <w:rFonts w:ascii="Arial" w:cs="Arial" w:eastAsia="Arial" w:hAnsi="Arial"/>
                <w:sz w:val="20"/>
                <w:szCs w:val="20"/>
              </w:rPr>
              <w:t xml:space="preserve">Script-audit skill</w:t>
            </w:r>
          </w:p>
        </w:tc>
        <w:tc>
          <w:tcPr>
            <w:tcW w:type="dxa" w:w="1560"/>
            <w:tcBorders>
              <w:top w:val="single" w:color="BBCCCC" w:sz="1"/>
              <w:left w:val="single" w:color="BBCCCC" w:sz="1"/>
              <w:bottom w:val="single" w:color="BBCCCC" w:sz="1"/>
              <w:right w:val="single" w:color="BBCCCC" w:sz="1"/>
            </w:tcBorders>
            <w:shd w:fill="F0F5F5" w:val="clear"/>
            <w:tcMar>
              <w:top w:type="dxa" w:w="80"/>
              <w:left w:type="dxa" w:w="120"/>
              <w:bottom w:type="dxa" w:w="80"/>
              <w:right w:type="dxa" w:w="120"/>
            </w:tcMar>
          </w:tcPr>
          <w:p>
            <w:pPr>
              <w:spacing w:after="0"/>
            </w:pPr>
            <w:r>
              <w:rPr>
                <w:rFonts w:ascii="Arial" w:cs="Arial" w:eastAsia="Arial" w:hAnsi="Arial"/>
                <w:sz w:val="20"/>
                <w:szCs w:val="20"/>
              </w:rPr>
              <w:t xml:space="preserve">Live</w:t>
            </w:r>
          </w:p>
        </w:tc>
        <w:tc>
          <w:tcPr>
            <w:tcW w:type="dxa" w:w="4200"/>
            <w:tcBorders>
              <w:top w:val="single" w:color="BBCCCC" w:sz="1"/>
              <w:left w:val="single" w:color="BBCCCC" w:sz="1"/>
              <w:bottom w:val="single" w:color="BBCCCC" w:sz="1"/>
              <w:right w:val="single" w:color="BBCCCC" w:sz="1"/>
            </w:tcBorders>
            <w:shd w:fill="F0F5F5" w:val="clear"/>
            <w:tcMar>
              <w:top w:type="dxa" w:w="80"/>
              <w:left w:type="dxa" w:w="120"/>
              <w:bottom w:type="dxa" w:w="80"/>
              <w:right w:type="dxa" w:w="120"/>
            </w:tcMar>
          </w:tcPr>
          <w:p>
            <w:pPr>
              <w:spacing w:after="0"/>
            </w:pPr>
            <w:r>
              <w:rPr>
                <w:rFonts w:ascii="Arial" w:cs="Arial" w:eastAsia="Arial" w:hAnsi="Arial"/>
                <w:sz w:val="20"/>
                <w:szCs w:val="20"/>
              </w:rPr>
              <w:t xml:space="preserve">Tested on v2 and v3, refined based on results. Installed as .skill file.</w:t>
            </w:r>
          </w:p>
        </w:tc>
      </w:tr>
      <w:tr>
        <w:tc>
          <w:tcPr>
            <w:tcW w:type="dxa" w:w="3600"/>
            <w:tcBorders>
              <w:top w:val="single" w:color="BBCCCC" w:sz="1"/>
              <w:left w:val="single" w:color="BBCCCC" w:sz="1"/>
              <w:bottom w:val="single" w:color="BBCCCC" w:sz="1"/>
              <w:right w:val="single" w:color="BB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Persona-eval skill</w:t>
            </w:r>
          </w:p>
        </w:tc>
        <w:tc>
          <w:tcPr>
            <w:tcW w:type="dxa" w:w="1560"/>
            <w:tcBorders>
              <w:top w:val="single" w:color="BBCCCC" w:sz="1"/>
              <w:left w:val="single" w:color="BBCCCC" w:sz="1"/>
              <w:bottom w:val="single" w:color="BBCCCC" w:sz="1"/>
              <w:right w:val="single" w:color="BB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Live</w:t>
            </w:r>
          </w:p>
        </w:tc>
        <w:tc>
          <w:tcPr>
            <w:tcW w:type="dxa" w:w="4200"/>
            <w:tcBorders>
              <w:top w:val="single" w:color="BBCCCC" w:sz="1"/>
              <w:left w:val="single" w:color="BBCCCC" w:sz="1"/>
              <w:bottom w:val="single" w:color="BBCCCC" w:sz="1"/>
              <w:right w:val="single" w:color="BB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Tested with and without skill. Installed as .skill file.</w:t>
            </w:r>
          </w:p>
        </w:tc>
      </w:tr>
      <w:tr>
        <w:tc>
          <w:tcPr>
            <w:tcW w:type="dxa" w:w="3600"/>
            <w:tcBorders>
              <w:top w:val="single" w:color="BBCCCC" w:sz="1"/>
              <w:left w:val="single" w:color="BBCCCC" w:sz="1"/>
              <w:bottom w:val="single" w:color="BBCCCC" w:sz="1"/>
              <w:right w:val="single" w:color="BBCCCC" w:sz="1"/>
            </w:tcBorders>
            <w:shd w:fill="F0F5F5" w:val="clear"/>
            <w:tcMar>
              <w:top w:type="dxa" w:w="80"/>
              <w:left w:type="dxa" w:w="120"/>
              <w:bottom w:type="dxa" w:w="80"/>
              <w:right w:type="dxa" w:w="120"/>
            </w:tcMar>
          </w:tcPr>
          <w:p>
            <w:pPr>
              <w:spacing w:after="0"/>
            </w:pPr>
            <w:r>
              <w:rPr>
                <w:rFonts w:ascii="Arial" w:cs="Arial" w:eastAsia="Arial" w:hAnsi="Arial"/>
                <w:sz w:val="20"/>
                <w:szCs w:val="20"/>
              </w:rPr>
              <w:t xml:space="preserve">Revision log system</w:t>
            </w:r>
          </w:p>
        </w:tc>
        <w:tc>
          <w:tcPr>
            <w:tcW w:type="dxa" w:w="1560"/>
            <w:tcBorders>
              <w:top w:val="single" w:color="BBCCCC" w:sz="1"/>
              <w:left w:val="single" w:color="BBCCCC" w:sz="1"/>
              <w:bottom w:val="single" w:color="BBCCCC" w:sz="1"/>
              <w:right w:val="single" w:color="BBCCCC" w:sz="1"/>
            </w:tcBorders>
            <w:shd w:fill="F0F5F5" w:val="clear"/>
            <w:tcMar>
              <w:top w:type="dxa" w:w="80"/>
              <w:left w:type="dxa" w:w="120"/>
              <w:bottom w:type="dxa" w:w="80"/>
              <w:right w:type="dxa" w:w="120"/>
            </w:tcMar>
          </w:tcPr>
          <w:p>
            <w:pPr>
              <w:spacing w:after="0"/>
            </w:pPr>
            <w:r>
              <w:rPr>
                <w:rFonts w:ascii="Arial" w:cs="Arial" w:eastAsia="Arial" w:hAnsi="Arial"/>
                <w:sz w:val="20"/>
                <w:szCs w:val="20"/>
              </w:rPr>
              <w:t xml:space="preserve">Live</w:t>
            </w:r>
          </w:p>
        </w:tc>
        <w:tc>
          <w:tcPr>
            <w:tcW w:type="dxa" w:w="4200"/>
            <w:tcBorders>
              <w:top w:val="single" w:color="BBCCCC" w:sz="1"/>
              <w:left w:val="single" w:color="BBCCCC" w:sz="1"/>
              <w:bottom w:val="single" w:color="BBCCCC" w:sz="1"/>
              <w:right w:val="single" w:color="BBCCCC" w:sz="1"/>
            </w:tcBorders>
            <w:shd w:fill="F0F5F5" w:val="clear"/>
            <w:tcMar>
              <w:top w:type="dxa" w:w="80"/>
              <w:left w:type="dxa" w:w="120"/>
              <w:bottom w:type="dxa" w:w="80"/>
              <w:right w:type="dxa" w:w="120"/>
            </w:tcMar>
          </w:tcPr>
          <w:p>
            <w:pPr>
              <w:spacing w:after="0"/>
            </w:pPr>
            <w:r>
              <w:rPr>
                <w:rFonts w:ascii="Arial" w:cs="Arial" w:eastAsia="Arial" w:hAnsi="Arial"/>
                <w:sz w:val="20"/>
                <w:szCs w:val="20"/>
              </w:rPr>
              <w:t xml:space="preserve">EP01 has full log (v1 → v2 → v3). Template established for future episodes.</w:t>
            </w:r>
          </w:p>
        </w:tc>
      </w:tr>
      <w:tr>
        <w:tc>
          <w:tcPr>
            <w:tcW w:type="dxa" w:w="3600"/>
            <w:tcBorders>
              <w:top w:val="single" w:color="BBCCCC" w:sz="1"/>
              <w:left w:val="single" w:color="BBCCCC" w:sz="1"/>
              <w:bottom w:val="single" w:color="BBCCCC" w:sz="1"/>
              <w:right w:val="single" w:color="BB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Episode folder structure</w:t>
            </w:r>
          </w:p>
        </w:tc>
        <w:tc>
          <w:tcPr>
            <w:tcW w:type="dxa" w:w="1560"/>
            <w:tcBorders>
              <w:top w:val="single" w:color="BBCCCC" w:sz="1"/>
              <w:left w:val="single" w:color="BBCCCC" w:sz="1"/>
              <w:bottom w:val="single" w:color="BBCCCC" w:sz="1"/>
              <w:right w:val="single" w:color="BB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Live</w:t>
            </w:r>
          </w:p>
        </w:tc>
        <w:tc>
          <w:tcPr>
            <w:tcW w:type="dxa" w:w="4200"/>
            <w:tcBorders>
              <w:top w:val="single" w:color="BBCCCC" w:sz="1"/>
              <w:left w:val="single" w:color="BBCCCC" w:sz="1"/>
              <w:bottom w:val="single" w:color="BBCCCC" w:sz="1"/>
              <w:right w:val="single" w:color="BBCCCC" w:sz="1"/>
            </w:tcBorders>
            <w:shd w:fill="FFFFFF" w:val="clear"/>
            <w:tcMar>
              <w:top w:type="dxa" w:w="80"/>
              <w:left w:type="dxa" w:w="120"/>
              <w:bottom w:type="dxa" w:w="80"/>
              <w:right w:type="dxa" w:w="120"/>
            </w:tcMar>
          </w:tcPr>
          <w:p>
            <w:pPr>
              <w:spacing w:after="0"/>
            </w:pPr>
            <w:r>
              <w:rPr>
                <w:rFonts w:ascii="Arial" w:cs="Arial" w:eastAsia="Arial" w:hAnsi="Arial"/>
                <w:sz w:val="20"/>
                <w:szCs w:val="20"/>
              </w:rPr>
              <w:t xml:space="preserve">EP01 folder organized with version tracking and research subfolder.</w:t>
            </w:r>
          </w:p>
        </w:tc>
      </w:tr>
      <w:tr>
        <w:tc>
          <w:tcPr>
            <w:tcW w:type="dxa" w:w="3600"/>
            <w:tcBorders>
              <w:top w:val="single" w:color="BBCCCC" w:sz="1"/>
              <w:left w:val="single" w:color="BBCCCC" w:sz="1"/>
              <w:bottom w:val="single" w:color="BBCCCC" w:sz="1"/>
              <w:right w:val="single" w:color="BBCCCC" w:sz="1"/>
            </w:tcBorders>
            <w:shd w:fill="F0F5F5" w:val="clear"/>
            <w:tcMar>
              <w:top w:type="dxa" w:w="80"/>
              <w:left w:type="dxa" w:w="120"/>
              <w:bottom w:type="dxa" w:w="80"/>
              <w:right w:type="dxa" w:w="120"/>
            </w:tcMar>
          </w:tcPr>
          <w:p>
            <w:pPr>
              <w:spacing w:after="0"/>
            </w:pPr>
            <w:r>
              <w:rPr>
                <w:rFonts w:ascii="Arial" w:cs="Arial" w:eastAsia="Arial" w:hAnsi="Arial"/>
                <w:sz w:val="20"/>
                <w:szCs w:val="20"/>
              </w:rPr>
              <w:t xml:space="preserve">Cross-episode learning</w:t>
            </w:r>
          </w:p>
        </w:tc>
        <w:tc>
          <w:tcPr>
            <w:tcW w:type="dxa" w:w="1560"/>
            <w:tcBorders>
              <w:top w:val="single" w:color="BBCCCC" w:sz="1"/>
              <w:left w:val="single" w:color="BBCCCC" w:sz="1"/>
              <w:bottom w:val="single" w:color="BBCCCC" w:sz="1"/>
              <w:right w:val="single" w:color="BBCCCC" w:sz="1"/>
            </w:tcBorders>
            <w:shd w:fill="F0F5F5" w:val="clear"/>
            <w:tcMar>
              <w:top w:type="dxa" w:w="80"/>
              <w:left w:type="dxa" w:w="120"/>
              <w:bottom w:type="dxa" w:w="80"/>
              <w:right w:type="dxa" w:w="120"/>
            </w:tcMar>
          </w:tcPr>
          <w:p>
            <w:pPr>
              <w:spacing w:after="0"/>
            </w:pPr>
            <w:r>
              <w:rPr>
                <w:rFonts w:ascii="Arial" w:cs="Arial" w:eastAsia="Arial" w:hAnsi="Arial"/>
                <w:sz w:val="20"/>
                <w:szCs w:val="20"/>
              </w:rPr>
              <w:t xml:space="preserve">Not yet tested</w:t>
            </w:r>
          </w:p>
        </w:tc>
        <w:tc>
          <w:tcPr>
            <w:tcW w:type="dxa" w:w="4200"/>
            <w:tcBorders>
              <w:top w:val="single" w:color="BBCCCC" w:sz="1"/>
              <w:left w:val="single" w:color="BBCCCC" w:sz="1"/>
              <w:bottom w:val="single" w:color="BBCCCC" w:sz="1"/>
              <w:right w:val="single" w:color="BBCCCC" w:sz="1"/>
            </w:tcBorders>
            <w:shd w:fill="F0F5F5" w:val="clear"/>
            <w:tcMar>
              <w:top w:type="dxa" w:w="80"/>
              <w:left w:type="dxa" w:w="120"/>
              <w:bottom w:type="dxa" w:w="80"/>
              <w:right w:type="dxa" w:w="120"/>
            </w:tcMar>
          </w:tcPr>
          <w:p>
            <w:pPr>
              <w:spacing w:after="0"/>
            </w:pPr>
            <w:r>
              <w:rPr>
                <w:rFonts w:ascii="Arial" w:cs="Arial" w:eastAsia="Arial" w:hAnsi="Arial"/>
                <w:sz w:val="20"/>
                <w:szCs w:val="20"/>
              </w:rPr>
              <w:t xml:space="preserve">Requires EP02 to validate. The persona-eval has a cross-episode comparison section built in.</w:t>
            </w:r>
          </w:p>
        </w:tc>
      </w:tr>
    </w:tbl>
    <w:p>
      <w:pPr>
        <w:spacing w:after="200"/>
      </w:pPr>
    </w:p>
    <w:p>
      <w:pPr>
        <w:pStyle w:val="Heading2"/>
        <w:spacing w:after="160" w:before="280"/>
      </w:pPr>
      <w:r>
        <w:rPr>
          <w:rFonts w:ascii="Arial" w:cs="Arial" w:eastAsia="Arial" w:hAnsi="Arial"/>
          <w:b/>
          <w:bCs/>
          <w:color w:val="2E8B8B"/>
          <w:sz w:val="26"/>
          <w:szCs w:val="26"/>
        </w:rPr>
        <w:t xml:space="preserve">8.2 Hypotheses Queued for EP02</w:t>
      </w:r>
    </w:p>
    <w:p>
      <w:pPr>
        <w:spacing w:after="160" w:line="300"/>
      </w:pPr>
      <w:r>
        <w:rPr>
          <w:rFonts w:ascii="Arial" w:cs="Arial" w:eastAsia="Arial" w:hAnsi="Arial"/>
          <w:sz w:val="22"/>
          <w:szCs w:val="22"/>
        </w:rPr>
        <w:t xml:space="preserve">Three testable hypotheses from EP01’s persona evaluation are ready to be incorporated into the next episode’s design:</w:t>
      </w:r>
    </w:p>
    <w:p>
      <w:pPr>
        <w:pStyle w:val="ListParagraph"/>
        <w:numPr>
          <w:ilvl w:val="0"/>
          <w:numId w:val="4"/>
        </w:numPr>
        <w:spacing w:after="80" w:line="300"/>
      </w:pPr>
      <w:r>
        <w:rPr>
          <w:rFonts w:ascii="Arial" w:cs="Arial" w:eastAsia="Arial" w:hAnsi="Arial"/>
          <w:b/>
          <w:bCs/>
          <w:sz w:val="22"/>
          <w:szCs w:val="22"/>
        </w:rPr>
        <w:t xml:space="preserve">Visual timeline support in policy-dense sections can recover Marcus without losing Priya. </w:t>
      </w:r>
      <w:r>
        <w:rPr>
          <w:rFonts w:ascii="Arial" w:cs="Arial" w:eastAsia="Arial" w:hAnsi="Arial"/>
          <w:sz w:val="22"/>
          <w:szCs w:val="22"/>
        </w:rPr>
        <w:t xml:space="preserve">EP01’s Beat 2 (COCOM, export controls escalation) caused Marcus to fade. A parallel timeline graphic may let him track the logic without needing the policy background.</w:t>
      </w:r>
    </w:p>
    <w:p>
      <w:pPr>
        <w:pStyle w:val="ListParagraph"/>
        <w:numPr>
          <w:ilvl w:val="0"/>
          <w:numId w:val="4"/>
        </w:numPr>
        <w:spacing w:after="80" w:line="300"/>
      </w:pPr>
      <w:r>
        <w:rPr>
          <w:rFonts w:ascii="Arial" w:cs="Arial" w:eastAsia="Arial" w:hAnsi="Arial"/>
          <w:b/>
          <w:bCs/>
          <w:sz w:val="22"/>
          <w:szCs w:val="22"/>
        </w:rPr>
        <w:t xml:space="preserve">Game-theory framing is a channel signature worth doubling down on. </w:t>
      </w:r>
      <w:r>
        <w:rPr>
          <w:rFonts w:ascii="Arial" w:cs="Arial" w:eastAsia="Arial" w:hAnsi="Arial"/>
          <w:sz w:val="22"/>
          <w:szCs w:val="22"/>
        </w:rPr>
        <w:t xml:space="preserve">The chess/go metaphor was the single highest-impact frame across all five personas in EP01. Test whether a different game-theory frame early in EP02 produces the same cross-persona engagement.</w:t>
      </w:r>
    </w:p>
    <w:p>
      <w:pPr>
        <w:pStyle w:val="ListParagraph"/>
        <w:numPr>
          <w:ilvl w:val="0"/>
          <w:numId w:val="4"/>
        </w:numPr>
        <w:spacing w:after="80" w:line="300"/>
      </w:pPr>
      <w:r>
        <w:rPr>
          <w:rFonts w:ascii="Arial" w:cs="Arial" w:eastAsia="Arial" w:hAnsi="Arial"/>
          <w:b/>
          <w:bCs/>
          <w:sz w:val="22"/>
          <w:szCs w:val="22"/>
        </w:rPr>
        <w:t xml:space="preserve">Earlier introduction of non-Western perspectives improves Wei’s early engagement. </w:t>
      </w:r>
      <w:r>
        <w:rPr>
          <w:rFonts w:ascii="Arial" w:cs="Arial" w:eastAsia="Arial" w:hAnsi="Arial"/>
          <w:sz w:val="22"/>
          <w:szCs w:val="22"/>
        </w:rPr>
        <w:t xml:space="preserve">EP01 didn’t reach the Chinese perspective until Beat 3. Testing whether acknowledging multiple perspectives from the hook changes Wei’s first-checkpoint reaction.</w:t>
      </w:r>
    </w:p>
    <w:p>
      <w:pPr>
        <w:spacing w:after="120"/>
      </w:pPr>
    </w:p>
    <w:p>
      <w:pPr>
        <w:pStyle w:val="Heading2"/>
        <w:spacing w:after="160" w:before="280"/>
      </w:pPr>
      <w:r>
        <w:rPr>
          <w:rFonts w:ascii="Arial" w:cs="Arial" w:eastAsia="Arial" w:hAnsi="Arial"/>
          <w:b/>
          <w:bCs/>
          <w:color w:val="2E8B8B"/>
          <w:sz w:val="26"/>
          <w:szCs w:val="26"/>
        </w:rPr>
        <w:t xml:space="preserve">8.3 Planned Extensions</w:t>
      </w:r>
    </w:p>
    <w:p>
      <w:pPr>
        <w:spacing w:after="160" w:line="300"/>
      </w:pPr>
      <w:r>
        <w:rPr>
          <w:rFonts w:ascii="Arial" w:cs="Arial" w:eastAsia="Arial" w:hAnsi="Arial"/>
          <w:sz w:val="22"/>
          <w:szCs w:val="22"/>
        </w:rPr>
        <w:t xml:space="preserve">Infrastructure that could be built as the channel matures:</w:t>
      </w:r>
    </w:p>
    <w:p>
      <w:pPr>
        <w:pStyle w:val="ListParagraph"/>
        <w:numPr>
          <w:ilvl w:val="0"/>
          <w:numId w:val="3"/>
        </w:numPr>
        <w:spacing w:after="80" w:line="300"/>
      </w:pPr>
      <w:r>
        <w:rPr>
          <w:rFonts w:ascii="Arial" w:cs="Arial" w:eastAsia="Arial" w:hAnsi="Arial"/>
          <w:b/>
          <w:bCs/>
          <w:sz w:val="22"/>
          <w:szCs w:val="22"/>
        </w:rPr>
        <w:t xml:space="preserve">Production-prep skill: </w:t>
      </w:r>
      <w:r>
        <w:rPr>
          <w:rFonts w:ascii="Arial" w:cs="Arial" w:eastAsia="Arial" w:hAnsi="Arial"/>
          <w:sz w:val="22"/>
          <w:szCs w:val="22"/>
        </w:rPr>
        <w:t xml:space="preserve">Bridging the gap between “script is ready” and “video is in production”—shot lists, visual direction notes, b-roll research, music cues.</w:t>
      </w:r>
    </w:p>
    <w:p>
      <w:pPr>
        <w:pStyle w:val="ListParagraph"/>
        <w:numPr>
          <w:ilvl w:val="0"/>
          <w:numId w:val="3"/>
        </w:numPr>
        <w:spacing w:after="80" w:line="300"/>
      </w:pPr>
      <w:r>
        <w:rPr>
          <w:rFonts w:ascii="Arial" w:cs="Arial" w:eastAsia="Arial" w:hAnsi="Arial"/>
          <w:b/>
          <w:bCs/>
          <w:sz w:val="22"/>
          <w:szCs w:val="22"/>
        </w:rPr>
        <w:t xml:space="preserve">CN adaptation skill: </w:t>
      </w:r>
      <w:r>
        <w:rPr>
          <w:rFonts w:ascii="Arial" w:cs="Arial" w:eastAsia="Arial" w:hAnsi="Arial"/>
          <w:sz w:val="22"/>
          <w:szCs w:val="22"/>
        </w:rPr>
        <w:t xml:space="preserve">Handling bilingual adaptation with cultural and tonal adjustments rather than word-for-word translation. This becomes relevant when the channel expands to Bilibili/Douyin.</w:t>
      </w:r>
    </w:p>
    <w:p>
      <w:pPr>
        <w:pStyle w:val="ListParagraph"/>
        <w:numPr>
          <w:ilvl w:val="0"/>
          <w:numId w:val="3"/>
        </w:numPr>
        <w:spacing w:after="80" w:line="300"/>
      </w:pPr>
      <w:r>
        <w:rPr>
          <w:rFonts w:ascii="Arial" w:cs="Arial" w:eastAsia="Arial" w:hAnsi="Arial"/>
          <w:b/>
          <w:bCs/>
          <w:sz w:val="22"/>
          <w:szCs w:val="22"/>
        </w:rPr>
        <w:t xml:space="preserve">Cross-episode dashboard: </w:t>
      </w:r>
      <w:r>
        <w:rPr>
          <w:rFonts w:ascii="Arial" w:cs="Arial" w:eastAsia="Arial" w:hAnsi="Arial"/>
          <w:sz w:val="22"/>
          <w:szCs w:val="22"/>
        </w:rPr>
        <w:t xml:space="preserve">Aggregating persona scores and hypothesis test results across episodes to identify long-term patterns in what works.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8B" w:sz="1"/>
              <w:left w:val="single" w:color="2E8B8B" w:sz="6"/>
              <w:bottom w:val="single" w:color="2E8B8B" w:sz="1"/>
              <w:right w:val="single" w:color="2E8B8B" w:sz="1"/>
            </w:tcBorders>
            <w:shd w:fill="F0F5F5" w:val="clear"/>
            <w:tcMar>
              <w:top w:type="dxa" w:w="120"/>
              <w:left w:type="dxa" w:w="200"/>
              <w:bottom w:type="dxa" w:w="120"/>
              <w:right w:type="dxa" w:w="200"/>
            </w:tcMar>
          </w:tcPr>
          <w:p>
            <w:pPr>
              <w:spacing w:after="80"/>
            </w:pPr>
            <w:r>
              <w:rPr>
                <w:rFonts w:ascii="Arial" w:cs="Arial" w:eastAsia="Arial" w:hAnsi="Arial"/>
                <w:b/>
                <w:bCs/>
                <w:color w:val="2E8B8B"/>
                <w:sz w:val="22"/>
                <w:szCs w:val="22"/>
              </w:rPr>
              <w:t xml:space="preserve">Guiding Principle</w:t>
            </w:r>
          </w:p>
          <w:p>
            <w:pPr>
              <w:spacing w:after="0"/>
            </w:pPr>
            <w:r>
              <w:rPr>
                <w:rFonts w:ascii="Arial" w:cs="Arial" w:eastAsia="Arial" w:hAnsi="Arial"/>
                <w:i/>
                <w:iCs/>
                <w:sz w:val="21"/>
                <w:szCs w:val="21"/>
              </w:rPr>
              <w:t xml:space="preserve">The infrastructure exists to make human editorial judgment better-informed, not to replace it. The skills surface trade-offs. The revision log captures decisions. The hypotheses create accountability. But the creative choices—what story to tell, whose perspective to honor, which audience to prioritize—those remain human.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B8B" w:sz="4" w:space="4"/>
      </w:pBdr>
      <w:jc w:val="right"/>
    </w:pPr>
    <w:r>
      <w:rPr>
        <w:rFonts w:ascii="Arial" w:cs="Arial" w:eastAsia="Arial" w:hAnsi="Arial"/>
        <w:i/>
        <w:iCs/>
        <w:color w:val="999999"/>
        <w:sz w:val="18"/>
        <w:szCs w:val="18"/>
      </w:rPr>
      <w:t xml:space="preserve">Scriptwriting Infrastructure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B8B"/>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2026-04-25T18:02:14.446Z</dcterms:created>
  <dcterms:modified xsi:type="dcterms:W3CDTF">2026-04-25T18:02:14.446Z</dcterms:modified>
</cp:coreProperties>
</file>

<file path=docProps/custom.xml><?xml version="1.0" encoding="utf-8"?>
<Properties xmlns="http://schemas.openxmlformats.org/officeDocument/2006/custom-properties" xmlns:vt="http://schemas.openxmlformats.org/officeDocument/2006/docPropsVTypes"/>
</file>