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40" w:line="264" w:lineRule="auto"/>
      </w:pPr>
      <w:r>
        <w:rPr>
          <w:rFonts w:ascii="Calibri" w:hAnsi="Calibri" w:eastAsia="Calibri"/>
          <w:b/>
          <w:color w:val="967132"/>
          <w:sz w:val="19"/>
        </w:rPr>
        <w:t>PLACES ROOT  ·  CARD SYSTEM</w:t>
      </w:r>
    </w:p>
    <w:p>
      <w:pPr>
        <w:pStyle w:val="AuditTitle"/>
      </w:pPr>
      <w:r>
        <w:rPr>
          <w:rFonts w:ascii="Calibri" w:hAnsi="Calibri" w:eastAsia="Calibri"/>
          <w:b/>
          <w:color w:val="201A18"/>
          <w:sz w:val="50"/>
        </w:rPr>
        <w:t>Places card system audit</w:t>
      </w:r>
    </w:p>
    <w:p>
      <w:pPr>
        <w:pStyle w:val="AuditSub"/>
      </w:pPr>
      <w:r>
        <w:rPr>
          <w:rFonts w:ascii="Calibri" w:hAnsi="Calibri" w:eastAsia="Calibri"/>
          <w:b w:val="0"/>
          <w:color w:val="6F6A65"/>
          <w:sz w:val="25"/>
        </w:rPr>
        <w:t>Hierarchy, scanability, and the next formatting pass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93"/>
        <w:gridCol w:w="3293"/>
        <w:gridCol w:w="3293"/>
      </w:tblGrid>
      <w:tr>
        <w:tc>
          <w:tcPr>
            <w:tcW w:type="dxa" w:w="3293"/>
            <w:tcW w:w="1950" w:type="dxa"/>
            <w:shd w:fill="F7F2E8"/>
            <w:tcBorders>
              <w:top w:val="single" w:sz="6" w:color="DED6C7"/>
              <w:left w:val="single" w:sz="6" w:color="DED6C7"/>
              <w:bottom w:val="single" w:sz="6" w:color="DED6C7"/>
              <w:right w:val="single" w:sz="6" w:color="DED6C7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967132"/>
                <w:sz w:val="15"/>
              </w:rPr>
              <w:t>SCOPE</w:t>
              <w:br/>
            </w:r>
            <w:r>
              <w:rPr>
                <w:rFonts w:ascii="Calibri" w:hAnsi="Calibri" w:eastAsia="Calibri"/>
                <w:b w:val="0"/>
                <w:color w:val="201A18"/>
                <w:sz w:val="18"/>
              </w:rPr>
              <w:t>Places root · mobile</w:t>
            </w:r>
          </w:p>
        </w:tc>
        <w:tc>
          <w:tcPr>
            <w:tcW w:type="dxa" w:w="3293"/>
            <w:tcW w:w="4000" w:type="dxa"/>
            <w:shd w:fill="F7F2E8"/>
            <w:tcBorders>
              <w:top w:val="single" w:sz="6" w:color="DED6C7"/>
              <w:left w:val="single" w:sz="6" w:color="DED6C7"/>
              <w:bottom w:val="single" w:sz="6" w:color="DED6C7"/>
              <w:right w:val="single" w:sz="6" w:color="DED6C7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967132"/>
                <w:sz w:val="15"/>
              </w:rPr>
              <w:t>EVIDENCE</w:t>
              <w:br/>
            </w:r>
            <w:r>
              <w:rPr>
                <w:rFonts w:ascii="Calibri" w:hAnsi="Calibri" w:eastAsia="Calibri"/>
                <w:b w:val="0"/>
                <w:color w:val="201A18"/>
                <w:sz w:val="18"/>
              </w:rPr>
              <w:t>Source review, current captures, platform guidance</w:t>
            </w:r>
          </w:p>
        </w:tc>
        <w:tc>
          <w:tcPr>
            <w:tcW w:type="dxa" w:w="3293"/>
            <w:tcW w:w="3410" w:type="dxa"/>
            <w:shd w:fill="F7F2E8"/>
            <w:tcBorders>
              <w:top w:val="single" w:sz="6" w:color="DED6C7"/>
              <w:left w:val="single" w:sz="6" w:color="DED6C7"/>
              <w:bottom w:val="single" w:sz="6" w:color="DED6C7"/>
              <w:right w:val="single" w:sz="6" w:color="DED6C7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967132"/>
                <w:sz w:val="15"/>
              </w:rPr>
              <w:t>RECOMMENDATION</w:t>
              <w:br/>
            </w:r>
            <w:r>
              <w:rPr>
                <w:rFonts w:ascii="Calibri" w:hAnsi="Calibri" w:eastAsia="Calibri"/>
                <w:b w:val="0"/>
                <w:color w:val="201A18"/>
                <w:sz w:val="18"/>
              </w:rPr>
              <w:t>Tune the system; do not redesign it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78"/>
      </w:tblGrid>
      <w:tr>
        <w:tc>
          <w:tcPr>
            <w:tcW w:type="dxa" w:w="9878"/>
            <w:tcW w:w="9360" w:type="dxa"/>
            <w:shd w:fill="F1E8D5"/>
            <w:tcBorders>
              <w:top w:val="single" w:sz="6" w:color="D8C39C"/>
              <w:left w:val="single" w:sz="6" w:color="D8C39C"/>
              <w:bottom w:val="single" w:sz="6" w:color="D8C39C"/>
              <w:right w:val="single" w:sz="6" w:color="D8C39C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Calibri"/>
                <w:b/>
                <w:color w:val="967132"/>
                <w:sz w:val="17"/>
              </w:rPr>
              <w:t xml:space="preserve">DECISION  </w:t>
            </w:r>
            <w:r>
              <w:rPr>
                <w:rFonts w:ascii="Calibri" w:hAnsi="Calibri" w:eastAsia="Calibri"/>
                <w:b/>
                <w:color w:val="201A18"/>
                <w:sz w:val="21"/>
              </w:rPr>
              <w:t>The Places root already has a strong visual language. The next pass should make everyday choice rows quieter and easier to scan, while keeping large editorial cards as the deliberate moments of discovery.</w:t>
            </w:r>
          </w:p>
        </w:tc>
      </w:tr>
    </w:tbl>
    <w:p>
      <w:pPr>
        <w:pStyle w:val="AuditH1"/>
      </w:pPr>
      <w:r>
        <w:rPr>
          <w:rFonts w:ascii="Calibri" w:hAnsi="Calibri" w:eastAsia="Calibri"/>
          <w:b/>
          <w:color w:val="201A18"/>
          <w:sz w:val="30"/>
        </w:rPr>
        <w:t>What is already working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Calibri"/>
          <w:b w:val="0"/>
          <w:color w:val="201A18"/>
          <w:sz w:val="20"/>
        </w:rPr>
        <w:t>Illustration-first root surfaces keep the feed calm and give editorial content a consistent Vesper character.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Calibri"/>
          <w:b w:val="0"/>
          <w:color w:val="201A18"/>
          <w:sz w:val="20"/>
        </w:rPr>
        <w:t>Uncarded candidate rows, hairline dividers, and the warm paper ground make the feed feel more like a curated list than a marketplace.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Calibri"/>
          <w:b w:val="0"/>
          <w:color w:val="201A18"/>
          <w:sz w:val="20"/>
        </w:rPr>
        <w:t>The 168 pt editorial cover is a useful, repeatable moment for guides and neighbourhoods; it has enough presence to earn a card.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Calibri"/>
          <w:b w:val="0"/>
          <w:color w:val="201A18"/>
          <w:sz w:val="20"/>
        </w:rPr>
        <w:t>Keeping photography for evidence-bound detail protects the quieter root composition from visual noise.</w:t>
      </w:r>
    </w:p>
    <w:p>
      <w:pPr>
        <w:pStyle w:val="AuditH1"/>
      </w:pPr>
      <w:r>
        <w:rPr>
          <w:rFonts w:ascii="Calibri" w:hAnsi="Calibri" w:eastAsia="Calibri"/>
          <w:b/>
          <w:color w:val="201A18"/>
          <w:sz w:val="30"/>
        </w:rPr>
        <w:t>Recommended formatting pass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93"/>
        <w:gridCol w:w="3293"/>
        <w:gridCol w:w="3293"/>
      </w:tblGrid>
      <w:tr>
        <w:trPr>
          <w:cantSplit/>
          <w:tblHeader w:val="true"/>
        </w:trPr>
        <w:tc>
          <w:tcPr>
            <w:tcW w:type="dxa" w:w="3293"/>
            <w:tcW w:w="900" w:type="dxa"/>
            <w:shd w:fill="E8E0D2"/>
            <w:tcBorders>
              <w:top w:val="single" w:sz="6" w:color="DED6C7"/>
              <w:left w:val="single" w:sz="6" w:color="DED6C7"/>
              <w:bottom w:val="single" w:sz="6" w:color="DED6C7"/>
              <w:right w:val="single" w:sz="6" w:color="DED6C7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/>
                <w:color w:val="967132"/>
                <w:sz w:val="16"/>
              </w:rPr>
              <w:t>PRIORITY</w:t>
            </w:r>
          </w:p>
        </w:tc>
        <w:tc>
          <w:tcPr>
            <w:tcW w:type="dxa" w:w="3293"/>
            <w:tcW w:w="3350" w:type="dxa"/>
            <w:shd w:fill="E8E0D2"/>
            <w:tcBorders>
              <w:top w:val="single" w:sz="6" w:color="DED6C7"/>
              <w:left w:val="single" w:sz="6" w:color="DED6C7"/>
              <w:bottom w:val="single" w:sz="6" w:color="DED6C7"/>
              <w:right w:val="single" w:sz="6" w:color="DED6C7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/>
                <w:color w:val="967132"/>
                <w:sz w:val="16"/>
              </w:rPr>
              <w:t>CHANGE</w:t>
            </w:r>
          </w:p>
        </w:tc>
        <w:tc>
          <w:tcPr>
            <w:tcW w:type="dxa" w:w="3293"/>
            <w:tcW w:w="5110" w:type="dxa"/>
            <w:shd w:fill="E8E0D2"/>
            <w:tcBorders>
              <w:top w:val="single" w:sz="6" w:color="DED6C7"/>
              <w:left w:val="single" w:sz="6" w:color="DED6C7"/>
              <w:bottom w:val="single" w:sz="6" w:color="DED6C7"/>
              <w:right w:val="single" w:sz="6" w:color="DED6C7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Calibri" w:hAnsi="Calibri" w:eastAsia="Calibri"/>
                <w:b/>
                <w:color w:val="967132"/>
                <w:sz w:val="16"/>
              </w:rPr>
              <w:t>WHY IT FITS VESPER</w:t>
            </w:r>
          </w:p>
        </w:tc>
      </w:tr>
      <w:tr>
        <w:trPr>
          <w:cantSplit/>
        </w:trPr>
        <w:tc>
          <w:tcPr>
            <w:tcW w:type="dxa" w:w="3293"/>
            <w:tcBorders>
              <w:top w:val="single" w:sz="6" w:color="DED6C7"/>
              <w:left w:val="single" w:sz="6" w:color="DED6C7"/>
              <w:bottom w:val="single" w:sz="6" w:color="DED6C7"/>
              <w:right w:val="single" w:sz="6" w:color="DED6C7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967132"/>
                <w:sz w:val="18"/>
              </w:rPr>
              <w:t>P0</w:t>
            </w:r>
          </w:p>
        </w:tc>
        <w:tc>
          <w:tcPr>
            <w:tcW w:type="dxa" w:w="3293"/>
            <w:tcBorders>
              <w:top w:val="single" w:sz="6" w:color="DED6C7"/>
              <w:left w:val="single" w:sz="6" w:color="DED6C7"/>
              <w:bottom w:val="single" w:sz="6" w:color="DED6C7"/>
              <w:right w:val="single" w:sz="6" w:color="DED6C7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201A18"/>
                <w:sz w:val="20"/>
              </w:rPr>
              <w:t>Simplify ordinary place rows</w:t>
            </w:r>
          </w:p>
        </w:tc>
        <w:tc>
          <w:tcPr>
            <w:tcW w:type="dxa" w:w="3293"/>
            <w:tcBorders>
              <w:top w:val="single" w:sz="6" w:color="DED6C7"/>
              <w:left w:val="single" w:sz="6" w:color="DED6C7"/>
              <w:bottom w:val="single" w:sz="6" w:color="DED6C7"/>
              <w:right w:val="single" w:sz="6" w:color="DED6C7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201A18"/>
                <w:sz w:val="19"/>
              </w:rPr>
              <w:t>Let the whole row open the place; remove the repeated Open pill. Keep the bookmark as the lone trailing control. Reserve a button for a specific commitment such as Add to day or Book. Let titles use two lines when needed.</w:t>
            </w:r>
          </w:p>
        </w:tc>
      </w:tr>
      <w:tr>
        <w:trPr>
          <w:cantSplit/>
        </w:trPr>
        <w:tc>
          <w:tcPr>
            <w:tcW w:type="dxa" w:w="3293"/>
            <w:tcBorders>
              <w:top w:val="single" w:sz="6" w:color="DED6C7"/>
              <w:left w:val="single" w:sz="6" w:color="DED6C7"/>
              <w:bottom w:val="single" w:sz="6" w:color="DED6C7"/>
              <w:right w:val="single" w:sz="6" w:color="DED6C7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967132"/>
                <w:sz w:val="18"/>
              </w:rPr>
              <w:t>P0</w:t>
            </w:r>
          </w:p>
        </w:tc>
        <w:tc>
          <w:tcPr>
            <w:tcW w:type="dxa" w:w="3293"/>
            <w:tcBorders>
              <w:top w:val="single" w:sz="6" w:color="DED6C7"/>
              <w:left w:val="single" w:sz="6" w:color="DED6C7"/>
              <w:bottom w:val="single" w:sz="6" w:color="DED6C7"/>
              <w:right w:val="single" w:sz="6" w:color="DED6C7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201A18"/>
                <w:sz w:val="20"/>
              </w:rPr>
              <w:t>Protect the raised-paper hierarchy</w:t>
            </w:r>
          </w:p>
        </w:tc>
        <w:tc>
          <w:tcPr>
            <w:tcW w:type="dxa" w:w="3293"/>
            <w:tcBorders>
              <w:top w:val="single" w:sz="6" w:color="DED6C7"/>
              <w:left w:val="single" w:sz="6" w:color="DED6C7"/>
              <w:bottom w:val="single" w:sz="6" w:color="DED6C7"/>
              <w:right w:val="single" w:sz="6" w:color="DED6C7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201A18"/>
                <w:sz w:val="19"/>
              </w:rPr>
              <w:t>Treat zero raised cards as the normal page. The raised treatment is reserved for a conviction — exactly one place card the system can stand behind — and no producer emits one today, deliberately: the only place-bearing sections are a gap (whose producer declines to rank, by design), proximity (a confounded signal), and the user’s own saves. Urgency cannot take it either; notices are barred from the raised treatment by contract. So notices and prompts are quiet panels or rows, and the rule that carries the weight is the last one: repeating elevated containers makes every item feel equally important.</w:t>
            </w:r>
          </w:p>
        </w:tc>
      </w:tr>
      <w:tr>
        <w:trPr>
          <w:cantSplit/>
        </w:trPr>
        <w:tc>
          <w:tcPr>
            <w:tcW w:type="dxa" w:w="3293"/>
            <w:tcBorders>
              <w:top w:val="single" w:sz="6" w:color="DED6C7"/>
              <w:left w:val="single" w:sz="6" w:color="DED6C7"/>
              <w:bottom w:val="single" w:sz="6" w:color="DED6C7"/>
              <w:right w:val="single" w:sz="6" w:color="DED6C7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967132"/>
                <w:sz w:val="18"/>
              </w:rPr>
              <w:t>P1</w:t>
            </w:r>
          </w:p>
        </w:tc>
        <w:tc>
          <w:tcPr>
            <w:tcW w:type="dxa" w:w="3293"/>
            <w:tcBorders>
              <w:top w:val="single" w:sz="6" w:color="DED6C7"/>
              <w:left w:val="single" w:sz="6" w:color="DED6C7"/>
              <w:bottom w:val="single" w:sz="6" w:color="DED6C7"/>
              <w:right w:val="single" w:sz="6" w:color="DED6C7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201A18"/>
                <w:sz w:val="20"/>
              </w:rPr>
              <w:t>Differentiate editorial cards with type, not new shapes</w:t>
            </w:r>
          </w:p>
        </w:tc>
        <w:tc>
          <w:tcPr>
            <w:tcW w:type="dxa" w:w="3293"/>
            <w:tcBorders>
              <w:top w:val="single" w:sz="6" w:color="DED6C7"/>
              <w:left w:val="single" w:sz="6" w:color="DED6C7"/>
              <w:bottom w:val="single" w:sz="6" w:color="DED6C7"/>
              <w:right w:val="single" w:sz="6" w:color="DED6C7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201A18"/>
                <w:sz w:val="19"/>
              </w:rPr>
              <w:t>Keep the shared 168 pt cover. Neighbourhoods can use a direct sans title; readings a serif headline; destination dossiers a stronger editorial treatment.</w:t>
            </w:r>
          </w:p>
        </w:tc>
      </w:tr>
      <w:tr>
        <w:trPr>
          <w:cantSplit/>
        </w:trPr>
        <w:tc>
          <w:tcPr>
            <w:tcW w:type="dxa" w:w="3293"/>
            <w:tcBorders>
              <w:top w:val="single" w:sz="6" w:color="DED6C7"/>
              <w:left w:val="single" w:sz="6" w:color="DED6C7"/>
              <w:bottom w:val="single" w:sz="6" w:color="DED6C7"/>
              <w:right w:val="single" w:sz="6" w:color="DED6C7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967132"/>
                <w:sz w:val="18"/>
              </w:rPr>
              <w:t>P1</w:t>
            </w:r>
          </w:p>
        </w:tc>
        <w:tc>
          <w:tcPr>
            <w:tcW w:type="dxa" w:w="3293"/>
            <w:tcBorders>
              <w:top w:val="single" w:sz="6" w:color="DED6C7"/>
              <w:left w:val="single" w:sz="6" w:color="DED6C7"/>
              <w:bottom w:val="single" w:sz="6" w:color="DED6C7"/>
              <w:right w:val="single" w:sz="6" w:color="DED6C7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201A18"/>
                <w:sz w:val="20"/>
              </w:rPr>
              <w:t>Quiet the experience rail</w:t>
            </w:r>
          </w:p>
        </w:tc>
        <w:tc>
          <w:tcPr>
            <w:tcW w:type="dxa" w:w="3293"/>
            <w:tcBorders>
              <w:top w:val="single" w:sz="6" w:color="DED6C7"/>
              <w:left w:val="single" w:sz="6" w:color="DED6C7"/>
              <w:bottom w:val="single" w:sz="6" w:color="DED6C7"/>
              <w:right w:val="single" w:sz="6" w:color="DED6C7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201A18"/>
                <w:sz w:val="19"/>
              </w:rPr>
              <w:t>Place saving in the footer rather than over the artwork, allow a two-line title, and show one supporting fact. The rail should feel like invitations, not image ads.</w:t>
            </w:r>
          </w:p>
        </w:tc>
      </w:tr>
      <w:tr>
        <w:trPr>
          <w:cantSplit/>
        </w:trPr>
        <w:tc>
          <w:tcPr>
            <w:tcW w:type="dxa" w:w="3293"/>
            <w:tcBorders>
              <w:top w:val="single" w:sz="6" w:color="DED6C7"/>
              <w:left w:val="single" w:sz="6" w:color="DED6C7"/>
              <w:bottom w:val="single" w:sz="6" w:color="DED6C7"/>
              <w:right w:val="single" w:sz="6" w:color="DED6C7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967132"/>
                <w:sz w:val="18"/>
              </w:rPr>
              <w:t>P1</w:t>
            </w:r>
          </w:p>
        </w:tc>
        <w:tc>
          <w:tcPr>
            <w:tcW w:type="dxa" w:w="3293"/>
            <w:tcBorders>
              <w:top w:val="single" w:sz="6" w:color="DED6C7"/>
              <w:left w:val="single" w:sz="6" w:color="DED6C7"/>
              <w:bottom w:val="single" w:sz="6" w:color="DED6C7"/>
              <w:right w:val="single" w:sz="6" w:color="DED6C7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201A18"/>
                <w:sz w:val="20"/>
              </w:rPr>
              <w:t>Make social and memory states intentional</w:t>
            </w:r>
          </w:p>
        </w:tc>
        <w:tc>
          <w:tcPr>
            <w:tcW w:type="dxa" w:w="3293"/>
            <w:tcBorders>
              <w:top w:val="single" w:sz="6" w:color="DED6C7"/>
              <w:left w:val="single" w:sz="6" w:color="DED6C7"/>
              <w:bottom w:val="single" w:sz="6" w:color="DED6C7"/>
              <w:right w:val="single" w:sz="6" w:color="DED6C7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201A18"/>
                <w:sz w:val="19"/>
              </w:rPr>
              <w:t>Do not use large empty placeholder plates. Use a short sentence or list when no verified artwork exists; use an image only when it adds real context.</w:t>
            </w:r>
          </w:p>
        </w:tc>
      </w:tr>
      <w:tr>
        <w:trPr>
          <w:cantSplit/>
        </w:trPr>
        <w:tc>
          <w:tcPr>
            <w:tcW w:type="dxa" w:w="3293"/>
            <w:tcBorders>
              <w:top w:val="single" w:sz="6" w:color="DED6C7"/>
              <w:left w:val="single" w:sz="6" w:color="DED6C7"/>
              <w:bottom w:val="single" w:sz="6" w:color="DED6C7"/>
              <w:right w:val="single" w:sz="6" w:color="DED6C7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before="0" w:after="0" w:line="252" w:lineRule="auto"/>
            </w:pPr>
            <w:r/>
            <w:r>
              <w:rPr>
                <w:rFonts w:ascii="Calibri" w:hAnsi="Calibri" w:eastAsia="Calibri"/>
                <w:b/>
                <w:color w:val="967132"/>
                <w:sz w:val="18"/>
              </w:rPr>
              <w:t>P1</w:t>
            </w:r>
          </w:p>
        </w:tc>
        <w:tc>
          <w:tcPr>
            <w:tcW w:type="dxa" w:w="3293"/>
            <w:tcBorders>
              <w:top w:val="single" w:sz="6" w:color="DED6C7"/>
              <w:left w:val="single" w:sz="6" w:color="DED6C7"/>
              <w:bottom w:val="single" w:sz="6" w:color="DED6C7"/>
              <w:right w:val="single" w:sz="6" w:color="DED6C7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/>
                <w:color w:val="201A18"/>
                <w:sz w:val="20"/>
              </w:rPr>
              <w:t>Reserve clear space below the feed</w:t>
            </w:r>
          </w:p>
        </w:tc>
        <w:tc>
          <w:tcPr>
            <w:tcW w:type="dxa" w:w="3293"/>
            <w:tcBorders>
              <w:top w:val="single" w:sz="6" w:color="DED6C7"/>
              <w:left w:val="single" w:sz="6" w:color="DED6C7"/>
              <w:bottom w:val="single" w:sz="6" w:color="DED6C7"/>
              <w:right w:val="single" w:sz="6" w:color="DED6C7"/>
            </w:tcBorders>
            <w:tcMar>
              <w:top w:w="120" w:type="dxa"/>
              <w:start w:w="120" w:type="dxa"/>
              <w:bottom w:w="120" w:type="dxa"/>
              <w:end w:w="120" w:type="dxa"/>
            </w:tcMar>
            <w:vAlign w:val="top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 w:eastAsia="Calibri"/>
                <w:b w:val="0"/>
                <w:color w:val="201A18"/>
                <w:sz w:val="19"/>
              </w:rPr>
              <w:t>Give the final section enough bottom inset to sit above the floating tab bar. Navigation material should read as a functional overlay, not content competing with the last card.</w:t>
            </w:r>
          </w:p>
        </w:tc>
      </w:tr>
    </w:tbl>
    <w:p>
      <w:pPr>
        <w:pStyle w:val="AuditH1"/>
      </w:pPr>
      <w:r>
        <w:rPr>
          <w:rFonts w:ascii="Calibri" w:hAnsi="Calibri" w:eastAsia="Calibri"/>
          <w:b/>
          <w:color w:val="201A18"/>
          <w:sz w:val="30"/>
        </w:rPr>
        <w:t>The first implementation slice</w:t>
      </w:r>
    </w:p>
    <w:p>
      <w:pPr>
        <w:spacing w:before="0" w:after="100" w:line="264" w:lineRule="auto"/>
      </w:pPr>
      <w:r>
        <w:rPr>
          <w:rFonts w:ascii="Calibri" w:hAnsi="Calibri" w:eastAsia="Calibri"/>
          <w:b/>
          <w:color w:val="967132"/>
          <w:sz w:val="22"/>
        </w:rPr>
        <w:t xml:space="preserve">1  </w:t>
      </w:r>
      <w:r>
        <w:rPr>
          <w:rFonts w:ascii="Calibri" w:hAnsi="Calibri" w:eastAsia="Calibri"/>
          <w:b/>
          <w:color w:val="201A18"/>
          <w:sz w:val="21"/>
        </w:rPr>
        <w:t xml:space="preserve">Candidate row — </w:t>
      </w:r>
      <w:r>
        <w:rPr>
          <w:rFonts w:ascii="Calibri" w:hAnsi="Calibri" w:eastAsia="Calibri"/>
          <w:b w:val="0"/>
          <w:color w:val="201A18"/>
          <w:sz w:val="20"/>
        </w:rPr>
        <w:t>Make the place row itself the tap target, allow a second title line, and retain a clearly separated 44 pt save target. Remove Open unless the action has a more specific promise.</w:t>
      </w:r>
    </w:p>
    <w:p>
      <w:pPr>
        <w:spacing w:before="0" w:after="100" w:line="264" w:lineRule="auto"/>
      </w:pPr>
      <w:r>
        <w:rPr>
          <w:rFonts w:ascii="Calibri" w:hAnsi="Calibri" w:eastAsia="Calibri"/>
          <w:b/>
          <w:color w:val="967132"/>
          <w:sz w:val="22"/>
        </w:rPr>
        <w:t xml:space="preserve">2  </w:t>
      </w:r>
      <w:r>
        <w:rPr>
          <w:rFonts w:ascii="Calibri" w:hAnsi="Calibri" w:eastAsia="Calibri"/>
          <w:b/>
          <w:color w:val="201A18"/>
          <w:sz w:val="21"/>
        </w:rPr>
        <w:t xml:space="preserve">Surface hierarchy — </w:t>
      </w:r>
      <w:r>
        <w:rPr>
          <w:rFonts w:ascii="Calibri" w:hAnsi="Calibri" w:eastAsia="Calibri"/>
          <w:b w:val="0"/>
          <w:color w:val="201A18"/>
          <w:sz w:val="20"/>
        </w:rPr>
        <w:t>Convert secondary cards to quiet panels or list rows, and compose for a page with no raised card at all — the common case today. This restores a visible difference between ‘act now’ and ‘browse’ without depending on a conviction that has no honest producer yet.</w:t>
      </w:r>
    </w:p>
    <w:p>
      <w:pPr>
        <w:spacing w:before="0" w:after="100" w:line="264" w:lineRule="auto"/>
      </w:pPr>
      <w:r>
        <w:rPr>
          <w:rFonts w:ascii="Calibri" w:hAnsi="Calibri" w:eastAsia="Calibri"/>
          <w:b/>
          <w:color w:val="967132"/>
          <w:sz w:val="22"/>
        </w:rPr>
        <w:t xml:space="preserve">3  </w:t>
      </w:r>
      <w:r>
        <w:rPr>
          <w:rFonts w:ascii="Calibri" w:hAnsi="Calibri" w:eastAsia="Calibri"/>
          <w:b/>
          <w:color w:val="201A18"/>
          <w:sz w:val="21"/>
        </w:rPr>
        <w:t xml:space="preserve">Editorial family — </w:t>
      </w:r>
      <w:r>
        <w:rPr>
          <w:rFonts w:ascii="Calibri" w:hAnsi="Calibri" w:eastAsia="Calibri"/>
          <w:b w:val="0"/>
          <w:color w:val="201A18"/>
          <w:sz w:val="20"/>
        </w:rPr>
        <w:t>Retain the existing cover height and artwork system. Apply the type split—sans for neighbourhoods, serif for reading—before inventing another card silhouette.</w:t>
      </w:r>
    </w:p>
    <w:p>
      <w:pPr>
        <w:pStyle w:val="AuditH1"/>
      </w:pPr>
      <w:r>
        <w:rPr>
          <w:rFonts w:ascii="Calibri" w:hAnsi="Calibri" w:eastAsia="Calibri"/>
          <w:b/>
          <w:color w:val="201A18"/>
          <w:sz w:val="30"/>
        </w:rPr>
        <w:t>Guardrails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Calibri"/>
          <w:b w:val="0"/>
          <w:color w:val="201A18"/>
          <w:sz w:val="20"/>
        </w:rPr>
        <w:t>Keep a large cover only when the content is editorial enough to earn a pause: guides, neighbourhoods, and selected dossiers.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Calibri"/>
          <w:b w:val="0"/>
          <w:color w:val="201A18"/>
          <w:sz w:val="20"/>
        </w:rPr>
        <w:t>Do not introduce photography back into the Places root as generic decoration; use it where it is evidence or materially helps recognition.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Calibri"/>
          <w:b w:val="0"/>
          <w:color w:val="201A18"/>
          <w:sz w:val="20"/>
        </w:rPr>
        <w:t>Keep type roles stable. The eyebrow labels the content; the title carries the choice; one supporting fact explains why it matters.</w:t>
      </w:r>
    </w:p>
    <w:p>
      <w:pPr>
        <w:pStyle w:val="ListBullet"/>
        <w:spacing w:before="0" w:after="60" w:line="264" w:lineRule="auto"/>
      </w:pPr>
      <w:r>
        <w:rPr>
          <w:rFonts w:ascii="Calibri" w:hAnsi="Calibri" w:eastAsia="Calibri"/>
          <w:b w:val="0"/>
          <w:color w:val="201A18"/>
          <w:sz w:val="20"/>
        </w:rPr>
        <w:t>Validate the candidate-row change on a device at standard and larger text sizes, including the final feed item under floating navigation.</w:t>
      </w:r>
    </w:p>
    <w:p>
      <w:pPr>
        <w:pStyle w:val="AuditH1"/>
      </w:pPr>
      <w:r>
        <w:rPr>
          <w:rFonts w:ascii="Calibri" w:hAnsi="Calibri" w:eastAsia="Calibri"/>
          <w:b/>
          <w:color w:val="201A18"/>
          <w:sz w:val="30"/>
        </w:rPr>
        <w:t>Design guidance applied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Calibri"/>
          <w:b/>
          <w:color w:val="201A18"/>
          <w:sz w:val="18"/>
        </w:rPr>
        <w:t xml:space="preserve">Apple Human Interface Guidelines — Design principles  </w:t>
      </w:r>
      <w:r>
        <w:rPr>
          <w:rFonts w:ascii="Calibri" w:hAnsi="Calibri" w:eastAsia="Calibri"/>
          <w:b w:val="0"/>
          <w:color w:val="2E74B5"/>
          <w:sz w:val="17"/>
        </w:rPr>
        <w:t>https://developer.apple.com/design/human-interface-guidelines/design-principles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Calibri"/>
          <w:b/>
          <w:color w:val="201A18"/>
          <w:sz w:val="18"/>
        </w:rPr>
        <w:t xml:space="preserve">Apple Human Interface Guidelines — Layout  </w:t>
      </w:r>
      <w:r>
        <w:rPr>
          <w:rFonts w:ascii="Calibri" w:hAnsi="Calibri" w:eastAsia="Calibri"/>
          <w:b w:val="0"/>
          <w:color w:val="2E74B5"/>
          <w:sz w:val="17"/>
        </w:rPr>
        <w:t>https://developer.apple.com/design/human-interface-guidelines/layout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Calibri"/>
          <w:b/>
          <w:color w:val="201A18"/>
          <w:sz w:val="18"/>
        </w:rPr>
        <w:t xml:space="preserve">Apple Human Interface Guidelines — Accessibility  </w:t>
      </w:r>
      <w:r>
        <w:rPr>
          <w:rFonts w:ascii="Calibri" w:hAnsi="Calibri" w:eastAsia="Calibri"/>
          <w:b w:val="0"/>
          <w:color w:val="2E74B5"/>
          <w:sz w:val="17"/>
        </w:rPr>
        <w:t>https://developer.apple.com/design/human-interface-guidelines/accessibility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Calibri"/>
          <w:b/>
          <w:color w:val="201A18"/>
          <w:sz w:val="18"/>
        </w:rPr>
        <w:t xml:space="preserve">Apple Human Interface Guidelines — Materials  </w:t>
      </w:r>
      <w:r>
        <w:rPr>
          <w:rFonts w:ascii="Calibri" w:hAnsi="Calibri" w:eastAsia="Calibri"/>
          <w:b w:val="0"/>
          <w:color w:val="2E74B5"/>
          <w:sz w:val="17"/>
        </w:rPr>
        <w:t>https://developer.apple.com/design/human-interface-guidelines/materials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Calibri"/>
          <w:b/>
          <w:color w:val="201A18"/>
          <w:sz w:val="18"/>
        </w:rPr>
        <w:t xml:space="preserve">Material Design — Cards  </w:t>
      </w:r>
      <w:r>
        <w:rPr>
          <w:rFonts w:ascii="Calibri" w:hAnsi="Calibri" w:eastAsia="Calibri"/>
          <w:b w:val="0"/>
          <w:color w:val="2E74B5"/>
          <w:sz w:val="17"/>
        </w:rPr>
        <w:t>https://m2.material.io/develop/web/components/cards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/>
        <w:color w:val="6F6A65"/>
        <w:sz w:val="16"/>
      </w:rPr>
      <w:t>INTERNAL WORKING MEMO  ·  PLACES ROOT  ·  05 AUG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/>
        <w:color w:val="967132"/>
        <w:sz w:val="17"/>
      </w:rPr>
      <w:t>VESPER  /  DESIGN AUDIT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uditTitle">
    <w:name w:val="AuditTitle"/>
    <w:pPr>
      <w:spacing w:before="0" w:after="80"/>
    </w:pPr>
    <w:rPr>
      <w:rFonts w:ascii="Calibri" w:hAnsi="Calibri"/>
      <w:b/>
      <w:color w:val="201A18"/>
      <w:sz w:val="50"/>
    </w:rPr>
  </w:style>
  <w:style w:type="paragraph" w:customStyle="1" w:styleId="AuditSub">
    <w:name w:val="AuditSub"/>
    <w:pPr>
      <w:spacing w:before="0" w:after="280"/>
    </w:pPr>
    <w:rPr>
      <w:rFonts w:ascii="Calibri" w:hAnsi="Calibri"/>
      <w:b w:val="0"/>
      <w:color w:val="6F6A65"/>
      <w:sz w:val="25"/>
    </w:rPr>
  </w:style>
  <w:style w:type="paragraph" w:customStyle="1" w:styleId="AuditH1">
    <w:name w:val="AuditH1"/>
    <w:pPr>
      <w:spacing w:before="300" w:after="120"/>
    </w:pPr>
    <w:rPr>
      <w:rFonts w:ascii="Calibri" w:hAnsi="Calibri"/>
      <w:b/>
      <w:color w:val="201A18"/>
      <w:sz w:val="3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