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0" w:line="264" w:lineRule="auto"/>
      </w:pPr>
      <w:r>
        <w:rPr>
          <w:rFonts w:ascii="Calibri" w:hAnsi="Calibri" w:eastAsia="Calibri"/>
          <w:b/>
          <w:color w:val="967132"/>
          <w:sz w:val="19"/>
        </w:rPr>
        <w:t>PLACES ROOT  ·  CARD SYSTEM</w:t>
      </w:r>
    </w:p>
    <w:p>
      <w:pPr>
        <w:pStyle w:val="AuditTitle"/>
      </w:pPr>
      <w:r>
        <w:rPr>
          <w:rFonts w:ascii="Calibri" w:hAnsi="Calibri" w:eastAsia="Calibri"/>
          <w:b/>
          <w:color w:val="201A18"/>
          <w:sz w:val="50"/>
        </w:rPr>
        <w:t>Places card system audit</w:t>
      </w:r>
    </w:p>
    <w:p>
      <w:pPr>
        <w:pStyle w:val="AuditSub"/>
      </w:pPr>
      <w:r>
        <w:rPr>
          <w:rFonts w:ascii="Calibri" w:hAnsi="Calibri" w:eastAsia="Calibri"/>
          <w:b w:val="0"/>
          <w:color w:val="6F6A65"/>
          <w:sz w:val="25"/>
        </w:rPr>
        <w:t>Hierarchy, scanability, and the next formatting pass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93"/>
        <w:gridCol w:w="3293"/>
        <w:gridCol w:w="3293"/>
      </w:tblGrid>
      <w:tr>
        <w:tc>
          <w:tcPr>
            <w:tcW w:type="dxa" w:w="3293"/>
            <w:tcW w:w="1950" w:type="dxa"/>
            <w:shd w:fill="F7F2E8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5"/>
              </w:rPr>
              <w:t>SCOPE</w:t>
              <w:br/>
            </w:r>
            <w:r>
              <w:rPr>
                <w:rFonts w:ascii="Calibri" w:hAnsi="Calibri" w:eastAsia="Calibri"/>
                <w:b w:val="0"/>
                <w:color w:val="201A18"/>
                <w:sz w:val="18"/>
              </w:rPr>
              <w:t>Places root · mobile</w:t>
            </w:r>
          </w:p>
        </w:tc>
        <w:tc>
          <w:tcPr>
            <w:tcW w:type="dxa" w:w="3293"/>
            <w:tcW w:w="4000" w:type="dxa"/>
            <w:shd w:fill="F7F2E8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5"/>
              </w:rPr>
              <w:t>EVIDENCE</w:t>
              <w:br/>
            </w:r>
            <w:r>
              <w:rPr>
                <w:rFonts w:ascii="Calibri" w:hAnsi="Calibri" w:eastAsia="Calibri"/>
                <w:b w:val="0"/>
                <w:color w:val="201A18"/>
                <w:sz w:val="18"/>
              </w:rPr>
              <w:t>Source review, current captures, platform guidance</w:t>
            </w:r>
          </w:p>
        </w:tc>
        <w:tc>
          <w:tcPr>
            <w:tcW w:type="dxa" w:w="3293"/>
            <w:tcW w:w="3410" w:type="dxa"/>
            <w:shd w:fill="F7F2E8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5"/>
              </w:rPr>
              <w:t>RECOMMENDATION</w:t>
              <w:br/>
            </w:r>
            <w:r>
              <w:rPr>
                <w:rFonts w:ascii="Calibri" w:hAnsi="Calibri" w:eastAsia="Calibri"/>
                <w:b w:val="0"/>
                <w:color w:val="201A18"/>
                <w:sz w:val="18"/>
              </w:rPr>
              <w:t>Tune the system; do not redesign it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78"/>
      </w:tblGrid>
      <w:tr>
        <w:tc>
          <w:tcPr>
            <w:tcW w:type="dxa" w:w="9878"/>
            <w:tcW w:w="9360" w:type="dxa"/>
            <w:shd w:fill="F1E8D5"/>
            <w:tcBorders>
              <w:top w:val="single" w:sz="6" w:color="D8C39C"/>
              <w:left w:val="single" w:sz="6" w:color="D8C39C"/>
              <w:bottom w:val="single" w:sz="6" w:color="D8C39C"/>
              <w:right w:val="single" w:sz="6" w:color="D8C39C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7"/>
              </w:rPr>
              <w:t xml:space="preserve">DECISION  </w:t>
            </w:r>
            <w:r>
              <w:rPr>
                <w:rFonts w:ascii="Calibri" w:hAnsi="Calibri" w:eastAsia="Calibri"/>
                <w:b/>
                <w:color w:val="201A18"/>
                <w:sz w:val="21"/>
              </w:rPr>
              <w:t>The Places root already has a strong visual language. The next pass should make everyday choice rows quieter and easier to scan, while keeping large editorial cards as the deliberate moments of discovery.</w:t>
            </w:r>
          </w:p>
        </w:tc>
      </w:tr>
    </w:tbl>
    <w:p>
      <w:pPr>
        <w:pStyle w:val="AuditH1"/>
      </w:pPr>
      <w:r>
        <w:rPr>
          <w:rFonts w:ascii="Calibri" w:hAnsi="Calibri" w:eastAsia="Calibri"/>
          <w:b/>
          <w:color w:val="201A18"/>
          <w:sz w:val="30"/>
        </w:rPr>
        <w:t>What is already working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Illustration-first root surfaces keep the feed calm and give editorial content a consistent Vesper character.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Uncarded candidate rows, hairline dividers, and the warm paper ground make the feed feel more like a curated list than a marketplace.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The 168 pt editorial cover is a useful, repeatable moment for guides and neighbourhoods; it has enough presence to earn a card.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Keeping photography for evidence-bound detail protects the quieter root composition from visual noise.</w:t>
      </w:r>
    </w:p>
    <w:p>
      <w:pPr>
        <w:pStyle w:val="AuditH1"/>
      </w:pPr>
      <w:r>
        <w:rPr>
          <w:rFonts w:ascii="Calibri" w:hAnsi="Calibri" w:eastAsia="Calibri"/>
          <w:b/>
          <w:color w:val="201A18"/>
          <w:sz w:val="30"/>
        </w:rPr>
        <w:t>Recommended formatting pass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93"/>
        <w:gridCol w:w="3293"/>
        <w:gridCol w:w="3293"/>
      </w:tblGrid>
      <w:tr>
        <w:trPr>
          <w:cantSplit/>
          <w:tblHeader w:val="true"/>
        </w:trPr>
        <w:tc>
          <w:tcPr>
            <w:tcW w:type="dxa" w:w="3293"/>
            <w:tcW w:w="900" w:type="dxa"/>
            <w:shd w:fill="E8E0D2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6"/>
              </w:rPr>
              <w:t>PRIORITY</w:t>
            </w:r>
          </w:p>
        </w:tc>
        <w:tc>
          <w:tcPr>
            <w:tcW w:type="dxa" w:w="3293"/>
            <w:tcW w:w="3350" w:type="dxa"/>
            <w:shd w:fill="E8E0D2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6"/>
              </w:rPr>
              <w:t>CHANGE</w:t>
            </w:r>
          </w:p>
        </w:tc>
        <w:tc>
          <w:tcPr>
            <w:tcW w:type="dxa" w:w="3293"/>
            <w:tcW w:w="5110" w:type="dxa"/>
            <w:shd w:fill="E8E0D2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6"/>
              </w:rPr>
              <w:t>WHY IT FITS VESPER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P0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Simplify ordinary place rows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Let the whole row open the place; remove the repeated Open pill. Keep the bookmark as the lone trailing control. Reserve a button for a specific commitment such as Add to day or Book. Let titles use two lines when needed.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P0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Protect the raised-paper hierarchy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Use one raised card for the current conviction or urgency. Make secondary notices quiet panels or rows. Repeating elevated containers makes every item feel equally important.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P1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Differentiate editorial cards with type, not new shapes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Keep the shared 168 pt cover. Neighbourhoods can use a direct sans title; readings a serif headline; destination dossiers a stronger editorial treatment.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P1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Quiet the experience rail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Place saving in the footer rather than over the artwork, allow a two-line title, and show one supporting fact. The rail should feel like invitations, not image ads.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P1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Make social and memory states intentional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Do not use large empty placeholder plates. Use a short sentence or list when no verified artwork exists; use an image only when it adds real context.</w:t>
            </w:r>
          </w:p>
        </w:tc>
      </w:tr>
      <w:tr>
        <w:trPr>
          <w:cantSplit/>
        </w:trPr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b/>
                <w:color w:val="967132"/>
                <w:sz w:val="18"/>
              </w:rPr>
              <w:t>P1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/>
                <w:color w:val="201A18"/>
                <w:sz w:val="20"/>
              </w:rPr>
              <w:t>Reserve clear space below the feed</w:t>
            </w:r>
          </w:p>
        </w:tc>
        <w:tc>
          <w:tcPr>
            <w:tcW w:type="dxa" w:w="3293"/>
            <w:tcBorders>
              <w:top w:val="single" w:sz="6" w:color="DED6C7"/>
              <w:left w:val="single" w:sz="6" w:color="DED6C7"/>
              <w:bottom w:val="single" w:sz="6" w:color="DED6C7"/>
              <w:right w:val="single" w:sz="6" w:color="DED6C7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top"/>
          </w:tcPr>
          <w:p>
            <w:pPr>
              <w:spacing w:before="0" w:after="0" w:line="259" w:lineRule="auto"/>
            </w:pPr>
            <w:r/>
            <w:r>
              <w:rPr>
                <w:rFonts w:ascii="Calibri" w:hAnsi="Calibri" w:eastAsia="Calibri"/>
                <w:b w:val="0"/>
                <w:color w:val="201A18"/>
                <w:sz w:val="19"/>
              </w:rPr>
              <w:t>Give the final section enough bottom inset to sit above the floating tab bar. Navigation material should read as a functional overlay, not content competing with the last card.</w:t>
            </w:r>
          </w:p>
        </w:tc>
      </w:tr>
    </w:tbl>
    <w:p>
      <w:pPr>
        <w:pStyle w:val="AuditH1"/>
      </w:pPr>
      <w:r>
        <w:rPr>
          <w:rFonts w:ascii="Calibri" w:hAnsi="Calibri" w:eastAsia="Calibri"/>
          <w:b/>
          <w:color w:val="201A18"/>
          <w:sz w:val="30"/>
        </w:rPr>
        <w:t>The first implementation slice</w:t>
      </w:r>
    </w:p>
    <w:p>
      <w:pPr>
        <w:spacing w:before="0" w:after="100" w:line="264" w:lineRule="auto"/>
      </w:pPr>
      <w:r>
        <w:rPr>
          <w:rFonts w:ascii="Calibri" w:hAnsi="Calibri" w:eastAsia="Calibri"/>
          <w:b/>
          <w:color w:val="967132"/>
          <w:sz w:val="22"/>
        </w:rPr>
        <w:t xml:space="preserve">1  </w:t>
      </w:r>
      <w:r>
        <w:rPr>
          <w:rFonts w:ascii="Calibri" w:hAnsi="Calibri" w:eastAsia="Calibri"/>
          <w:b/>
          <w:color w:val="201A18"/>
          <w:sz w:val="21"/>
        </w:rPr>
        <w:t xml:space="preserve">Candidate row — </w:t>
      </w:r>
      <w:r>
        <w:rPr>
          <w:rFonts w:ascii="Calibri" w:hAnsi="Calibri" w:eastAsia="Calibri"/>
          <w:b w:val="0"/>
          <w:color w:val="201A18"/>
          <w:sz w:val="20"/>
        </w:rPr>
        <w:t>Make the place row itself the tap target, allow a second title line, and retain a clearly separated 44 pt save target. Remove Open unless the action has a more specific promise.</w:t>
      </w:r>
    </w:p>
    <w:p>
      <w:pPr>
        <w:spacing w:before="0" w:after="100" w:line="264" w:lineRule="auto"/>
      </w:pPr>
      <w:r>
        <w:rPr>
          <w:rFonts w:ascii="Calibri" w:hAnsi="Calibri" w:eastAsia="Calibri"/>
          <w:b/>
          <w:color w:val="967132"/>
          <w:sz w:val="22"/>
        </w:rPr>
        <w:t xml:space="preserve">2  </w:t>
      </w:r>
      <w:r>
        <w:rPr>
          <w:rFonts w:ascii="Calibri" w:hAnsi="Calibri" w:eastAsia="Calibri"/>
          <w:b/>
          <w:color w:val="201A18"/>
          <w:sz w:val="21"/>
        </w:rPr>
        <w:t xml:space="preserve">Surface hierarchy — </w:t>
      </w:r>
      <w:r>
        <w:rPr>
          <w:rFonts w:ascii="Calibri" w:hAnsi="Calibri" w:eastAsia="Calibri"/>
          <w:b w:val="0"/>
          <w:color w:val="201A18"/>
          <w:sz w:val="20"/>
        </w:rPr>
        <w:t>Keep the current conviction card raised; convert nearby secondary cards to quiet panels or list rows. This restores a visible difference between ‘act now’ and ‘browse.’</w:t>
      </w:r>
    </w:p>
    <w:p>
      <w:pPr>
        <w:spacing w:before="0" w:after="100" w:line="264" w:lineRule="auto"/>
      </w:pPr>
      <w:r>
        <w:rPr>
          <w:rFonts w:ascii="Calibri" w:hAnsi="Calibri" w:eastAsia="Calibri"/>
          <w:b/>
          <w:color w:val="967132"/>
          <w:sz w:val="22"/>
        </w:rPr>
        <w:t xml:space="preserve">3  </w:t>
      </w:r>
      <w:r>
        <w:rPr>
          <w:rFonts w:ascii="Calibri" w:hAnsi="Calibri" w:eastAsia="Calibri"/>
          <w:b/>
          <w:color w:val="201A18"/>
          <w:sz w:val="21"/>
        </w:rPr>
        <w:t xml:space="preserve">Editorial family — </w:t>
      </w:r>
      <w:r>
        <w:rPr>
          <w:rFonts w:ascii="Calibri" w:hAnsi="Calibri" w:eastAsia="Calibri"/>
          <w:b w:val="0"/>
          <w:color w:val="201A18"/>
          <w:sz w:val="20"/>
        </w:rPr>
        <w:t>Retain the existing cover height and artwork system. Apply the type split—sans for neighbourhoods, serif for reading—before inventing another card silhouette.</w:t>
      </w:r>
    </w:p>
    <w:p>
      <w:pPr>
        <w:pStyle w:val="AuditH1"/>
      </w:pPr>
      <w:r>
        <w:rPr>
          <w:rFonts w:ascii="Calibri" w:hAnsi="Calibri" w:eastAsia="Calibri"/>
          <w:b/>
          <w:color w:val="201A18"/>
          <w:sz w:val="30"/>
        </w:rPr>
        <w:t>Guardrails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Keep a large cover only when the content is editorial enough to earn a pause: guides, neighbourhoods, and selected dossiers.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Do not introduce photography back into the Places root as generic decoration; use it where it is evidence or materially helps recognition.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Keep type roles stable. The eyebrow labels the content; the title carries the choice; one supporting fact explains why it matters.</w:t>
      </w:r>
    </w:p>
    <w:p>
      <w:pPr>
        <w:pStyle w:val="ListBullet"/>
        <w:spacing w:before="0" w:after="60" w:line="264" w:lineRule="auto"/>
      </w:pPr>
      <w:r>
        <w:rPr>
          <w:rFonts w:ascii="Calibri" w:hAnsi="Calibri" w:eastAsia="Calibri"/>
          <w:b w:val="0"/>
          <w:color w:val="201A18"/>
          <w:sz w:val="20"/>
        </w:rPr>
        <w:t>Validate the candidate-row change on a device at standard and larger text sizes, including the final feed item under floating navigation.</w:t>
      </w:r>
    </w:p>
    <w:p>
      <w:pPr>
        <w:pStyle w:val="AuditH1"/>
      </w:pPr>
      <w:r>
        <w:rPr>
          <w:rFonts w:ascii="Calibri" w:hAnsi="Calibri" w:eastAsia="Calibri"/>
          <w:b/>
          <w:color w:val="201A18"/>
          <w:sz w:val="30"/>
        </w:rPr>
        <w:t>Design guidance applied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Calibri"/>
          <w:b/>
          <w:color w:val="201A18"/>
          <w:sz w:val="18"/>
        </w:rPr>
        <w:t xml:space="preserve">Apple Human Interface Guidelines — Design principles  </w:t>
      </w:r>
      <w:r>
        <w:rPr>
          <w:rFonts w:ascii="Calibri" w:hAnsi="Calibri" w:eastAsia="Calibri"/>
          <w:b w:val="0"/>
          <w:color w:val="2E74B5"/>
          <w:sz w:val="17"/>
        </w:rPr>
        <w:t>https://developer.apple.com/design/human-interface-guidelines/design-principles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Calibri"/>
          <w:b/>
          <w:color w:val="201A18"/>
          <w:sz w:val="18"/>
        </w:rPr>
        <w:t xml:space="preserve">Apple Human Interface Guidelines — Layout  </w:t>
      </w:r>
      <w:r>
        <w:rPr>
          <w:rFonts w:ascii="Calibri" w:hAnsi="Calibri" w:eastAsia="Calibri"/>
          <w:b w:val="0"/>
          <w:color w:val="2E74B5"/>
          <w:sz w:val="17"/>
        </w:rPr>
        <w:t>https://developer.apple.com/design/human-interface-guidelines/layout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Calibri"/>
          <w:b/>
          <w:color w:val="201A18"/>
          <w:sz w:val="18"/>
        </w:rPr>
        <w:t xml:space="preserve">Apple Human Interface Guidelines — Accessibility  </w:t>
      </w:r>
      <w:r>
        <w:rPr>
          <w:rFonts w:ascii="Calibri" w:hAnsi="Calibri" w:eastAsia="Calibri"/>
          <w:b w:val="0"/>
          <w:color w:val="2E74B5"/>
          <w:sz w:val="17"/>
        </w:rPr>
        <w:t>https://developer.apple.com/design/human-interface-guidelines/accessibility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Calibri"/>
          <w:b/>
          <w:color w:val="201A18"/>
          <w:sz w:val="18"/>
        </w:rPr>
        <w:t xml:space="preserve">Apple Human Interface Guidelines — Materials  </w:t>
      </w:r>
      <w:r>
        <w:rPr>
          <w:rFonts w:ascii="Calibri" w:hAnsi="Calibri" w:eastAsia="Calibri"/>
          <w:b w:val="0"/>
          <w:color w:val="2E74B5"/>
          <w:sz w:val="17"/>
        </w:rPr>
        <w:t>https://developer.apple.com/design/human-interface-guidelines/materials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Calibri"/>
          <w:b/>
          <w:color w:val="201A18"/>
          <w:sz w:val="18"/>
        </w:rPr>
        <w:t xml:space="preserve">Material Design — Cards  </w:t>
      </w:r>
      <w:r>
        <w:rPr>
          <w:rFonts w:ascii="Calibri" w:hAnsi="Calibri" w:eastAsia="Calibri"/>
          <w:b w:val="0"/>
          <w:color w:val="2E74B5"/>
          <w:sz w:val="17"/>
        </w:rPr>
        <w:t>https://m2.material.io/develop/web/components/cards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/>
        <w:color w:val="6F6A65"/>
        <w:sz w:val="16"/>
      </w:rPr>
      <w:t>INTERNAL WORKING MEMO  ·  PLACES ROOT  ·  05 AUG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/>
        <w:color w:val="967132"/>
        <w:sz w:val="17"/>
      </w:rPr>
      <w:t>VESPER  /  DESIGN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ditTitle">
    <w:name w:val="AuditTitle"/>
    <w:pPr>
      <w:spacing w:before="0" w:after="80"/>
    </w:pPr>
    <w:rPr>
      <w:rFonts w:ascii="Calibri" w:hAnsi="Calibri"/>
      <w:b/>
      <w:color w:val="201A18"/>
      <w:sz w:val="50"/>
    </w:rPr>
  </w:style>
  <w:style w:type="paragraph" w:customStyle="1" w:styleId="AuditSub">
    <w:name w:val="AuditSub"/>
    <w:pPr>
      <w:spacing w:before="0" w:after="280"/>
    </w:pPr>
    <w:rPr>
      <w:rFonts w:ascii="Calibri" w:hAnsi="Calibri"/>
      <w:b w:val="0"/>
      <w:color w:val="6F6A65"/>
      <w:sz w:val="25"/>
    </w:rPr>
  </w:style>
  <w:style w:type="paragraph" w:customStyle="1" w:styleId="AuditH1">
    <w:name w:val="AuditH1"/>
    <w:pPr>
      <w:spacing w:before="300" w:after="120"/>
    </w:pPr>
    <w:rPr>
      <w:rFonts w:ascii="Calibri" w:hAnsi="Calibri"/>
      <w:b/>
      <w:color w:val="201A18"/>
      <w:sz w:val="3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