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FC08" w14:textId="1BC070CF" w:rsidR="006B2BF7" w:rsidRDefault="007B608C" w:rsidP="007B608C">
      <w:pPr>
        <w:spacing w:line="240" w:lineRule="auto"/>
      </w:pPr>
      <w:r>
        <w:rPr>
          <w:rFonts w:hint="eastAsia"/>
        </w:rPr>
        <w:t>Methods</w:t>
      </w:r>
    </w:p>
    <w:p w14:paraId="635B2F67" w14:textId="7A4ECAA4" w:rsidR="007B608C" w:rsidRDefault="007B608C" w:rsidP="007B608C">
      <w:pPr>
        <w:spacing w:line="240" w:lineRule="auto"/>
      </w:pPr>
      <w:r>
        <w:rPr>
          <w:rFonts w:hint="eastAsia"/>
        </w:rPr>
        <w:t>The</w:t>
      </w:r>
      <w:r>
        <w:t xml:space="preserve"> data used in this study is from an imputed version of NHANES II study. The exposure in this study is whether the participant’s alcohol intake (drinks/week) measured at the baseline. The outcome is time to death of cancer during the follow-up. Other baseline covariates are measured.</w:t>
      </w:r>
      <w:r w:rsidR="00D46405">
        <w:t xml:space="preserve"> Baseline characteristics based on quantiles of alcohol intake is shown in table 1.</w:t>
      </w:r>
    </w:p>
    <w:tbl>
      <w:tblPr>
        <w:tblStyle w:val="TableGrid"/>
        <w:tblW w:w="0" w:type="auto"/>
        <w:tblLook w:val="04A0" w:firstRow="1" w:lastRow="0" w:firstColumn="1" w:lastColumn="0" w:noHBand="0" w:noVBand="1"/>
      </w:tblPr>
      <w:tblGrid>
        <w:gridCol w:w="1870"/>
        <w:gridCol w:w="1870"/>
        <w:gridCol w:w="1870"/>
        <w:gridCol w:w="1870"/>
        <w:gridCol w:w="1870"/>
      </w:tblGrid>
      <w:tr w:rsidR="00D46405" w14:paraId="044A9F01" w14:textId="77777777" w:rsidTr="00D46405">
        <w:tc>
          <w:tcPr>
            <w:tcW w:w="1870" w:type="dxa"/>
          </w:tcPr>
          <w:p w14:paraId="756F8638" w14:textId="77777777" w:rsidR="00D46405" w:rsidRDefault="00D46405" w:rsidP="007B608C"/>
        </w:tc>
        <w:tc>
          <w:tcPr>
            <w:tcW w:w="1870" w:type="dxa"/>
          </w:tcPr>
          <w:p w14:paraId="527CF9E5" w14:textId="3DF7674E" w:rsidR="00D46405" w:rsidRDefault="00A078C5" w:rsidP="007B608C">
            <w:r>
              <w:t>Alcohol intake =0</w:t>
            </w:r>
          </w:p>
        </w:tc>
        <w:tc>
          <w:tcPr>
            <w:tcW w:w="1870" w:type="dxa"/>
          </w:tcPr>
          <w:p w14:paraId="1F8BA13B" w14:textId="390695D7" w:rsidR="00D46405" w:rsidRPr="00A078C5" w:rsidRDefault="00A078C5" w:rsidP="007B608C">
            <w:pPr>
              <w:rPr>
                <w:sz w:val="24"/>
                <w:szCs w:val="24"/>
              </w:rPr>
            </w:pPr>
            <w:r>
              <w:t>Alcohol intake(0, 0.5</w:t>
            </w:r>
            <w:r>
              <w:rPr>
                <w:rFonts w:hint="eastAsia"/>
              </w:rPr>
              <w:t>]</w:t>
            </w:r>
          </w:p>
        </w:tc>
        <w:tc>
          <w:tcPr>
            <w:tcW w:w="1870" w:type="dxa"/>
          </w:tcPr>
          <w:p w14:paraId="4AB52282" w14:textId="27715203" w:rsidR="00D46405" w:rsidRDefault="00A078C5" w:rsidP="007B608C">
            <w:r>
              <w:t>Alcohol intake(0.5, 2.0</w:t>
            </w:r>
            <w:r>
              <w:rPr>
                <w:rFonts w:hint="eastAsia"/>
              </w:rPr>
              <w:t>]</w:t>
            </w:r>
          </w:p>
        </w:tc>
        <w:tc>
          <w:tcPr>
            <w:tcW w:w="1870" w:type="dxa"/>
          </w:tcPr>
          <w:p w14:paraId="21F9B968" w14:textId="58DD9290" w:rsidR="00D46405" w:rsidRDefault="00A078C5" w:rsidP="007B608C">
            <w:r>
              <w:t xml:space="preserve">Alcohol intake(2.0, </w:t>
            </w:r>
            <w:r>
              <w:rPr>
                <w:rFonts w:cstheme="minorHAnsi"/>
              </w:rPr>
              <w:t>∞</w:t>
            </w:r>
          </w:p>
        </w:tc>
      </w:tr>
      <w:tr w:rsidR="00D46405" w14:paraId="56AB6A14" w14:textId="77777777" w:rsidTr="00D46405">
        <w:tc>
          <w:tcPr>
            <w:tcW w:w="1870" w:type="dxa"/>
          </w:tcPr>
          <w:p w14:paraId="3DC2A322" w14:textId="7937E2CA" w:rsidR="00D46405" w:rsidRDefault="00D46405" w:rsidP="007B608C">
            <w:r>
              <w:t>Mean Alcohol, SD</w:t>
            </w:r>
          </w:p>
        </w:tc>
        <w:tc>
          <w:tcPr>
            <w:tcW w:w="1870" w:type="dxa"/>
          </w:tcPr>
          <w:p w14:paraId="6EF92AE9" w14:textId="77777777" w:rsidR="00D46405" w:rsidRDefault="00D46405" w:rsidP="007B608C"/>
        </w:tc>
        <w:tc>
          <w:tcPr>
            <w:tcW w:w="1870" w:type="dxa"/>
          </w:tcPr>
          <w:p w14:paraId="67F02B7F" w14:textId="4CAF1C9E" w:rsidR="00D46405" w:rsidRDefault="00D46405" w:rsidP="007B608C"/>
        </w:tc>
        <w:tc>
          <w:tcPr>
            <w:tcW w:w="1870" w:type="dxa"/>
          </w:tcPr>
          <w:p w14:paraId="03C194E9" w14:textId="77777777" w:rsidR="00D46405" w:rsidRDefault="00D46405" w:rsidP="007B608C"/>
        </w:tc>
        <w:tc>
          <w:tcPr>
            <w:tcW w:w="1870" w:type="dxa"/>
          </w:tcPr>
          <w:p w14:paraId="347A6618" w14:textId="77777777" w:rsidR="00D46405" w:rsidRDefault="00D46405" w:rsidP="007B608C"/>
        </w:tc>
      </w:tr>
      <w:tr w:rsidR="00D46405" w14:paraId="7D0097DF" w14:textId="77777777" w:rsidTr="00D46405">
        <w:tc>
          <w:tcPr>
            <w:tcW w:w="1870" w:type="dxa"/>
          </w:tcPr>
          <w:p w14:paraId="0911666C" w14:textId="7997A3E7" w:rsidR="00D46405" w:rsidRDefault="00D46405" w:rsidP="007B608C">
            <w:r>
              <w:t>Age at entry, SD</w:t>
            </w:r>
          </w:p>
        </w:tc>
        <w:tc>
          <w:tcPr>
            <w:tcW w:w="1870" w:type="dxa"/>
          </w:tcPr>
          <w:p w14:paraId="7B92F8F3" w14:textId="77777777" w:rsidR="00D46405" w:rsidRDefault="00D46405" w:rsidP="007B608C"/>
        </w:tc>
        <w:tc>
          <w:tcPr>
            <w:tcW w:w="1870" w:type="dxa"/>
          </w:tcPr>
          <w:p w14:paraId="50657990" w14:textId="77777777" w:rsidR="00D46405" w:rsidRDefault="00D46405" w:rsidP="007B608C"/>
        </w:tc>
        <w:tc>
          <w:tcPr>
            <w:tcW w:w="1870" w:type="dxa"/>
          </w:tcPr>
          <w:p w14:paraId="5FF569BE" w14:textId="77777777" w:rsidR="00D46405" w:rsidRDefault="00D46405" w:rsidP="007B608C"/>
        </w:tc>
        <w:tc>
          <w:tcPr>
            <w:tcW w:w="1870" w:type="dxa"/>
          </w:tcPr>
          <w:p w14:paraId="64E69575" w14:textId="77777777" w:rsidR="00D46405" w:rsidRDefault="00D46405" w:rsidP="007B608C"/>
        </w:tc>
      </w:tr>
      <w:tr w:rsidR="00D46405" w14:paraId="64850629" w14:textId="77777777" w:rsidTr="00D46405">
        <w:tc>
          <w:tcPr>
            <w:tcW w:w="1870" w:type="dxa"/>
          </w:tcPr>
          <w:p w14:paraId="1ACF3535" w14:textId="34807F35" w:rsidR="00D46405" w:rsidRDefault="00D85070" w:rsidP="007B608C">
            <w:r>
              <w:t>BMI</w:t>
            </w:r>
          </w:p>
        </w:tc>
        <w:tc>
          <w:tcPr>
            <w:tcW w:w="1870" w:type="dxa"/>
          </w:tcPr>
          <w:p w14:paraId="1A38FB03" w14:textId="77777777" w:rsidR="00D46405" w:rsidRDefault="00D46405" w:rsidP="007B608C"/>
        </w:tc>
        <w:tc>
          <w:tcPr>
            <w:tcW w:w="1870" w:type="dxa"/>
          </w:tcPr>
          <w:p w14:paraId="170263E1" w14:textId="77777777" w:rsidR="00D46405" w:rsidRDefault="00D46405" w:rsidP="007B608C"/>
        </w:tc>
        <w:tc>
          <w:tcPr>
            <w:tcW w:w="1870" w:type="dxa"/>
          </w:tcPr>
          <w:p w14:paraId="51BE74A5" w14:textId="77777777" w:rsidR="00D46405" w:rsidRDefault="00D46405" w:rsidP="007B608C"/>
        </w:tc>
        <w:tc>
          <w:tcPr>
            <w:tcW w:w="1870" w:type="dxa"/>
          </w:tcPr>
          <w:p w14:paraId="128DC9D7" w14:textId="77777777" w:rsidR="00D46405" w:rsidRDefault="00D46405" w:rsidP="007B608C"/>
        </w:tc>
      </w:tr>
      <w:tr w:rsidR="00D46405" w14:paraId="3108C36E" w14:textId="77777777" w:rsidTr="00D46405">
        <w:tc>
          <w:tcPr>
            <w:tcW w:w="1870" w:type="dxa"/>
          </w:tcPr>
          <w:p w14:paraId="5E4A308E" w14:textId="51F20D8C" w:rsidR="00D46405" w:rsidRDefault="00D85070" w:rsidP="007B608C">
            <w:r>
              <w:t>Grades</w:t>
            </w:r>
          </w:p>
        </w:tc>
        <w:tc>
          <w:tcPr>
            <w:tcW w:w="1870" w:type="dxa"/>
          </w:tcPr>
          <w:p w14:paraId="5F35935F" w14:textId="77777777" w:rsidR="00D46405" w:rsidRDefault="00D46405" w:rsidP="007B608C"/>
        </w:tc>
        <w:tc>
          <w:tcPr>
            <w:tcW w:w="1870" w:type="dxa"/>
          </w:tcPr>
          <w:p w14:paraId="256390E9" w14:textId="77777777" w:rsidR="00D46405" w:rsidRDefault="00D46405" w:rsidP="007B608C"/>
        </w:tc>
        <w:tc>
          <w:tcPr>
            <w:tcW w:w="1870" w:type="dxa"/>
          </w:tcPr>
          <w:p w14:paraId="77BAF59C" w14:textId="77777777" w:rsidR="00D46405" w:rsidRDefault="00D46405" w:rsidP="007B608C"/>
        </w:tc>
        <w:tc>
          <w:tcPr>
            <w:tcW w:w="1870" w:type="dxa"/>
          </w:tcPr>
          <w:p w14:paraId="5A6D6000" w14:textId="77777777" w:rsidR="00D46405" w:rsidRDefault="00D46405" w:rsidP="007B608C"/>
        </w:tc>
      </w:tr>
      <w:tr w:rsidR="00D46405" w14:paraId="77BF0903" w14:textId="77777777" w:rsidTr="00D46405">
        <w:tc>
          <w:tcPr>
            <w:tcW w:w="1870" w:type="dxa"/>
          </w:tcPr>
          <w:p w14:paraId="383E2E39" w14:textId="091B5516" w:rsidR="00D46405" w:rsidRDefault="00D85070" w:rsidP="007B608C">
            <w:r>
              <w:t>…</w:t>
            </w:r>
          </w:p>
        </w:tc>
        <w:tc>
          <w:tcPr>
            <w:tcW w:w="1870" w:type="dxa"/>
          </w:tcPr>
          <w:p w14:paraId="448023B0" w14:textId="77777777" w:rsidR="00D46405" w:rsidRDefault="00D46405" w:rsidP="007B608C"/>
        </w:tc>
        <w:tc>
          <w:tcPr>
            <w:tcW w:w="1870" w:type="dxa"/>
          </w:tcPr>
          <w:p w14:paraId="02E5EEC2" w14:textId="77777777" w:rsidR="00D46405" w:rsidRDefault="00D46405" w:rsidP="007B608C"/>
        </w:tc>
        <w:tc>
          <w:tcPr>
            <w:tcW w:w="1870" w:type="dxa"/>
          </w:tcPr>
          <w:p w14:paraId="4A053775" w14:textId="77777777" w:rsidR="00D46405" w:rsidRDefault="00D46405" w:rsidP="007B608C"/>
        </w:tc>
        <w:tc>
          <w:tcPr>
            <w:tcW w:w="1870" w:type="dxa"/>
          </w:tcPr>
          <w:p w14:paraId="452D5913" w14:textId="77777777" w:rsidR="00D46405" w:rsidRDefault="00D46405" w:rsidP="007B608C"/>
        </w:tc>
      </w:tr>
    </w:tbl>
    <w:p w14:paraId="3BC0E898" w14:textId="77777777" w:rsidR="00D46405" w:rsidRDefault="00D46405" w:rsidP="007B608C">
      <w:pPr>
        <w:spacing w:line="240" w:lineRule="auto"/>
      </w:pPr>
    </w:p>
    <w:p w14:paraId="4B855397" w14:textId="72E88FEF" w:rsidR="001A187A" w:rsidRDefault="007B608C" w:rsidP="007B608C">
      <w:pPr>
        <w:spacing w:line="240" w:lineRule="auto"/>
      </w:pPr>
      <w:r>
        <w:t xml:space="preserve">Given the cross-sectional nature of the study, the alcohol intake can be perceived as prevalent intakes, which may lead to </w:t>
      </w:r>
      <w:r w:rsidR="00D46405">
        <w:t>“prevalent user” problems</w:t>
      </w:r>
      <w:r>
        <w:t>.</w:t>
      </w:r>
      <w:r w:rsidR="00D46405">
        <w:t xml:space="preserve"> Taking this potential bias into consideration, in the main analysis, we chose to conduct Cox proportional hazard models through two approaches. The first approach is to set the time origin to be baseline, and time since entry is set to be the time scale.</w:t>
      </w:r>
      <w:r w:rsidR="00D85070">
        <w:t xml:space="preserve"> We conducted crude model, models adjusting for baseline age, and the fully-adjusted model</w:t>
      </w:r>
      <w:r w:rsidR="00D46405">
        <w:t xml:space="preserve"> In the fully-adjusted model, we adjust for the confounders which are reasonable common causes of prevalent alcohol intake as well as future risk of death because of cancer. The second approach is to set the age 2</w:t>
      </w:r>
      <w:r w:rsidR="00D85070">
        <w:t>1 (which is the legal age to buy alcohol in the US) and choose the age as the time-scale. In this approach, we conduct crude model and fully-adjusted model. No model adjusting for baseline age is conducted since we treat the age at entry as the left truncation threshold.</w:t>
      </w:r>
      <w:r w:rsidR="001A187A">
        <w:t xml:space="preserve"> The fully-adjusted model now only adjusted for sex, and other SES related covariates, because all the biomarkers, biometrics, and disease status at baseline might be the consequence of the alcohol intake before. The conceptuall framework as well as DAGs are shown in figure 1.</w:t>
      </w:r>
    </w:p>
    <w:p w14:paraId="69172846" w14:textId="5EE6C992" w:rsidR="001A187A" w:rsidRDefault="001A187A" w:rsidP="007B608C">
      <w:pPr>
        <w:spacing w:line="240" w:lineRule="auto"/>
      </w:pPr>
      <w:r>
        <w:t>[Figure 1]</w:t>
      </w:r>
    </w:p>
    <w:p w14:paraId="56CFC8B8" w14:textId="7E4A5814" w:rsidR="001A187A" w:rsidRDefault="00463A8C" w:rsidP="007B608C">
      <w:pPr>
        <w:spacing w:line="240" w:lineRule="auto"/>
      </w:pPr>
      <w:r>
        <w:rPr>
          <w:noProof/>
        </w:rPr>
        <w:lastRenderedPageBreak/>
        <w:drawing>
          <wp:inline distT="0" distB="0" distL="0" distR="0" wp14:anchorId="30629365" wp14:editId="26C715B5">
            <wp:extent cx="5943600" cy="5727065"/>
            <wp:effectExtent l="0" t="0" r="0" b="6985"/>
            <wp:docPr id="1" name="Picture 1" descr="图示&#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示&#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727065"/>
                    </a:xfrm>
                    <a:prstGeom prst="rect">
                      <a:avLst/>
                    </a:prstGeom>
                    <a:noFill/>
                    <a:ln>
                      <a:noFill/>
                    </a:ln>
                  </pic:spPr>
                </pic:pic>
              </a:graphicData>
            </a:graphic>
          </wp:inline>
        </w:drawing>
      </w:r>
    </w:p>
    <w:p w14:paraId="02CF0BF7" w14:textId="77777777" w:rsidR="00463A8C" w:rsidRDefault="00463A8C" w:rsidP="007B608C">
      <w:pPr>
        <w:spacing w:line="240" w:lineRule="auto"/>
      </w:pPr>
    </w:p>
    <w:p w14:paraId="40B47CFB" w14:textId="0521F560" w:rsidR="007B608C" w:rsidRDefault="00D85070" w:rsidP="007B608C">
      <w:pPr>
        <w:spacing w:line="240" w:lineRule="auto"/>
      </w:pPr>
      <w:r>
        <w:t>The interpretation</w:t>
      </w:r>
      <w:r>
        <w:rPr>
          <w:rFonts w:hint="eastAsia"/>
        </w:rPr>
        <w:t>s</w:t>
      </w:r>
      <w:r>
        <w:t xml:space="preserve"> for the exposure effect are different for the two approaches. The interpretation for the first approach, is the baseline prevalent alcohol intake’s effect on the hazard for time to </w:t>
      </w:r>
      <w:r w:rsidR="001A187A">
        <w:t xml:space="preserve">the </w:t>
      </w:r>
      <w:r>
        <w:t>event</w:t>
      </w:r>
      <w:r w:rsidR="001A187A">
        <w:t xml:space="preserve"> (dying from cancer)</w:t>
      </w:r>
      <w:r>
        <w:t xml:space="preserve"> since the measured baseline. The interpretation for the second approach, is the </w:t>
      </w:r>
      <w:r w:rsidR="001A187A">
        <w:t xml:space="preserve">alcohol intake’s effects after age 21 on the hazard for the age when dying from cancer. </w:t>
      </w:r>
    </w:p>
    <w:p w14:paraId="41EF20A2" w14:textId="0DC3BB00" w:rsidR="001A187A" w:rsidRDefault="001A187A" w:rsidP="007B608C">
      <w:pPr>
        <w:spacing w:line="240" w:lineRule="auto"/>
      </w:pPr>
    </w:p>
    <w:p w14:paraId="28E9A1CE" w14:textId="7A98D4D9" w:rsidR="001A187A" w:rsidRDefault="001A187A" w:rsidP="007B608C">
      <w:pPr>
        <w:spacing w:line="240" w:lineRule="auto"/>
      </w:pPr>
      <w:r>
        <w:t>To explore potential effect modification by sex, we conducted the fully-adjusted models using two method 1) conducting stratified Cox regression by sex 2) including the product term in the fully-adjusted model. Both two methods are utilized in each of the two approach mentioned above, so there are 4 models.</w:t>
      </w:r>
    </w:p>
    <w:p w14:paraId="542A7C12" w14:textId="7CE6A676" w:rsidR="001A187A" w:rsidRDefault="001A187A" w:rsidP="007B608C">
      <w:pPr>
        <w:spacing w:line="240" w:lineRule="auto"/>
      </w:pPr>
    </w:p>
    <w:p w14:paraId="378CFA99" w14:textId="6C2FD48B" w:rsidR="001A187A" w:rsidRDefault="001A187A" w:rsidP="007B608C">
      <w:pPr>
        <w:spacing w:line="240" w:lineRule="auto"/>
      </w:pPr>
      <w:r>
        <w:lastRenderedPageBreak/>
        <w:t>We checked the proportional hazard assumption using Schofield residuals and reported the corresponding chi-squared p-values for the exposure as well as for the whole model.</w:t>
      </w:r>
    </w:p>
    <w:p w14:paraId="01F9D050" w14:textId="67B92B42" w:rsidR="001A187A" w:rsidRDefault="001A187A" w:rsidP="007B608C">
      <w:pPr>
        <w:spacing w:line="240" w:lineRule="auto"/>
      </w:pPr>
    </w:p>
    <w:p w14:paraId="45BD6489" w14:textId="402EE905" w:rsidR="001A187A" w:rsidRDefault="001A187A" w:rsidP="007B608C">
      <w:pPr>
        <w:spacing w:line="240" w:lineRule="auto"/>
      </w:pPr>
      <w:r>
        <w:t xml:space="preserve">In the sensitivity analysis, we adopted the first approach </w:t>
      </w:r>
      <w:r w:rsidR="00A678DF">
        <w:t>which using time since baseline as the time scale, and conducted logistic and Poisson regression as sensitivity analysis.</w:t>
      </w:r>
    </w:p>
    <w:tbl>
      <w:tblPr>
        <w:tblStyle w:val="TableGrid"/>
        <w:tblW w:w="0" w:type="auto"/>
        <w:tblLook w:val="04A0" w:firstRow="1" w:lastRow="0" w:firstColumn="1" w:lastColumn="0" w:noHBand="0" w:noVBand="1"/>
      </w:tblPr>
      <w:tblGrid>
        <w:gridCol w:w="1514"/>
        <w:gridCol w:w="1248"/>
        <w:gridCol w:w="1315"/>
        <w:gridCol w:w="1342"/>
        <w:gridCol w:w="1292"/>
        <w:gridCol w:w="1435"/>
        <w:gridCol w:w="1204"/>
      </w:tblGrid>
      <w:tr w:rsidR="005A0032" w14:paraId="7AE1E4B9" w14:textId="325E8A16" w:rsidTr="005A0032">
        <w:tc>
          <w:tcPr>
            <w:tcW w:w="1514" w:type="dxa"/>
          </w:tcPr>
          <w:p w14:paraId="382FF6EC" w14:textId="77777777" w:rsidR="005A0032" w:rsidRDefault="005A0032" w:rsidP="007B608C"/>
        </w:tc>
        <w:tc>
          <w:tcPr>
            <w:tcW w:w="1248" w:type="dxa"/>
          </w:tcPr>
          <w:p w14:paraId="23207C66" w14:textId="5B12E46C" w:rsidR="005A0032" w:rsidRDefault="005A0032" w:rsidP="007B608C">
            <w:r>
              <w:t>0</w:t>
            </w:r>
          </w:p>
        </w:tc>
        <w:tc>
          <w:tcPr>
            <w:tcW w:w="1315" w:type="dxa"/>
          </w:tcPr>
          <w:p w14:paraId="30512587" w14:textId="06172F34" w:rsidR="005A0032" w:rsidRDefault="005A0032" w:rsidP="007B608C">
            <w:r>
              <w:t>0-0.5</w:t>
            </w:r>
          </w:p>
        </w:tc>
        <w:tc>
          <w:tcPr>
            <w:tcW w:w="1342" w:type="dxa"/>
          </w:tcPr>
          <w:p w14:paraId="34198908" w14:textId="35F27E1D" w:rsidR="005A0032" w:rsidRDefault="005A0032" w:rsidP="007B608C">
            <w:r>
              <w:t>0.5-2</w:t>
            </w:r>
          </w:p>
        </w:tc>
        <w:tc>
          <w:tcPr>
            <w:tcW w:w="1292" w:type="dxa"/>
          </w:tcPr>
          <w:p w14:paraId="52AABB57" w14:textId="3285C37D" w:rsidR="005A0032" w:rsidRDefault="005A0032" w:rsidP="007B608C">
            <w:r>
              <w:rPr>
                <w:rFonts w:hint="eastAsia"/>
              </w:rPr>
              <w:t>&gt;</w:t>
            </w:r>
            <w:r>
              <w:t>2</w:t>
            </w:r>
          </w:p>
        </w:tc>
        <w:tc>
          <w:tcPr>
            <w:tcW w:w="1435" w:type="dxa"/>
          </w:tcPr>
          <w:p w14:paraId="382026BE" w14:textId="5914688B" w:rsidR="005A0032" w:rsidRDefault="005A0032" w:rsidP="007B608C">
            <w:pPr>
              <w:rPr>
                <w:rFonts w:hint="eastAsia"/>
              </w:rPr>
            </w:pPr>
            <w:r>
              <w:t>Continuous</w:t>
            </w:r>
          </w:p>
        </w:tc>
        <w:tc>
          <w:tcPr>
            <w:tcW w:w="1204" w:type="dxa"/>
          </w:tcPr>
          <w:p w14:paraId="6FE442F5" w14:textId="617D7A79" w:rsidR="005A0032" w:rsidRPr="005A0032" w:rsidRDefault="005A0032" w:rsidP="007B608C">
            <w:pPr>
              <w:rPr>
                <w:vertAlign w:val="subscript"/>
              </w:rPr>
            </w:pPr>
            <w:r>
              <w:rPr>
                <w:rFonts w:hint="eastAsia"/>
              </w:rPr>
              <w:t>P</w:t>
            </w:r>
            <w:r>
              <w:rPr>
                <w:vertAlign w:val="subscript"/>
              </w:rPr>
              <w:t>trend</w:t>
            </w:r>
          </w:p>
        </w:tc>
      </w:tr>
      <w:tr w:rsidR="005A0032" w14:paraId="312009CE" w14:textId="22E9B076" w:rsidTr="005A0032">
        <w:tc>
          <w:tcPr>
            <w:tcW w:w="1514" w:type="dxa"/>
          </w:tcPr>
          <w:p w14:paraId="47109188" w14:textId="65264624" w:rsidR="005A0032" w:rsidRDefault="005A0032" w:rsidP="007B608C">
            <w:r>
              <w:t>Crude model</w:t>
            </w:r>
          </w:p>
        </w:tc>
        <w:tc>
          <w:tcPr>
            <w:tcW w:w="1248" w:type="dxa"/>
          </w:tcPr>
          <w:p w14:paraId="61ABDFDA" w14:textId="2AE83CE2" w:rsidR="005A0032" w:rsidRDefault="005A0032" w:rsidP="007B608C">
            <w:r>
              <w:t>Ref</w:t>
            </w:r>
          </w:p>
        </w:tc>
        <w:tc>
          <w:tcPr>
            <w:tcW w:w="1315" w:type="dxa"/>
          </w:tcPr>
          <w:p w14:paraId="19B7990C" w14:textId="5BA7BAB6" w:rsidR="005A0032" w:rsidRDefault="005A0032" w:rsidP="007B608C">
            <w:r>
              <w:t>1.02 (0.755-1.369)</w:t>
            </w:r>
          </w:p>
        </w:tc>
        <w:tc>
          <w:tcPr>
            <w:tcW w:w="1342" w:type="dxa"/>
          </w:tcPr>
          <w:p w14:paraId="33771596" w14:textId="0145CF6E" w:rsidR="005A0032" w:rsidRDefault="005A0032" w:rsidP="007B608C">
            <w:r>
              <w:t>1.16</w:t>
            </w:r>
          </w:p>
        </w:tc>
        <w:tc>
          <w:tcPr>
            <w:tcW w:w="1292" w:type="dxa"/>
          </w:tcPr>
          <w:p w14:paraId="7A83E61E" w14:textId="77495E10" w:rsidR="005A0032" w:rsidRDefault="005A0032" w:rsidP="007B608C">
            <w:r>
              <w:t>0.2</w:t>
            </w:r>
            <w:r>
              <w:t>5</w:t>
            </w:r>
          </w:p>
        </w:tc>
        <w:tc>
          <w:tcPr>
            <w:tcW w:w="1435" w:type="dxa"/>
          </w:tcPr>
          <w:p w14:paraId="410202F8" w14:textId="77777777" w:rsidR="005A0032" w:rsidRDefault="005A0032" w:rsidP="007B608C"/>
        </w:tc>
        <w:tc>
          <w:tcPr>
            <w:tcW w:w="1204" w:type="dxa"/>
          </w:tcPr>
          <w:p w14:paraId="7A23514A" w14:textId="77777777" w:rsidR="005A0032" w:rsidRDefault="005A0032" w:rsidP="007B608C"/>
        </w:tc>
      </w:tr>
      <w:tr w:rsidR="005A0032" w14:paraId="29F0ABE6" w14:textId="37F28D74" w:rsidTr="005A0032">
        <w:tc>
          <w:tcPr>
            <w:tcW w:w="1514" w:type="dxa"/>
          </w:tcPr>
          <w:p w14:paraId="3524F5E2" w14:textId="5C7A6988" w:rsidR="005A0032" w:rsidRDefault="005A0032" w:rsidP="007B608C">
            <w:r>
              <w:t>A</w:t>
            </w:r>
            <w:r>
              <w:rPr>
                <w:rFonts w:hint="eastAsia"/>
              </w:rPr>
              <w:t>ge</w:t>
            </w:r>
            <w:r>
              <w:t>-adjusted</w:t>
            </w:r>
          </w:p>
        </w:tc>
        <w:tc>
          <w:tcPr>
            <w:tcW w:w="1248" w:type="dxa"/>
          </w:tcPr>
          <w:p w14:paraId="65F9B4F8" w14:textId="08A1BAF1" w:rsidR="005A0032" w:rsidRDefault="005A0032" w:rsidP="007B608C">
            <w:r>
              <w:t>Ref</w:t>
            </w:r>
          </w:p>
        </w:tc>
        <w:tc>
          <w:tcPr>
            <w:tcW w:w="1315" w:type="dxa"/>
          </w:tcPr>
          <w:p w14:paraId="37A06E14" w14:textId="2C183AA8" w:rsidR="005A0032" w:rsidRDefault="005A0032" w:rsidP="007B608C"/>
        </w:tc>
        <w:tc>
          <w:tcPr>
            <w:tcW w:w="1342" w:type="dxa"/>
          </w:tcPr>
          <w:p w14:paraId="20ABC2E5" w14:textId="77777777" w:rsidR="005A0032" w:rsidRDefault="005A0032" w:rsidP="007B608C"/>
        </w:tc>
        <w:tc>
          <w:tcPr>
            <w:tcW w:w="1292" w:type="dxa"/>
          </w:tcPr>
          <w:p w14:paraId="7860858F" w14:textId="77777777" w:rsidR="005A0032" w:rsidRDefault="005A0032" w:rsidP="007B608C"/>
        </w:tc>
        <w:tc>
          <w:tcPr>
            <w:tcW w:w="1435" w:type="dxa"/>
          </w:tcPr>
          <w:p w14:paraId="6B967A1C" w14:textId="77777777" w:rsidR="005A0032" w:rsidRDefault="005A0032" w:rsidP="007B608C"/>
        </w:tc>
        <w:tc>
          <w:tcPr>
            <w:tcW w:w="1204" w:type="dxa"/>
          </w:tcPr>
          <w:p w14:paraId="6F29617F" w14:textId="77777777" w:rsidR="005A0032" w:rsidRDefault="005A0032" w:rsidP="007B608C"/>
        </w:tc>
      </w:tr>
      <w:tr w:rsidR="005A0032" w14:paraId="43E0012C" w14:textId="218E347B" w:rsidTr="005A0032">
        <w:tc>
          <w:tcPr>
            <w:tcW w:w="1514" w:type="dxa"/>
          </w:tcPr>
          <w:p w14:paraId="10FF4E3B" w14:textId="09A46205" w:rsidR="005A0032" w:rsidRDefault="005A0032" w:rsidP="007B608C">
            <w:r>
              <w:t>MV-adjusted</w:t>
            </w:r>
          </w:p>
        </w:tc>
        <w:tc>
          <w:tcPr>
            <w:tcW w:w="1248" w:type="dxa"/>
          </w:tcPr>
          <w:p w14:paraId="2D68DF56" w14:textId="043D45F0" w:rsidR="005A0032" w:rsidRDefault="005A0032" w:rsidP="007B608C">
            <w:r>
              <w:t>Ref</w:t>
            </w:r>
          </w:p>
        </w:tc>
        <w:tc>
          <w:tcPr>
            <w:tcW w:w="1315" w:type="dxa"/>
          </w:tcPr>
          <w:p w14:paraId="2B4CBF09" w14:textId="54AA80B3" w:rsidR="005A0032" w:rsidRDefault="005A0032" w:rsidP="007B608C"/>
        </w:tc>
        <w:tc>
          <w:tcPr>
            <w:tcW w:w="1342" w:type="dxa"/>
          </w:tcPr>
          <w:p w14:paraId="3A49791D" w14:textId="77777777" w:rsidR="005A0032" w:rsidRDefault="005A0032" w:rsidP="007B608C"/>
        </w:tc>
        <w:tc>
          <w:tcPr>
            <w:tcW w:w="1292" w:type="dxa"/>
          </w:tcPr>
          <w:p w14:paraId="2FB813E5" w14:textId="77777777" w:rsidR="005A0032" w:rsidRDefault="005A0032" w:rsidP="007B608C"/>
        </w:tc>
        <w:tc>
          <w:tcPr>
            <w:tcW w:w="1435" w:type="dxa"/>
          </w:tcPr>
          <w:p w14:paraId="0FF9425C" w14:textId="77777777" w:rsidR="005A0032" w:rsidRDefault="005A0032" w:rsidP="007B608C"/>
        </w:tc>
        <w:tc>
          <w:tcPr>
            <w:tcW w:w="1204" w:type="dxa"/>
          </w:tcPr>
          <w:p w14:paraId="67802986" w14:textId="77777777" w:rsidR="005A0032" w:rsidRDefault="005A0032" w:rsidP="007B608C"/>
        </w:tc>
      </w:tr>
      <w:tr w:rsidR="005A0032" w14:paraId="6C466846" w14:textId="3AC5E786" w:rsidTr="005A0032">
        <w:tc>
          <w:tcPr>
            <w:tcW w:w="1514" w:type="dxa"/>
          </w:tcPr>
          <w:p w14:paraId="0399CBAE" w14:textId="77777777" w:rsidR="005A0032" w:rsidRDefault="005A0032" w:rsidP="007B608C"/>
        </w:tc>
        <w:tc>
          <w:tcPr>
            <w:tcW w:w="1248" w:type="dxa"/>
          </w:tcPr>
          <w:p w14:paraId="3E278BC2" w14:textId="77777777" w:rsidR="005A0032" w:rsidRDefault="005A0032" w:rsidP="007B608C"/>
        </w:tc>
        <w:tc>
          <w:tcPr>
            <w:tcW w:w="1315" w:type="dxa"/>
          </w:tcPr>
          <w:p w14:paraId="0E295823" w14:textId="77777777" w:rsidR="005A0032" w:rsidRDefault="005A0032" w:rsidP="007B608C"/>
        </w:tc>
        <w:tc>
          <w:tcPr>
            <w:tcW w:w="1342" w:type="dxa"/>
          </w:tcPr>
          <w:p w14:paraId="6326F534" w14:textId="77777777" w:rsidR="005A0032" w:rsidRDefault="005A0032" w:rsidP="007B608C"/>
        </w:tc>
        <w:tc>
          <w:tcPr>
            <w:tcW w:w="1292" w:type="dxa"/>
          </w:tcPr>
          <w:p w14:paraId="6899B876" w14:textId="77777777" w:rsidR="005A0032" w:rsidRDefault="005A0032" w:rsidP="007B608C"/>
        </w:tc>
        <w:tc>
          <w:tcPr>
            <w:tcW w:w="1435" w:type="dxa"/>
          </w:tcPr>
          <w:p w14:paraId="30ADC6D7" w14:textId="77777777" w:rsidR="005A0032" w:rsidRDefault="005A0032" w:rsidP="007B608C"/>
        </w:tc>
        <w:tc>
          <w:tcPr>
            <w:tcW w:w="1204" w:type="dxa"/>
          </w:tcPr>
          <w:p w14:paraId="554FE475" w14:textId="77777777" w:rsidR="005A0032" w:rsidRDefault="005A0032" w:rsidP="007B608C"/>
        </w:tc>
      </w:tr>
    </w:tbl>
    <w:p w14:paraId="2146BF9C" w14:textId="77777777" w:rsidR="00D85070" w:rsidRDefault="00D85070" w:rsidP="007B608C">
      <w:pPr>
        <w:spacing w:line="240" w:lineRule="auto"/>
      </w:pPr>
    </w:p>
    <w:sectPr w:rsidR="00D85070" w:rsidSect="007B60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6803D" w14:textId="77777777" w:rsidR="003A761C" w:rsidRDefault="003A761C" w:rsidP="00463A8C">
      <w:pPr>
        <w:spacing w:after="0" w:line="240" w:lineRule="auto"/>
      </w:pPr>
      <w:r>
        <w:separator/>
      </w:r>
    </w:p>
  </w:endnote>
  <w:endnote w:type="continuationSeparator" w:id="0">
    <w:p w14:paraId="5F854192" w14:textId="77777777" w:rsidR="003A761C" w:rsidRDefault="003A761C" w:rsidP="00463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FBEDF" w14:textId="77777777" w:rsidR="003A761C" w:rsidRDefault="003A761C" w:rsidP="00463A8C">
      <w:pPr>
        <w:spacing w:after="0" w:line="240" w:lineRule="auto"/>
      </w:pPr>
      <w:r>
        <w:separator/>
      </w:r>
    </w:p>
  </w:footnote>
  <w:footnote w:type="continuationSeparator" w:id="0">
    <w:p w14:paraId="497F5FE7" w14:textId="77777777" w:rsidR="003A761C" w:rsidRDefault="003A761C" w:rsidP="00463A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8C"/>
    <w:rsid w:val="001A187A"/>
    <w:rsid w:val="003A761C"/>
    <w:rsid w:val="00463A8C"/>
    <w:rsid w:val="005A0032"/>
    <w:rsid w:val="006B2BF7"/>
    <w:rsid w:val="007B608C"/>
    <w:rsid w:val="00A078C5"/>
    <w:rsid w:val="00A678DF"/>
    <w:rsid w:val="00D46405"/>
    <w:rsid w:val="00D85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3649C"/>
  <w15:chartTrackingRefBased/>
  <w15:docId w15:val="{9C470E96-C6B7-45D9-A9AC-D1DD6D5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A8C"/>
  </w:style>
  <w:style w:type="paragraph" w:styleId="Footer">
    <w:name w:val="footer"/>
    <w:basedOn w:val="Normal"/>
    <w:link w:val="FooterChar"/>
    <w:uiPriority w:val="99"/>
    <w:unhideWhenUsed/>
    <w:rsid w:val="00463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 Guo</dc:creator>
  <cp:keywords/>
  <dc:description/>
  <cp:lastModifiedBy>Fuyu Guo</cp:lastModifiedBy>
  <cp:revision>3</cp:revision>
  <dcterms:created xsi:type="dcterms:W3CDTF">2022-04-23T01:44:00Z</dcterms:created>
  <dcterms:modified xsi:type="dcterms:W3CDTF">2022-04-24T02:16:00Z</dcterms:modified>
</cp:coreProperties>
</file>