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8AB3" w14:textId="7CC65D5F" w:rsidR="006178B5" w:rsidRPr="00ED0923" w:rsidRDefault="00697F12" w:rsidP="00596C60">
      <w:pPr>
        <w:pStyle w:val="ListParagraph"/>
        <w:ind w:left="0"/>
        <w:jc w:val="center"/>
        <w:rPr>
          <w:rFonts w:ascii="Times New Roman" w:hAnsi="Times New Roman" w:cs="Times New Roman"/>
        </w:rPr>
      </w:pPr>
      <w:r w:rsidRPr="00ED0923">
        <w:rPr>
          <w:rFonts w:ascii="Times New Roman" w:hAnsi="Times New Roman" w:cs="Times New Roman"/>
        </w:rPr>
        <w:t>Epi 204 Project Report</w:t>
      </w:r>
    </w:p>
    <w:p w14:paraId="60F8F5AD" w14:textId="068AC0A3" w:rsidR="00E37129" w:rsidRPr="00ED0923" w:rsidRDefault="00E37129" w:rsidP="009223B6">
      <w:pPr>
        <w:jc w:val="both"/>
        <w:rPr>
          <w:b/>
          <w:bCs/>
          <w:sz w:val="22"/>
          <w:szCs w:val="22"/>
        </w:rPr>
      </w:pPr>
      <w:r w:rsidRPr="00ED0923">
        <w:rPr>
          <w:b/>
          <w:bCs/>
          <w:sz w:val="22"/>
          <w:szCs w:val="22"/>
        </w:rPr>
        <w:t>Introduction</w:t>
      </w:r>
    </w:p>
    <w:p w14:paraId="65E77148" w14:textId="5B09DA0C" w:rsidR="00F45372" w:rsidRPr="00ED0923" w:rsidRDefault="00D648C7" w:rsidP="00170478">
      <w:pPr>
        <w:rPr>
          <w:strike/>
          <w:sz w:val="22"/>
          <w:szCs w:val="22"/>
          <w:shd w:val="pct15" w:color="auto" w:fill="FFFFFF"/>
        </w:rPr>
      </w:pPr>
      <w:r w:rsidRPr="00ED0923">
        <w:rPr>
          <w:sz w:val="22"/>
          <w:szCs w:val="22"/>
        </w:rPr>
        <w:t>According to CDC,</w:t>
      </w:r>
      <w:r w:rsidR="004D10B5" w:rsidRPr="00ED0923">
        <w:rPr>
          <w:sz w:val="22"/>
          <w:szCs w:val="22"/>
        </w:rPr>
        <w:t xml:space="preserve"> cancer is one of the leading causes of death, </w:t>
      </w:r>
      <w:r w:rsidR="00355937">
        <w:rPr>
          <w:sz w:val="22"/>
          <w:szCs w:val="22"/>
        </w:rPr>
        <w:t xml:space="preserve">so </w:t>
      </w:r>
      <w:r w:rsidR="004D10B5" w:rsidRPr="00ED0923">
        <w:rPr>
          <w:sz w:val="22"/>
          <w:szCs w:val="22"/>
        </w:rPr>
        <w:t>it is importan</w:t>
      </w:r>
      <w:r w:rsidR="00355937">
        <w:rPr>
          <w:sz w:val="22"/>
          <w:szCs w:val="22"/>
        </w:rPr>
        <w:t>t</w:t>
      </w:r>
      <w:r w:rsidR="004D10B5" w:rsidRPr="00ED0923">
        <w:rPr>
          <w:sz w:val="22"/>
          <w:szCs w:val="22"/>
        </w:rPr>
        <w:t xml:space="preserve"> to understand how our lifestyle is associated with the risk of dying from cancer.</w:t>
      </w:r>
      <w:r w:rsidRPr="00ED0923">
        <w:rPr>
          <w:sz w:val="22"/>
          <w:szCs w:val="22"/>
        </w:rPr>
        <w:t xml:space="preserve"> Since people enjoy </w:t>
      </w:r>
      <w:r w:rsidRPr="00ED0923">
        <w:rPr>
          <w:sz w:val="22"/>
          <w:szCs w:val="22"/>
        </w:rPr>
        <w:t xml:space="preserve">alcohol </w:t>
      </w:r>
      <w:r w:rsidRPr="00ED0923">
        <w:rPr>
          <w:sz w:val="22"/>
          <w:szCs w:val="22"/>
        </w:rPr>
        <w:t xml:space="preserve">for various reasons, we are interested in how </w:t>
      </w:r>
      <w:r w:rsidRPr="00ED0923">
        <w:rPr>
          <w:sz w:val="22"/>
          <w:szCs w:val="22"/>
        </w:rPr>
        <w:t>alcohol</w:t>
      </w:r>
      <w:r w:rsidRPr="00ED0923">
        <w:rPr>
          <w:sz w:val="22"/>
          <w:szCs w:val="22"/>
        </w:rPr>
        <w:t xml:space="preserve"> relates to cancer deaths.</w:t>
      </w:r>
      <w:r w:rsidR="00047C4E" w:rsidRPr="00ED0923">
        <w:rPr>
          <w:sz w:val="22"/>
          <w:szCs w:val="22"/>
        </w:rPr>
        <w:t xml:space="preserve"> </w:t>
      </w:r>
      <w:r w:rsidR="00F45372" w:rsidRPr="00ED0923">
        <w:rPr>
          <w:sz w:val="22"/>
          <w:szCs w:val="22"/>
        </w:rPr>
        <w:t>In this project, we</w:t>
      </w:r>
      <w:r w:rsidR="00280351" w:rsidRPr="00ED0923">
        <w:rPr>
          <w:sz w:val="22"/>
          <w:szCs w:val="22"/>
        </w:rPr>
        <w:t xml:space="preserve"> used Cox models</w:t>
      </w:r>
      <w:r w:rsidR="00F45372" w:rsidRPr="00ED0923">
        <w:rPr>
          <w:sz w:val="22"/>
          <w:szCs w:val="22"/>
        </w:rPr>
        <w:t xml:space="preserve"> </w:t>
      </w:r>
      <w:r w:rsidR="00280351" w:rsidRPr="00ED0923">
        <w:rPr>
          <w:sz w:val="22"/>
          <w:szCs w:val="22"/>
        </w:rPr>
        <w:t xml:space="preserve">to </w:t>
      </w:r>
      <w:r w:rsidR="00F45372" w:rsidRPr="00ED0923">
        <w:rPr>
          <w:sz w:val="22"/>
          <w:szCs w:val="22"/>
        </w:rPr>
        <w:t>e</w:t>
      </w:r>
      <w:r w:rsidR="00F45372" w:rsidRPr="00ED0923">
        <w:rPr>
          <w:sz w:val="22"/>
          <w:szCs w:val="22"/>
        </w:rPr>
        <w:t xml:space="preserve">xamine the association between alcohol intake and death from cancer during follow-up. </w:t>
      </w:r>
    </w:p>
    <w:p w14:paraId="1A31251A" w14:textId="77777777" w:rsidR="00B2531A" w:rsidRPr="00ED0923" w:rsidRDefault="00B2531A" w:rsidP="00170478">
      <w:pPr>
        <w:rPr>
          <w:strike/>
          <w:sz w:val="22"/>
          <w:szCs w:val="22"/>
        </w:rPr>
      </w:pPr>
    </w:p>
    <w:p w14:paraId="364AFC08" w14:textId="0C6076E3" w:rsidR="006B2BF7" w:rsidRPr="00ED0923" w:rsidRDefault="007B608C" w:rsidP="007806F0">
      <w:pPr>
        <w:jc w:val="both"/>
        <w:rPr>
          <w:b/>
          <w:bCs/>
          <w:sz w:val="22"/>
          <w:szCs w:val="22"/>
        </w:rPr>
      </w:pPr>
      <w:r w:rsidRPr="00ED0923">
        <w:rPr>
          <w:b/>
          <w:bCs/>
          <w:sz w:val="22"/>
          <w:szCs w:val="22"/>
        </w:rPr>
        <w:t>Methods</w:t>
      </w:r>
    </w:p>
    <w:p w14:paraId="1540EDA9" w14:textId="1E3EB7CD" w:rsidR="00AC2642" w:rsidRPr="00ED0923" w:rsidRDefault="007B608C" w:rsidP="002B0300">
      <w:pPr>
        <w:rPr>
          <w:sz w:val="22"/>
          <w:szCs w:val="22"/>
        </w:rPr>
      </w:pPr>
      <w:r w:rsidRPr="00ED0923">
        <w:rPr>
          <w:sz w:val="22"/>
          <w:szCs w:val="22"/>
        </w:rPr>
        <w:t>The data used in this study is from an imputed version of</w:t>
      </w:r>
      <w:r w:rsidR="004D1B6B" w:rsidRPr="00ED0923">
        <w:rPr>
          <w:sz w:val="22"/>
          <w:szCs w:val="22"/>
        </w:rPr>
        <w:t xml:space="preserve"> the</w:t>
      </w:r>
      <w:r w:rsidRPr="00ED0923">
        <w:rPr>
          <w:sz w:val="22"/>
          <w:szCs w:val="22"/>
        </w:rPr>
        <w:t xml:space="preserve"> NHANES II </w:t>
      </w:r>
      <w:r w:rsidR="004B4530" w:rsidRPr="00ED0923">
        <w:rPr>
          <w:sz w:val="22"/>
          <w:szCs w:val="22"/>
        </w:rPr>
        <w:t>mortality follow-up study</w:t>
      </w:r>
      <w:r w:rsidR="00B2531A" w:rsidRPr="00ED0923">
        <w:rPr>
          <w:sz w:val="22"/>
          <w:szCs w:val="22"/>
        </w:rPr>
        <w:t>. The</w:t>
      </w:r>
      <w:r w:rsidR="00FD73D5" w:rsidRPr="00ED0923">
        <w:rPr>
          <w:sz w:val="22"/>
          <w:szCs w:val="22"/>
        </w:rPr>
        <w:t xml:space="preserve"> d</w:t>
      </w:r>
      <w:r w:rsidR="00FD73D5" w:rsidRPr="00ED0923">
        <w:rPr>
          <w:sz w:val="22"/>
          <w:szCs w:val="22"/>
        </w:rPr>
        <w:t xml:space="preserve">etails </w:t>
      </w:r>
      <w:r w:rsidR="006A77EF">
        <w:rPr>
          <w:sz w:val="22"/>
          <w:szCs w:val="22"/>
        </w:rPr>
        <w:t>of</w:t>
      </w:r>
      <w:r w:rsidR="00FD73D5" w:rsidRPr="00ED0923">
        <w:rPr>
          <w:sz w:val="22"/>
          <w:szCs w:val="22"/>
        </w:rPr>
        <w:t xml:space="preserve"> the</w:t>
      </w:r>
      <w:r w:rsidR="00B73B7B" w:rsidRPr="00ED0923">
        <w:rPr>
          <w:sz w:val="22"/>
          <w:szCs w:val="22"/>
        </w:rPr>
        <w:t xml:space="preserve"> </w:t>
      </w:r>
      <w:r w:rsidR="00B73B7B" w:rsidRPr="00ED0923">
        <w:rPr>
          <w:sz w:val="22"/>
          <w:szCs w:val="22"/>
        </w:rPr>
        <w:t>NHANES II</w:t>
      </w:r>
      <w:r w:rsidR="00FD73D5" w:rsidRPr="00ED0923">
        <w:rPr>
          <w:sz w:val="22"/>
          <w:szCs w:val="22"/>
        </w:rPr>
        <w:t xml:space="preserve"> </w:t>
      </w:r>
      <w:r w:rsidR="00B73B7B" w:rsidRPr="00ED0923">
        <w:rPr>
          <w:sz w:val="22"/>
          <w:szCs w:val="22"/>
        </w:rPr>
        <w:t>survey</w:t>
      </w:r>
      <w:r w:rsidR="00FD73D5" w:rsidRPr="00ED0923">
        <w:rPr>
          <w:sz w:val="22"/>
          <w:szCs w:val="22"/>
        </w:rPr>
        <w:t xml:space="preserve"> are described elsewhere</w:t>
      </w:r>
      <w:r w:rsidR="00FD73D5" w:rsidRPr="00ED0923">
        <w:rPr>
          <w:sz w:val="22"/>
          <w:szCs w:val="22"/>
          <w:vertAlign w:val="superscript"/>
        </w:rPr>
        <w:footnoteReference w:id="1"/>
      </w:r>
      <w:r w:rsidR="00B73B7B" w:rsidRPr="00ED0923">
        <w:rPr>
          <w:sz w:val="22"/>
          <w:szCs w:val="22"/>
        </w:rPr>
        <w:t>.</w:t>
      </w:r>
      <w:r w:rsidR="00FD73D5" w:rsidRPr="00ED0923">
        <w:rPr>
          <w:sz w:val="22"/>
          <w:szCs w:val="22"/>
        </w:rPr>
        <w:t xml:space="preserve"> </w:t>
      </w:r>
      <w:r w:rsidR="00931893" w:rsidRPr="00ED0923">
        <w:rPr>
          <w:sz w:val="22"/>
          <w:szCs w:val="22"/>
        </w:rPr>
        <w:t xml:space="preserve">The cross-sectional survey has </w:t>
      </w:r>
      <w:r w:rsidR="00931893" w:rsidRPr="00ED0923">
        <w:rPr>
          <w:sz w:val="22"/>
          <w:szCs w:val="22"/>
        </w:rPr>
        <w:t xml:space="preserve">information about </w:t>
      </w:r>
      <w:r w:rsidR="00931893" w:rsidRPr="00ED0923">
        <w:rPr>
          <w:sz w:val="22"/>
          <w:szCs w:val="22"/>
        </w:rPr>
        <w:t>demographic, socioeconomic, and biomarker</w:t>
      </w:r>
      <w:r w:rsidR="00CC1FC0" w:rsidRPr="00ED0923">
        <w:rPr>
          <w:sz w:val="22"/>
          <w:szCs w:val="22"/>
        </w:rPr>
        <w:t xml:space="preserve"> variables</w:t>
      </w:r>
      <w:r w:rsidR="00EB05FD">
        <w:rPr>
          <w:sz w:val="22"/>
          <w:szCs w:val="22"/>
        </w:rPr>
        <w:t>. Then</w:t>
      </w:r>
      <w:r w:rsidR="00931893" w:rsidRPr="00ED0923">
        <w:rPr>
          <w:sz w:val="22"/>
          <w:szCs w:val="22"/>
        </w:rPr>
        <w:t xml:space="preserve"> </w:t>
      </w:r>
      <w:r w:rsidR="00931893" w:rsidRPr="00ED0923">
        <w:rPr>
          <w:sz w:val="22"/>
          <w:szCs w:val="22"/>
        </w:rPr>
        <w:t>a longitudinal follow-up study of the participants in the survey</w:t>
      </w:r>
      <w:r w:rsidR="00931893" w:rsidRPr="00ED0923">
        <w:rPr>
          <w:sz w:val="22"/>
          <w:szCs w:val="22"/>
        </w:rPr>
        <w:t xml:space="preserve"> was conducted</w:t>
      </w:r>
      <w:r w:rsidR="008201DB">
        <w:rPr>
          <w:sz w:val="22"/>
          <w:szCs w:val="22"/>
        </w:rPr>
        <w:t>,</w:t>
      </w:r>
      <w:r w:rsidR="00931893" w:rsidRPr="00ED0923">
        <w:rPr>
          <w:sz w:val="22"/>
          <w:szCs w:val="22"/>
        </w:rPr>
        <w:t xml:space="preserve"> and </w:t>
      </w:r>
      <w:r w:rsidR="00931893" w:rsidRPr="00ED0923">
        <w:rPr>
          <w:sz w:val="22"/>
          <w:szCs w:val="22"/>
        </w:rPr>
        <w:t xml:space="preserve">death </w:t>
      </w:r>
      <w:r w:rsidR="0086512D" w:rsidRPr="0086512D">
        <w:rPr>
          <w:sz w:val="22"/>
          <w:szCs w:val="22"/>
        </w:rPr>
        <w:t>occurred</w:t>
      </w:r>
      <w:r w:rsidR="0086512D">
        <w:rPr>
          <w:sz w:val="22"/>
          <w:szCs w:val="22"/>
        </w:rPr>
        <w:t xml:space="preserve"> </w:t>
      </w:r>
      <w:r w:rsidR="00931893" w:rsidRPr="00ED0923">
        <w:rPr>
          <w:sz w:val="22"/>
          <w:szCs w:val="22"/>
        </w:rPr>
        <w:t xml:space="preserve">after the survey was administered. </w:t>
      </w:r>
    </w:p>
    <w:p w14:paraId="7966BD15" w14:textId="77777777" w:rsidR="002B0300" w:rsidRPr="00ED0923" w:rsidRDefault="002B0300" w:rsidP="002B0300">
      <w:pPr>
        <w:rPr>
          <w:sz w:val="22"/>
          <w:szCs w:val="22"/>
        </w:rPr>
      </w:pPr>
    </w:p>
    <w:p w14:paraId="3BC0E898" w14:textId="46B0E7B8" w:rsidR="00D46405" w:rsidRPr="00ED0923" w:rsidRDefault="002B0300" w:rsidP="005570A1">
      <w:pPr>
        <w:rPr>
          <w:sz w:val="22"/>
          <w:szCs w:val="22"/>
        </w:rPr>
      </w:pPr>
      <w:r w:rsidRPr="00ED0923">
        <w:rPr>
          <w:sz w:val="22"/>
          <w:szCs w:val="22"/>
        </w:rPr>
        <w:t>The exposure variable for our project is alcohol consumption (drinks/week) measured at the baseline</w:t>
      </w:r>
      <w:r w:rsidRPr="00ED0923">
        <w:rPr>
          <w:sz w:val="22"/>
          <w:szCs w:val="22"/>
        </w:rPr>
        <w:t xml:space="preserve">. </w:t>
      </w:r>
      <w:r w:rsidR="00AC2642" w:rsidRPr="00ED0923">
        <w:rPr>
          <w:sz w:val="22"/>
          <w:szCs w:val="22"/>
        </w:rPr>
        <w:t xml:space="preserve">Since </w:t>
      </w:r>
      <w:r w:rsidR="003D5AD5" w:rsidRPr="00ED0923">
        <w:rPr>
          <w:sz w:val="22"/>
          <w:szCs w:val="22"/>
        </w:rPr>
        <w:t>alcohol intake is a continuous variable</w:t>
      </w:r>
      <w:r w:rsidR="00611D99" w:rsidRPr="00ED0923">
        <w:rPr>
          <w:sz w:val="22"/>
          <w:szCs w:val="22"/>
        </w:rPr>
        <w:t xml:space="preserve"> ranging from </w:t>
      </w:r>
      <w:r w:rsidR="00611D99" w:rsidRPr="00D17D41">
        <w:rPr>
          <w:sz w:val="22"/>
          <w:szCs w:val="22"/>
          <w:highlight w:val="cyan"/>
        </w:rPr>
        <w:t>xx</w:t>
      </w:r>
      <w:r w:rsidR="00611D99" w:rsidRPr="00ED0923">
        <w:rPr>
          <w:sz w:val="22"/>
          <w:szCs w:val="22"/>
        </w:rPr>
        <w:t xml:space="preserve"> to </w:t>
      </w:r>
      <w:r w:rsidR="00611D99" w:rsidRPr="00D17D41">
        <w:rPr>
          <w:sz w:val="22"/>
          <w:szCs w:val="22"/>
          <w:highlight w:val="cyan"/>
        </w:rPr>
        <w:t>xx</w:t>
      </w:r>
      <w:r w:rsidR="003D5AD5" w:rsidRPr="00ED0923">
        <w:rPr>
          <w:sz w:val="22"/>
          <w:szCs w:val="22"/>
        </w:rPr>
        <w:t>,</w:t>
      </w:r>
      <w:r w:rsidR="00AC2642" w:rsidRPr="00ED0923">
        <w:rPr>
          <w:sz w:val="22"/>
          <w:szCs w:val="22"/>
        </w:rPr>
        <w:t xml:space="preserve"> we consider continuous, </w:t>
      </w:r>
      <w:r w:rsidR="00611D99" w:rsidRPr="00ED0923">
        <w:rPr>
          <w:sz w:val="22"/>
          <w:szCs w:val="22"/>
        </w:rPr>
        <w:t>categorical</w:t>
      </w:r>
      <w:r w:rsidR="00AC2642" w:rsidRPr="00ED0923">
        <w:rPr>
          <w:sz w:val="22"/>
          <w:szCs w:val="22"/>
        </w:rPr>
        <w:t xml:space="preserve">, </w:t>
      </w:r>
      <w:r w:rsidR="00611D99" w:rsidRPr="00ED0923">
        <w:rPr>
          <w:sz w:val="22"/>
          <w:szCs w:val="22"/>
        </w:rPr>
        <w:t xml:space="preserve">and ordinal versions </w:t>
      </w:r>
      <w:r w:rsidR="000449BE">
        <w:rPr>
          <w:sz w:val="22"/>
          <w:szCs w:val="22"/>
        </w:rPr>
        <w:t>of</w:t>
      </w:r>
      <w:r w:rsidR="00611D99" w:rsidRPr="00ED0923">
        <w:rPr>
          <w:sz w:val="22"/>
          <w:szCs w:val="22"/>
        </w:rPr>
        <w:t xml:space="preserve"> </w:t>
      </w:r>
      <w:r w:rsidR="001954CD" w:rsidRPr="00ED0923">
        <w:rPr>
          <w:sz w:val="22"/>
          <w:szCs w:val="22"/>
        </w:rPr>
        <w:t xml:space="preserve">the </w:t>
      </w:r>
      <w:r w:rsidR="00611D99" w:rsidRPr="00ED0923">
        <w:rPr>
          <w:sz w:val="22"/>
          <w:szCs w:val="22"/>
        </w:rPr>
        <w:t>alcohol intake</w:t>
      </w:r>
      <w:r w:rsidR="00AC2642" w:rsidRPr="00ED0923">
        <w:rPr>
          <w:sz w:val="22"/>
          <w:szCs w:val="22"/>
        </w:rPr>
        <w:t xml:space="preserve"> </w:t>
      </w:r>
      <w:r w:rsidR="001954CD" w:rsidRPr="00ED0923">
        <w:rPr>
          <w:sz w:val="22"/>
          <w:szCs w:val="22"/>
        </w:rPr>
        <w:t xml:space="preserve">for </w:t>
      </w:r>
      <w:r w:rsidR="00611D99" w:rsidRPr="00ED0923">
        <w:rPr>
          <w:sz w:val="22"/>
          <w:szCs w:val="22"/>
        </w:rPr>
        <w:t xml:space="preserve">result </w:t>
      </w:r>
      <w:r w:rsidR="00AC2642" w:rsidRPr="00ED0923">
        <w:rPr>
          <w:sz w:val="22"/>
          <w:szCs w:val="22"/>
        </w:rPr>
        <w:t>robustness</w:t>
      </w:r>
      <w:r w:rsidR="00611D99" w:rsidRPr="00ED0923">
        <w:rPr>
          <w:sz w:val="22"/>
          <w:szCs w:val="22"/>
        </w:rPr>
        <w:t xml:space="preserve">. </w:t>
      </w:r>
      <w:r w:rsidR="00BE4BB7" w:rsidRPr="00ED0923">
        <w:rPr>
          <w:sz w:val="22"/>
          <w:szCs w:val="22"/>
        </w:rPr>
        <w:t>After exploring the distribution of alcohol intake, we divide</w:t>
      </w:r>
      <w:r w:rsidR="00081FAA" w:rsidRPr="00ED0923">
        <w:rPr>
          <w:sz w:val="22"/>
          <w:szCs w:val="22"/>
        </w:rPr>
        <w:t>d</w:t>
      </w:r>
      <w:r w:rsidR="00BE4BB7" w:rsidRPr="00ED0923">
        <w:rPr>
          <w:sz w:val="22"/>
          <w:szCs w:val="22"/>
        </w:rPr>
        <w:t xml:space="preserve"> the continuous alcohol intake </w:t>
      </w:r>
      <w:r w:rsidR="004D1B6B" w:rsidRPr="00ED0923">
        <w:rPr>
          <w:sz w:val="22"/>
          <w:szCs w:val="22"/>
        </w:rPr>
        <w:t>into</w:t>
      </w:r>
      <w:r w:rsidR="00BE4BB7" w:rsidRPr="00ED0923">
        <w:rPr>
          <w:sz w:val="22"/>
          <w:szCs w:val="22"/>
        </w:rPr>
        <w:t xml:space="preserve"> </w:t>
      </w:r>
      <w:r w:rsidR="00CF79E5" w:rsidRPr="00ED0923">
        <w:rPr>
          <w:sz w:val="22"/>
          <w:szCs w:val="22"/>
        </w:rPr>
        <w:t xml:space="preserve">the </w:t>
      </w:r>
      <w:r w:rsidR="003C35D9" w:rsidRPr="00ED0923">
        <w:rPr>
          <w:sz w:val="22"/>
          <w:szCs w:val="22"/>
        </w:rPr>
        <w:t>categorical variable</w:t>
      </w:r>
      <w:r w:rsidR="00081FAA" w:rsidRPr="00ED0923">
        <w:rPr>
          <w:sz w:val="22"/>
          <w:szCs w:val="22"/>
        </w:rPr>
        <w:t xml:space="preserve"> by the following cutoff values</w:t>
      </w:r>
      <w:r w:rsidR="003C35D9" w:rsidRPr="00ED0923">
        <w:rPr>
          <w:sz w:val="22"/>
          <w:szCs w:val="22"/>
        </w:rPr>
        <w:t xml:space="preserve"> </w:t>
      </w:r>
      <w:r w:rsidR="00BE4BB7" w:rsidRPr="00ED0923">
        <w:rPr>
          <w:sz w:val="22"/>
          <w:szCs w:val="22"/>
        </w:rPr>
        <w:t xml:space="preserve">to reduce the influence of outliers. </w:t>
      </w:r>
      <w:r w:rsidR="00BE4BB7" w:rsidRPr="00D17D41">
        <w:rPr>
          <w:sz w:val="22"/>
          <w:szCs w:val="22"/>
        </w:rPr>
        <w:t>We found about 43.7% of people didn’t take alcohol per week. After excluding people with 0 alcohol intake, the minimum, median</w:t>
      </w:r>
      <w:r w:rsidR="004D1B6B" w:rsidRPr="00D17D41">
        <w:rPr>
          <w:sz w:val="22"/>
          <w:szCs w:val="22"/>
        </w:rPr>
        <w:t>,</w:t>
      </w:r>
      <w:r w:rsidR="00BE4BB7" w:rsidRPr="00D17D41">
        <w:rPr>
          <w:sz w:val="22"/>
          <w:szCs w:val="22"/>
        </w:rPr>
        <w:t xml:space="preserve"> and maximum alcohol intake were 0.5, 2.0, and 77.0 per week.</w:t>
      </w:r>
      <w:r w:rsidR="00BE4BB7" w:rsidRPr="00ED0923">
        <w:rPr>
          <w:sz w:val="22"/>
          <w:szCs w:val="22"/>
        </w:rPr>
        <w:t xml:space="preserve"> </w:t>
      </w:r>
      <w:r w:rsidR="00C82B76" w:rsidRPr="00ED0923">
        <w:rPr>
          <w:sz w:val="22"/>
          <w:szCs w:val="22"/>
        </w:rPr>
        <w:t>Thus,</w:t>
      </w:r>
      <w:r w:rsidR="00BE4BB7" w:rsidRPr="00ED0923">
        <w:rPr>
          <w:sz w:val="22"/>
          <w:szCs w:val="22"/>
        </w:rPr>
        <w:t xml:space="preserve"> we divided people into </w:t>
      </w:r>
      <w:r w:rsidR="004D1B6B" w:rsidRPr="00ED0923">
        <w:rPr>
          <w:sz w:val="22"/>
          <w:szCs w:val="22"/>
        </w:rPr>
        <w:t>four</w:t>
      </w:r>
      <w:r w:rsidR="00BE4BB7" w:rsidRPr="00ED0923">
        <w:rPr>
          <w:sz w:val="22"/>
          <w:szCs w:val="22"/>
        </w:rPr>
        <w:t xml:space="preserve"> groups</w:t>
      </w:r>
      <w:r w:rsidR="003C35D9" w:rsidRPr="00ED0923">
        <w:rPr>
          <w:sz w:val="22"/>
          <w:szCs w:val="22"/>
        </w:rPr>
        <w:t xml:space="preserve"> based on their alcohol intake: 0 per week, 0-0.5 drinks per week, 0.5-2 drinks per week</w:t>
      </w:r>
      <w:r w:rsidR="004D1B6B" w:rsidRPr="00ED0923">
        <w:rPr>
          <w:sz w:val="22"/>
          <w:szCs w:val="22"/>
        </w:rPr>
        <w:t>,</w:t>
      </w:r>
      <w:r w:rsidR="003C35D9" w:rsidRPr="00ED0923">
        <w:rPr>
          <w:sz w:val="22"/>
          <w:szCs w:val="22"/>
        </w:rPr>
        <w:t xml:space="preserve"> and &gt;2 drinks per week. </w:t>
      </w:r>
    </w:p>
    <w:p w14:paraId="67812BD1" w14:textId="58FB2D56" w:rsidR="00611D99" w:rsidRPr="00ED0923" w:rsidRDefault="00611D99" w:rsidP="007806F0">
      <w:pPr>
        <w:jc w:val="both"/>
        <w:rPr>
          <w:sz w:val="22"/>
          <w:szCs w:val="22"/>
        </w:rPr>
      </w:pPr>
    </w:p>
    <w:p w14:paraId="3707316E" w14:textId="3605312E" w:rsidR="002B0300" w:rsidRPr="00ED0923" w:rsidRDefault="002B0300" w:rsidP="00EF26C0">
      <w:pPr>
        <w:rPr>
          <w:sz w:val="22"/>
          <w:szCs w:val="22"/>
        </w:rPr>
      </w:pPr>
      <w:r w:rsidRPr="00ED0923">
        <w:rPr>
          <w:sz w:val="22"/>
          <w:szCs w:val="22"/>
        </w:rPr>
        <w:t xml:space="preserve">We </w:t>
      </w:r>
      <w:r w:rsidRPr="00ED0923">
        <w:rPr>
          <w:sz w:val="22"/>
          <w:szCs w:val="22"/>
        </w:rPr>
        <w:t xml:space="preserve">are interested in </w:t>
      </w:r>
      <w:r w:rsidR="004D7851">
        <w:rPr>
          <w:sz w:val="22"/>
          <w:szCs w:val="22"/>
        </w:rPr>
        <w:t xml:space="preserve">the </w:t>
      </w:r>
      <w:r w:rsidRPr="00ED0923">
        <w:rPr>
          <w:sz w:val="22"/>
          <w:szCs w:val="22"/>
        </w:rPr>
        <w:t>time to death from cancer during follow-up.</w:t>
      </w:r>
      <w:r w:rsidRPr="00ED0923">
        <w:rPr>
          <w:sz w:val="22"/>
          <w:szCs w:val="22"/>
        </w:rPr>
        <w:t xml:space="preserve"> </w:t>
      </w:r>
      <w:r w:rsidR="004F59EA" w:rsidRPr="00ED0923">
        <w:rPr>
          <w:sz w:val="22"/>
          <w:szCs w:val="22"/>
        </w:rPr>
        <w:t xml:space="preserve">There </w:t>
      </w:r>
      <w:r w:rsidR="004D7851" w:rsidRPr="00ED0923">
        <w:rPr>
          <w:sz w:val="22"/>
          <w:szCs w:val="22"/>
        </w:rPr>
        <w:t>was</w:t>
      </w:r>
      <w:r w:rsidR="00D84B0E" w:rsidRPr="00ED0923">
        <w:rPr>
          <w:sz w:val="22"/>
          <w:szCs w:val="22"/>
        </w:rPr>
        <w:t xml:space="preserve"> </w:t>
      </w:r>
      <w:r w:rsidR="004D7851">
        <w:rPr>
          <w:sz w:val="22"/>
          <w:szCs w:val="22"/>
        </w:rPr>
        <w:t xml:space="preserve">some </w:t>
      </w:r>
      <w:r w:rsidR="00D84B0E" w:rsidRPr="00ED0923">
        <w:rPr>
          <w:sz w:val="22"/>
          <w:szCs w:val="22"/>
        </w:rPr>
        <w:t>los</w:t>
      </w:r>
      <w:r w:rsidR="004D7851">
        <w:rPr>
          <w:sz w:val="22"/>
          <w:szCs w:val="22"/>
        </w:rPr>
        <w:t>s</w:t>
      </w:r>
      <w:r w:rsidR="00D84B0E" w:rsidRPr="00ED0923">
        <w:rPr>
          <w:sz w:val="22"/>
          <w:szCs w:val="22"/>
        </w:rPr>
        <w:t xml:space="preserve"> of follow-up in the study</w:t>
      </w:r>
      <w:r w:rsidR="004F59EA" w:rsidRPr="00ED0923">
        <w:rPr>
          <w:sz w:val="22"/>
          <w:szCs w:val="22"/>
        </w:rPr>
        <w:t xml:space="preserve"> and death </w:t>
      </w:r>
      <w:r w:rsidR="00D84B0E" w:rsidRPr="00ED0923">
        <w:rPr>
          <w:sz w:val="22"/>
          <w:szCs w:val="22"/>
        </w:rPr>
        <w:t xml:space="preserve">from </w:t>
      </w:r>
      <w:r w:rsidR="004F59EA" w:rsidRPr="00ED0923">
        <w:rPr>
          <w:sz w:val="22"/>
          <w:szCs w:val="22"/>
        </w:rPr>
        <w:t xml:space="preserve">other </w:t>
      </w:r>
      <w:r w:rsidR="00D84B0E" w:rsidRPr="00ED0923">
        <w:rPr>
          <w:sz w:val="22"/>
          <w:szCs w:val="22"/>
        </w:rPr>
        <w:t xml:space="preserve">causes. In our analysis, we </w:t>
      </w:r>
      <w:r w:rsidR="004D7851" w:rsidRPr="004D7851">
        <w:rPr>
          <w:sz w:val="22"/>
          <w:szCs w:val="22"/>
        </w:rPr>
        <w:t>treated</w:t>
      </w:r>
      <w:r w:rsidR="004D7851">
        <w:rPr>
          <w:sz w:val="22"/>
          <w:szCs w:val="22"/>
        </w:rPr>
        <w:t xml:space="preserve"> </w:t>
      </w:r>
      <w:r w:rsidR="00D84B0E" w:rsidRPr="00ED0923">
        <w:rPr>
          <w:sz w:val="22"/>
          <w:szCs w:val="22"/>
        </w:rPr>
        <w:t>competing risks as censoring. So,</w:t>
      </w:r>
      <w:r w:rsidRPr="00ED0923">
        <w:rPr>
          <w:sz w:val="22"/>
          <w:szCs w:val="22"/>
        </w:rPr>
        <w:t xml:space="preserve"> t</w:t>
      </w:r>
      <w:r w:rsidRPr="00ED0923">
        <w:rPr>
          <w:sz w:val="22"/>
          <w:szCs w:val="22"/>
        </w:rPr>
        <w:t>he outcome is time to death of cancer during the follow-up, or time to censoring, or time to death from other causes, whichever comes first.</w:t>
      </w:r>
    </w:p>
    <w:p w14:paraId="62C25E74" w14:textId="77777777" w:rsidR="002B0300" w:rsidRPr="00ED0923" w:rsidRDefault="002B0300" w:rsidP="007806F0">
      <w:pPr>
        <w:jc w:val="both"/>
        <w:rPr>
          <w:sz w:val="22"/>
          <w:szCs w:val="22"/>
        </w:rPr>
      </w:pPr>
    </w:p>
    <w:p w14:paraId="1F2CB141" w14:textId="655578E1" w:rsidR="00C15324" w:rsidRPr="00ED0923" w:rsidRDefault="006E512C" w:rsidP="00716D2C">
      <w:pPr>
        <w:rPr>
          <w:sz w:val="22"/>
          <w:szCs w:val="22"/>
        </w:rPr>
      </w:pPr>
      <w:r w:rsidRPr="00ED0923">
        <w:rPr>
          <w:sz w:val="22"/>
          <w:szCs w:val="22"/>
        </w:rPr>
        <w:t>With</w:t>
      </w:r>
      <w:r w:rsidR="00EF26C0" w:rsidRPr="00ED0923">
        <w:rPr>
          <w:sz w:val="22"/>
          <w:szCs w:val="22"/>
        </w:rPr>
        <w:t xml:space="preserve"> additivity</w:t>
      </w:r>
      <w:r w:rsidRPr="00ED0923">
        <w:rPr>
          <w:sz w:val="22"/>
          <w:szCs w:val="22"/>
        </w:rPr>
        <w:t xml:space="preserve">, </w:t>
      </w:r>
      <w:r w:rsidR="00F907C7" w:rsidRPr="00ED0923">
        <w:rPr>
          <w:sz w:val="22"/>
          <w:szCs w:val="22"/>
        </w:rPr>
        <w:t>linearity,</w:t>
      </w:r>
      <w:r w:rsidRPr="00ED0923">
        <w:rPr>
          <w:sz w:val="22"/>
          <w:szCs w:val="22"/>
        </w:rPr>
        <w:t xml:space="preserve"> and </w:t>
      </w:r>
      <w:r w:rsidRPr="00ED0923">
        <w:rPr>
          <w:sz w:val="22"/>
          <w:szCs w:val="22"/>
        </w:rPr>
        <w:t>proportional hazard</w:t>
      </w:r>
      <w:r w:rsidR="00245788">
        <w:rPr>
          <w:sz w:val="22"/>
          <w:szCs w:val="22"/>
        </w:rPr>
        <w:t xml:space="preserve"> </w:t>
      </w:r>
      <w:r w:rsidR="00245788" w:rsidRPr="00ED0923">
        <w:rPr>
          <w:sz w:val="22"/>
          <w:szCs w:val="22"/>
        </w:rPr>
        <w:t>assumptions</w:t>
      </w:r>
      <w:r w:rsidRPr="00ED0923">
        <w:rPr>
          <w:sz w:val="22"/>
          <w:szCs w:val="22"/>
        </w:rPr>
        <w:t>,</w:t>
      </w:r>
      <w:r w:rsidR="00EF26C0" w:rsidRPr="00ED0923">
        <w:rPr>
          <w:sz w:val="22"/>
          <w:szCs w:val="22"/>
        </w:rPr>
        <w:t xml:space="preserve"> </w:t>
      </w:r>
      <w:r w:rsidRPr="00ED0923">
        <w:rPr>
          <w:sz w:val="22"/>
          <w:szCs w:val="22"/>
        </w:rPr>
        <w:t>we</w:t>
      </w:r>
      <w:r w:rsidR="00EF26C0" w:rsidRPr="00ED0923">
        <w:rPr>
          <w:sz w:val="22"/>
          <w:szCs w:val="22"/>
        </w:rPr>
        <w:t xml:space="preserve"> conducted the Cox</w:t>
      </w:r>
      <w:r w:rsidR="00AC2642" w:rsidRPr="00ED0923">
        <w:rPr>
          <w:sz w:val="22"/>
          <w:szCs w:val="22"/>
        </w:rPr>
        <w:t xml:space="preserve"> </w:t>
      </w:r>
      <w:r w:rsidR="00EF26C0" w:rsidRPr="00ED0923">
        <w:rPr>
          <w:sz w:val="22"/>
          <w:szCs w:val="22"/>
        </w:rPr>
        <w:t>proportional hazard models</w:t>
      </w:r>
      <w:r w:rsidR="00EF26C0" w:rsidRPr="00ED0923">
        <w:rPr>
          <w:sz w:val="22"/>
          <w:szCs w:val="22"/>
        </w:rPr>
        <w:t xml:space="preserve"> for our main research question</w:t>
      </w:r>
      <w:r w:rsidR="000F49B0">
        <w:rPr>
          <w:sz w:val="22"/>
          <w:szCs w:val="22"/>
        </w:rPr>
        <w:t>. Cox regression will account for time</w:t>
      </w:r>
      <w:r w:rsidR="00A72B7D">
        <w:rPr>
          <w:sz w:val="22"/>
          <w:szCs w:val="22"/>
        </w:rPr>
        <w:t>-</w:t>
      </w:r>
      <w:r w:rsidR="000F49B0">
        <w:rPr>
          <w:sz w:val="22"/>
          <w:szCs w:val="22"/>
        </w:rPr>
        <w:t>to</w:t>
      </w:r>
      <w:r w:rsidR="00A72B7D">
        <w:rPr>
          <w:sz w:val="22"/>
          <w:szCs w:val="22"/>
        </w:rPr>
        <w:t>-</w:t>
      </w:r>
      <w:r w:rsidR="000F49B0">
        <w:rPr>
          <w:sz w:val="22"/>
          <w:szCs w:val="22"/>
        </w:rPr>
        <w:t>event and the death rate over an interval of time is unspecified</w:t>
      </w:r>
      <w:r w:rsidR="00CB4B45" w:rsidRPr="00CB4B45">
        <w:rPr>
          <w:sz w:val="22"/>
          <w:szCs w:val="22"/>
        </w:rPr>
        <w:t>. In contrast,</w:t>
      </w:r>
      <w:r w:rsidR="00CB4B45" w:rsidRPr="00CB4B45">
        <w:rPr>
          <w:sz w:val="22"/>
          <w:szCs w:val="22"/>
        </w:rPr>
        <w:t xml:space="preserve"> </w:t>
      </w:r>
      <w:r w:rsidR="000F49B0" w:rsidRPr="00ED0923">
        <w:rPr>
          <w:sz w:val="22"/>
          <w:szCs w:val="22"/>
        </w:rPr>
        <w:t>Poisson regression</w:t>
      </w:r>
      <w:r w:rsidR="000F49B0">
        <w:rPr>
          <w:sz w:val="22"/>
          <w:szCs w:val="22"/>
        </w:rPr>
        <w:t xml:space="preserve"> assumes</w:t>
      </w:r>
      <w:r w:rsidR="00F513CF">
        <w:rPr>
          <w:sz w:val="22"/>
          <w:szCs w:val="22"/>
        </w:rPr>
        <w:t xml:space="preserve"> a</w:t>
      </w:r>
      <w:r w:rsidR="000F49B0">
        <w:rPr>
          <w:sz w:val="22"/>
          <w:szCs w:val="22"/>
        </w:rPr>
        <w:t xml:space="preserve"> constant death rate</w:t>
      </w:r>
      <w:r w:rsidR="00B544CE">
        <w:rPr>
          <w:sz w:val="22"/>
          <w:szCs w:val="22"/>
        </w:rPr>
        <w:t>,</w:t>
      </w:r>
      <w:r w:rsidR="000F49B0">
        <w:rPr>
          <w:sz w:val="22"/>
          <w:szCs w:val="22"/>
        </w:rPr>
        <w:t xml:space="preserve"> and logistic regression cannot account for time.</w:t>
      </w:r>
      <w:r w:rsidR="00EF26C0" w:rsidRPr="00ED0923">
        <w:rPr>
          <w:sz w:val="22"/>
          <w:szCs w:val="22"/>
        </w:rPr>
        <w:t xml:space="preserve"> </w:t>
      </w:r>
      <w:r w:rsidR="000F49B0">
        <w:rPr>
          <w:sz w:val="22"/>
          <w:szCs w:val="22"/>
        </w:rPr>
        <w:t>So,</w:t>
      </w:r>
      <w:r w:rsidR="00EF26C0" w:rsidRPr="00ED0923">
        <w:rPr>
          <w:sz w:val="22"/>
          <w:szCs w:val="22"/>
        </w:rPr>
        <w:t xml:space="preserve"> we</w:t>
      </w:r>
      <w:r w:rsidR="000F49B0">
        <w:rPr>
          <w:sz w:val="22"/>
          <w:szCs w:val="22"/>
        </w:rPr>
        <w:t xml:space="preserve"> then</w:t>
      </w:r>
      <w:r w:rsidR="00EF26C0" w:rsidRPr="00ED0923">
        <w:rPr>
          <w:sz w:val="22"/>
          <w:szCs w:val="22"/>
        </w:rPr>
        <w:t xml:space="preserve"> ran logistic regression and Poisson regression as sensitivity analysis</w:t>
      </w:r>
      <w:r w:rsidR="000F49B0">
        <w:rPr>
          <w:sz w:val="22"/>
          <w:szCs w:val="22"/>
        </w:rPr>
        <w:t>.</w:t>
      </w:r>
      <w:r w:rsidR="002E3A49" w:rsidRPr="00ED0923">
        <w:rPr>
          <w:sz w:val="22"/>
          <w:szCs w:val="22"/>
        </w:rPr>
        <w:t xml:space="preserve"> </w:t>
      </w:r>
    </w:p>
    <w:p w14:paraId="706DD765" w14:textId="77777777" w:rsidR="00716D2C" w:rsidRPr="00ED0923" w:rsidRDefault="00716D2C" w:rsidP="007806F0">
      <w:pPr>
        <w:jc w:val="both"/>
        <w:rPr>
          <w:sz w:val="22"/>
          <w:szCs w:val="22"/>
        </w:rPr>
      </w:pPr>
    </w:p>
    <w:p w14:paraId="23C955D9" w14:textId="6FCF4AC2" w:rsidR="00AC2642" w:rsidRPr="00ED0923" w:rsidRDefault="00EF26C0" w:rsidP="007806F0">
      <w:pPr>
        <w:jc w:val="both"/>
        <w:rPr>
          <w:sz w:val="22"/>
          <w:szCs w:val="22"/>
        </w:rPr>
      </w:pPr>
      <w:r w:rsidRPr="00ED0923">
        <w:rPr>
          <w:sz w:val="22"/>
          <w:szCs w:val="22"/>
        </w:rPr>
        <w:t>In</w:t>
      </w:r>
      <w:r w:rsidR="009E4113" w:rsidRPr="00ED0923">
        <w:rPr>
          <w:sz w:val="22"/>
          <w:szCs w:val="22"/>
        </w:rPr>
        <w:t xml:space="preserve"> </w:t>
      </w:r>
      <w:r w:rsidR="00922105">
        <w:rPr>
          <w:sz w:val="22"/>
          <w:szCs w:val="22"/>
        </w:rPr>
        <w:t>the</w:t>
      </w:r>
      <w:r w:rsidRPr="00ED0923">
        <w:rPr>
          <w:sz w:val="22"/>
          <w:szCs w:val="22"/>
        </w:rPr>
        <w:t xml:space="preserve"> Cox models, </w:t>
      </w:r>
      <w:r w:rsidR="00AC2642" w:rsidRPr="00ED0923">
        <w:rPr>
          <w:sz w:val="22"/>
          <w:szCs w:val="22"/>
        </w:rPr>
        <w:t xml:space="preserve">we considered </w:t>
      </w:r>
      <w:r w:rsidRPr="00ED0923">
        <w:rPr>
          <w:sz w:val="22"/>
          <w:szCs w:val="22"/>
        </w:rPr>
        <w:t>two</w:t>
      </w:r>
      <w:r w:rsidR="00633505">
        <w:rPr>
          <w:sz w:val="22"/>
          <w:szCs w:val="22"/>
        </w:rPr>
        <w:t xml:space="preserve"> settings for</w:t>
      </w:r>
      <w:r w:rsidR="00AC2642" w:rsidRPr="00ED0923">
        <w:rPr>
          <w:sz w:val="22"/>
          <w:szCs w:val="22"/>
        </w:rPr>
        <w:t xml:space="preserve"> </w:t>
      </w:r>
      <w:r w:rsidRPr="00ED0923">
        <w:rPr>
          <w:sz w:val="22"/>
          <w:szCs w:val="22"/>
        </w:rPr>
        <w:t>time</w:t>
      </w:r>
      <w:r w:rsidR="00633505">
        <w:rPr>
          <w:sz w:val="22"/>
          <w:szCs w:val="22"/>
        </w:rPr>
        <w:t xml:space="preserve"> </w:t>
      </w:r>
      <w:r w:rsidRPr="00ED0923">
        <w:rPr>
          <w:sz w:val="22"/>
          <w:szCs w:val="22"/>
        </w:rPr>
        <w:t>scale</w:t>
      </w:r>
      <w:r w:rsidR="00BC74C9" w:rsidRPr="00ED0923">
        <w:rPr>
          <w:sz w:val="22"/>
          <w:szCs w:val="22"/>
        </w:rPr>
        <w:t xml:space="preserve"> (</w:t>
      </w:r>
      <w:r w:rsidR="00BC74C9" w:rsidRPr="00ED0923">
        <w:rPr>
          <w:sz w:val="22"/>
          <w:szCs w:val="22"/>
        </w:rPr>
        <w:t>The conceptual framework</w:t>
      </w:r>
      <w:r w:rsidR="00BC74C9" w:rsidRPr="00ED0923">
        <w:rPr>
          <w:sz w:val="22"/>
          <w:szCs w:val="22"/>
        </w:rPr>
        <w:t xml:space="preserve"> </w:t>
      </w:r>
      <w:r w:rsidR="00BC74C9" w:rsidRPr="00ED0923">
        <w:rPr>
          <w:sz w:val="22"/>
          <w:szCs w:val="22"/>
        </w:rPr>
        <w:t xml:space="preserve">is shown in </w:t>
      </w:r>
      <w:r w:rsidR="004F59EA" w:rsidRPr="00ED0923">
        <w:rPr>
          <w:sz w:val="22"/>
          <w:szCs w:val="22"/>
        </w:rPr>
        <w:t>A</w:t>
      </w:r>
      <w:r w:rsidR="004F59EA" w:rsidRPr="00ED0923">
        <w:rPr>
          <w:rFonts w:hint="eastAsia"/>
          <w:sz w:val="22"/>
          <w:szCs w:val="22"/>
        </w:rPr>
        <w:t>ppen</w:t>
      </w:r>
      <w:r w:rsidR="004F59EA" w:rsidRPr="00ED0923">
        <w:rPr>
          <w:sz w:val="22"/>
          <w:szCs w:val="22"/>
        </w:rPr>
        <w:t>dix</w:t>
      </w:r>
      <w:r w:rsidR="004F59EA" w:rsidRPr="00ED0923">
        <w:rPr>
          <w:sz w:val="22"/>
          <w:szCs w:val="22"/>
        </w:rPr>
        <w:t xml:space="preserve"> </w:t>
      </w:r>
      <w:r w:rsidR="00BC74C9" w:rsidRPr="00ED0923">
        <w:rPr>
          <w:sz w:val="22"/>
          <w:szCs w:val="22"/>
        </w:rPr>
        <w:t>1)</w:t>
      </w:r>
      <w:r w:rsidRPr="00ED0923">
        <w:rPr>
          <w:sz w:val="22"/>
          <w:szCs w:val="22"/>
        </w:rPr>
        <w:t>:</w:t>
      </w:r>
    </w:p>
    <w:p w14:paraId="7FB75074" w14:textId="48ECCD60" w:rsidR="00EF26C0" w:rsidRPr="00ED0923" w:rsidRDefault="00EF26C0" w:rsidP="007806F0">
      <w:pPr>
        <w:jc w:val="both"/>
        <w:rPr>
          <w:sz w:val="22"/>
          <w:szCs w:val="22"/>
        </w:rPr>
      </w:pPr>
    </w:p>
    <w:p w14:paraId="25C1F25A" w14:textId="0BF78C85" w:rsidR="002E3A49" w:rsidRPr="00ED0923" w:rsidRDefault="00EF26C0" w:rsidP="00F71AC0">
      <w:pPr>
        <w:pStyle w:val="ListParagraph"/>
        <w:numPr>
          <w:ilvl w:val="0"/>
          <w:numId w:val="2"/>
        </w:numPr>
        <w:rPr>
          <w:rFonts w:ascii="Times New Roman" w:hAnsi="Times New Roman" w:cs="Times New Roman"/>
        </w:rPr>
      </w:pPr>
      <w:r w:rsidRPr="00ED0923">
        <w:rPr>
          <w:rFonts w:ascii="Times New Roman" w:hAnsi="Times New Roman" w:cs="Times New Roman"/>
        </w:rPr>
        <w:t xml:space="preserve">Given the cross-sectional nature of the data, alcohol intake can be perceived as a prevalent intake, which could induce the “prevalent user” bias. To test the robustness of the findings given this potential bias, we first </w:t>
      </w:r>
      <w:r w:rsidR="00A116B6" w:rsidRPr="00ED0923">
        <w:rPr>
          <w:rFonts w:ascii="Times New Roman" w:hAnsi="Times New Roman" w:cs="Times New Roman"/>
        </w:rPr>
        <w:t>set</w:t>
      </w:r>
      <w:r w:rsidRPr="00ED0923">
        <w:rPr>
          <w:rFonts w:ascii="Times New Roman" w:hAnsi="Times New Roman" w:cs="Times New Roman"/>
        </w:rPr>
        <w:t xml:space="preserve"> the age of 21 to be the time origin and </w:t>
      </w:r>
      <w:r w:rsidR="00C57400" w:rsidRPr="00ED0923">
        <w:rPr>
          <w:rFonts w:ascii="Times New Roman" w:hAnsi="Times New Roman" w:cs="Times New Roman"/>
        </w:rPr>
        <w:t>chose</w:t>
      </w:r>
      <w:r w:rsidRPr="00ED0923">
        <w:rPr>
          <w:rFonts w:ascii="Times New Roman" w:hAnsi="Times New Roman" w:cs="Times New Roman"/>
        </w:rPr>
        <w:t xml:space="preserve"> age as the time scale. In this approach, we conducted a crude model and a </w:t>
      </w:r>
      <w:r w:rsidR="00F71AC0">
        <w:rPr>
          <w:rFonts w:ascii="Times New Roman" w:hAnsi="Times New Roman" w:cs="Times New Roman"/>
        </w:rPr>
        <w:t>MV</w:t>
      </w:r>
      <w:r w:rsidRPr="00ED0923">
        <w:rPr>
          <w:rFonts w:ascii="Times New Roman" w:hAnsi="Times New Roman" w:cs="Times New Roman"/>
        </w:rPr>
        <w:t xml:space="preserve">-adjusted model. The </w:t>
      </w:r>
      <w:r w:rsidR="00F71AC0">
        <w:rPr>
          <w:rFonts w:ascii="Times New Roman" w:hAnsi="Times New Roman" w:cs="Times New Roman"/>
        </w:rPr>
        <w:t>MV</w:t>
      </w:r>
      <w:r w:rsidRPr="00ED0923">
        <w:rPr>
          <w:rFonts w:ascii="Times New Roman" w:hAnsi="Times New Roman" w:cs="Times New Roman"/>
        </w:rPr>
        <w:t>-adjusted model only adjusted for sex and covariates related to socio-economic status.</w:t>
      </w:r>
      <w:r w:rsidR="000834EB" w:rsidRPr="00ED0923">
        <w:rPr>
          <w:rFonts w:ascii="Times New Roman" w:hAnsi="Times New Roman" w:cs="Times New Roman"/>
        </w:rPr>
        <w:t xml:space="preserve"> B</w:t>
      </w:r>
      <w:r w:rsidR="000834EB" w:rsidRPr="00ED0923">
        <w:rPr>
          <w:rFonts w:ascii="Times New Roman" w:hAnsi="Times New Roman" w:cs="Times New Roman"/>
        </w:rPr>
        <w:t xml:space="preserve">aseline age </w:t>
      </w:r>
      <w:r w:rsidR="000834EB" w:rsidRPr="00ED0923">
        <w:rPr>
          <w:rFonts w:ascii="Times New Roman" w:hAnsi="Times New Roman" w:cs="Times New Roman"/>
        </w:rPr>
        <w:t>was</w:t>
      </w:r>
      <w:r w:rsidR="000834EB" w:rsidRPr="00ED0923">
        <w:rPr>
          <w:rFonts w:ascii="Times New Roman" w:hAnsi="Times New Roman" w:cs="Times New Roman"/>
        </w:rPr>
        <w:t xml:space="preserve"> </w:t>
      </w:r>
      <w:r w:rsidR="000834EB" w:rsidRPr="00ED0923">
        <w:rPr>
          <w:rFonts w:ascii="Times New Roman" w:hAnsi="Times New Roman" w:cs="Times New Roman"/>
        </w:rPr>
        <w:t>not adjusted</w:t>
      </w:r>
      <w:r w:rsidR="000834EB" w:rsidRPr="00ED0923">
        <w:rPr>
          <w:rFonts w:ascii="Times New Roman" w:hAnsi="Times New Roman" w:cs="Times New Roman"/>
        </w:rPr>
        <w:t xml:space="preserve"> since age was set as the time scale</w:t>
      </w:r>
      <w:r w:rsidR="000834EB" w:rsidRPr="00ED0923">
        <w:rPr>
          <w:rFonts w:ascii="Times New Roman" w:hAnsi="Times New Roman" w:cs="Times New Roman"/>
        </w:rPr>
        <w:t>, and w</w:t>
      </w:r>
      <w:r w:rsidRPr="00ED0923">
        <w:rPr>
          <w:rFonts w:ascii="Times New Roman" w:hAnsi="Times New Roman" w:cs="Times New Roman"/>
        </w:rPr>
        <w:t xml:space="preserve">e did not include any biomarkers, biometrics, and disease status at baseline since they might be the consequence of the past alcohol intake. </w:t>
      </w:r>
    </w:p>
    <w:p w14:paraId="41912F9D" w14:textId="3A9C3698" w:rsidR="00EF26C0" w:rsidRDefault="00EF26C0" w:rsidP="00F71AC0">
      <w:pPr>
        <w:pStyle w:val="ListParagraph"/>
        <w:numPr>
          <w:ilvl w:val="0"/>
          <w:numId w:val="2"/>
        </w:numPr>
        <w:rPr>
          <w:rFonts w:ascii="Times New Roman" w:hAnsi="Times New Roman" w:cs="Times New Roman"/>
        </w:rPr>
      </w:pPr>
      <w:r w:rsidRPr="00ED0923">
        <w:rPr>
          <w:rFonts w:ascii="Times New Roman" w:hAnsi="Times New Roman" w:cs="Times New Roman"/>
        </w:rPr>
        <w:t xml:space="preserve">The second approach is setting baseline time as the time origin, and time since entry is the time scale. We conducted a crude model, a model adjusting for baseline age, and a </w:t>
      </w:r>
      <w:r w:rsidR="00F71AC0">
        <w:rPr>
          <w:rFonts w:ascii="Times New Roman" w:hAnsi="Times New Roman" w:cs="Times New Roman"/>
        </w:rPr>
        <w:t>MV</w:t>
      </w:r>
      <w:r w:rsidRPr="00ED0923">
        <w:rPr>
          <w:rFonts w:ascii="Times New Roman" w:hAnsi="Times New Roman" w:cs="Times New Roman"/>
        </w:rPr>
        <w:t xml:space="preserve">-adjusted model. In the </w:t>
      </w:r>
      <w:r w:rsidR="00F71AC0">
        <w:rPr>
          <w:rFonts w:ascii="Times New Roman" w:hAnsi="Times New Roman" w:cs="Times New Roman"/>
        </w:rPr>
        <w:t>MV</w:t>
      </w:r>
      <w:r w:rsidRPr="00ED0923">
        <w:rPr>
          <w:rFonts w:ascii="Times New Roman" w:hAnsi="Times New Roman" w:cs="Times New Roman"/>
        </w:rPr>
        <w:t xml:space="preserve">-adjusted model, we adjusted for </w:t>
      </w:r>
      <w:r w:rsidR="00DA3358" w:rsidRPr="00ED0923">
        <w:rPr>
          <w:rFonts w:ascii="Times New Roman" w:hAnsi="Times New Roman" w:cs="Times New Roman"/>
        </w:rPr>
        <w:t xml:space="preserve">age, sex, and some </w:t>
      </w:r>
      <w:r w:rsidR="00DA3358" w:rsidRPr="00ED0923">
        <w:rPr>
          <w:rFonts w:ascii="Times New Roman" w:hAnsi="Times New Roman" w:cs="Times New Roman"/>
        </w:rPr>
        <w:t>biomarkers</w:t>
      </w:r>
      <w:r w:rsidR="00DA3358" w:rsidRPr="00ED0923">
        <w:rPr>
          <w:rFonts w:ascii="Times New Roman" w:hAnsi="Times New Roman" w:cs="Times New Roman"/>
        </w:rPr>
        <w:t xml:space="preserve"> and</w:t>
      </w:r>
      <w:r w:rsidR="00DA3358" w:rsidRPr="00ED0923">
        <w:rPr>
          <w:rFonts w:ascii="Times New Roman" w:hAnsi="Times New Roman" w:cs="Times New Roman"/>
        </w:rPr>
        <w:t xml:space="preserve"> disease status at baseline</w:t>
      </w:r>
      <w:r w:rsidR="00DA3358" w:rsidRPr="00ED0923">
        <w:rPr>
          <w:rFonts w:ascii="Times New Roman" w:hAnsi="Times New Roman" w:cs="Times New Roman"/>
        </w:rPr>
        <w:t xml:space="preserve">; we considered these variables as </w:t>
      </w:r>
      <w:r w:rsidRPr="00ED0923">
        <w:rPr>
          <w:rFonts w:ascii="Times New Roman" w:hAnsi="Times New Roman" w:cs="Times New Roman"/>
        </w:rPr>
        <w:t xml:space="preserve">confounders </w:t>
      </w:r>
      <w:r w:rsidR="00DA3358" w:rsidRPr="00ED0923">
        <w:rPr>
          <w:rFonts w:ascii="Times New Roman" w:hAnsi="Times New Roman" w:cs="Times New Roman"/>
        </w:rPr>
        <w:t>since they</w:t>
      </w:r>
      <w:r w:rsidRPr="00ED0923">
        <w:rPr>
          <w:rFonts w:ascii="Times New Roman" w:hAnsi="Times New Roman" w:cs="Times New Roman"/>
        </w:rPr>
        <w:t xml:space="preserve"> are reasonable common causes of prevalent alcohol intake and future risk of death because of cancer. </w:t>
      </w:r>
    </w:p>
    <w:p w14:paraId="15E736BE" w14:textId="6666FE7F" w:rsidR="00716D2C" w:rsidRDefault="00716D2C" w:rsidP="002268C5">
      <w:pPr>
        <w:jc w:val="both"/>
        <w:rPr>
          <w:sz w:val="22"/>
          <w:szCs w:val="22"/>
        </w:rPr>
      </w:pPr>
      <w:r w:rsidRPr="00716D2C">
        <w:rPr>
          <w:sz w:val="22"/>
          <w:szCs w:val="22"/>
        </w:rPr>
        <w:t xml:space="preserve">For MV-adjusted Cox models, we checked the proportional hazard assumption using Schofield residuals and the linearity assumption for alcohol consumption by comparing the category-specific hazard ratio and </w:t>
      </w:r>
      <w:commentRangeStart w:id="0"/>
      <w:r w:rsidRPr="00716D2C">
        <w:rPr>
          <w:sz w:val="22"/>
          <w:szCs w:val="22"/>
        </w:rPr>
        <w:t xml:space="preserve">fitting a natural cubic spline </w:t>
      </w:r>
      <w:commentRangeEnd w:id="0"/>
      <w:r w:rsidRPr="00716D2C">
        <w:commentReference w:id="0"/>
      </w:r>
      <w:r w:rsidRPr="00716D2C">
        <w:rPr>
          <w:sz w:val="22"/>
          <w:szCs w:val="22"/>
        </w:rPr>
        <w:t>. Next, we checked the effect modification of sex by (1) including the product term in the multivariable-adjusted (MV-adjusted) Cox model, (2) running stratified Cox regression by sex with an interaction term of strata sex and alcohol intake, and (3) performing Cox regressions in males and females separately (as subgroup analysis). Wald-tests were utilized to test the significance of effect modification.</w:t>
      </w:r>
    </w:p>
    <w:p w14:paraId="183E2ECC" w14:textId="77777777" w:rsidR="002268C5" w:rsidRPr="002268C5" w:rsidRDefault="002268C5" w:rsidP="002268C5">
      <w:pPr>
        <w:jc w:val="both"/>
        <w:rPr>
          <w:sz w:val="22"/>
          <w:szCs w:val="22"/>
        </w:rPr>
      </w:pPr>
    </w:p>
    <w:p w14:paraId="5852141C" w14:textId="28494A58" w:rsidR="00075B2D" w:rsidRPr="00ED0923" w:rsidRDefault="002268C5" w:rsidP="00075B2D">
      <w:pPr>
        <w:jc w:val="both"/>
        <w:rPr>
          <w:sz w:val="22"/>
          <w:szCs w:val="22"/>
        </w:rPr>
      </w:pPr>
      <w:r>
        <w:rPr>
          <w:sz w:val="22"/>
          <w:szCs w:val="22"/>
        </w:rPr>
        <w:t>Note that t</w:t>
      </w:r>
      <w:r w:rsidR="00075B2D" w:rsidRPr="00ED0923">
        <w:rPr>
          <w:sz w:val="22"/>
          <w:szCs w:val="22"/>
        </w:rPr>
        <w:t xml:space="preserve">he imputed raw data size is </w:t>
      </w:r>
      <w:proofErr w:type="spellStart"/>
      <w:r w:rsidR="00075B2D" w:rsidRPr="00D17D41">
        <w:rPr>
          <w:sz w:val="22"/>
          <w:szCs w:val="22"/>
          <w:highlight w:val="cyan"/>
        </w:rPr>
        <w:t>xxxx</w:t>
      </w:r>
      <w:proofErr w:type="spellEnd"/>
      <w:r w:rsidR="00075B2D" w:rsidRPr="00ED0923">
        <w:rPr>
          <w:sz w:val="22"/>
          <w:szCs w:val="22"/>
        </w:rPr>
        <w:t xml:space="preserve">, and there are missing data in the dataset. After deciding </w:t>
      </w:r>
      <w:r>
        <w:rPr>
          <w:sz w:val="22"/>
          <w:szCs w:val="22"/>
        </w:rPr>
        <w:t>the</w:t>
      </w:r>
      <w:r w:rsidR="00075B2D" w:rsidRPr="00ED0923">
        <w:rPr>
          <w:sz w:val="22"/>
          <w:szCs w:val="22"/>
        </w:rPr>
        <w:t xml:space="preserve"> models, we removed all missing data for our selected variables. The </w:t>
      </w:r>
      <w:r w:rsidR="00143B9D">
        <w:rPr>
          <w:sz w:val="22"/>
          <w:szCs w:val="22"/>
        </w:rPr>
        <w:t>resulted complete case</w:t>
      </w:r>
      <w:r w:rsidR="00075B2D" w:rsidRPr="00ED0923">
        <w:rPr>
          <w:sz w:val="22"/>
          <w:szCs w:val="22"/>
        </w:rPr>
        <w:t xml:space="preserve"> sample size we used in </w:t>
      </w:r>
      <w:r w:rsidR="00487C85">
        <w:rPr>
          <w:sz w:val="22"/>
          <w:szCs w:val="22"/>
        </w:rPr>
        <w:t>this</w:t>
      </w:r>
      <w:r w:rsidR="00075B2D" w:rsidRPr="00ED0923">
        <w:rPr>
          <w:sz w:val="22"/>
          <w:szCs w:val="22"/>
        </w:rPr>
        <w:t xml:space="preserve"> project is </w:t>
      </w:r>
      <w:proofErr w:type="spellStart"/>
      <w:r w:rsidR="00075B2D" w:rsidRPr="00D17D41">
        <w:rPr>
          <w:sz w:val="22"/>
          <w:szCs w:val="22"/>
          <w:highlight w:val="cyan"/>
        </w:rPr>
        <w:t>xxxx</w:t>
      </w:r>
      <w:proofErr w:type="spellEnd"/>
      <w:r w:rsidR="00075B2D" w:rsidRPr="00ED0923">
        <w:rPr>
          <w:sz w:val="22"/>
          <w:szCs w:val="22"/>
        </w:rPr>
        <w:t>.</w:t>
      </w:r>
    </w:p>
    <w:p w14:paraId="28AFB8E4" w14:textId="1E48B825" w:rsidR="0032062E" w:rsidRDefault="0032062E" w:rsidP="0032062E">
      <w:pPr>
        <w:jc w:val="both"/>
        <w:rPr>
          <w:sz w:val="22"/>
          <w:szCs w:val="22"/>
        </w:rPr>
      </w:pPr>
    </w:p>
    <w:p w14:paraId="66CD1664" w14:textId="64E0E7F2" w:rsidR="00A709C3" w:rsidRDefault="00A709C3" w:rsidP="0032062E">
      <w:pPr>
        <w:jc w:val="both"/>
        <w:rPr>
          <w:sz w:val="22"/>
          <w:szCs w:val="22"/>
        </w:rPr>
      </w:pPr>
    </w:p>
    <w:p w14:paraId="232F2527" w14:textId="77777777" w:rsidR="00A709C3" w:rsidRPr="00ED0923" w:rsidRDefault="00A709C3" w:rsidP="0032062E">
      <w:pPr>
        <w:jc w:val="both"/>
        <w:rPr>
          <w:sz w:val="22"/>
          <w:szCs w:val="22"/>
        </w:rPr>
      </w:pPr>
    </w:p>
    <w:p w14:paraId="205FD918" w14:textId="6FBD0C5E" w:rsidR="00B87F1E" w:rsidRPr="00ED0923" w:rsidRDefault="00B87F1E" w:rsidP="00A023A5">
      <w:pPr>
        <w:jc w:val="center"/>
        <w:rPr>
          <w:rFonts w:eastAsia="SimSun"/>
          <w:color w:val="000000"/>
          <w:sz w:val="22"/>
          <w:szCs w:val="22"/>
          <w:lang w:bidi="ar"/>
        </w:rPr>
      </w:pPr>
      <w:r w:rsidRPr="00ED0923">
        <w:rPr>
          <w:rFonts w:eastAsia="SimSun"/>
          <w:color w:val="000000"/>
          <w:sz w:val="22"/>
          <w:szCs w:val="22"/>
          <w:lang w:bidi="ar"/>
        </w:rPr>
        <w:t xml:space="preserve">Table 1 </w:t>
      </w:r>
      <w:commentRangeStart w:id="1"/>
      <w:r w:rsidRPr="00ED0923">
        <w:rPr>
          <w:rFonts w:eastAsia="SimSun"/>
          <w:color w:val="000000"/>
          <w:sz w:val="22"/>
          <w:szCs w:val="22"/>
          <w:lang w:bidi="ar"/>
        </w:rPr>
        <w:t>Baseline characteristics</w:t>
      </w:r>
      <w:commentRangeEnd w:id="1"/>
      <w:r w:rsidR="00437967" w:rsidRPr="00ED0923">
        <w:rPr>
          <w:rStyle w:val="CommentReference"/>
          <w:sz w:val="22"/>
          <w:szCs w:val="22"/>
        </w:rPr>
        <w:commentReference w:id="1"/>
      </w:r>
      <w:r w:rsidRPr="00ED0923">
        <w:rPr>
          <w:rFonts w:eastAsia="SimSun"/>
          <w:color w:val="000000"/>
          <w:sz w:val="22"/>
          <w:szCs w:val="22"/>
          <w:lang w:bidi="ar"/>
        </w:rPr>
        <w:t xml:space="preserve"> of study population by alcohol intake</w:t>
      </w:r>
      <w:r w:rsidRPr="00ED0923">
        <w:rPr>
          <w:rFonts w:eastAsia="SimSun"/>
          <w:color w:val="000000"/>
          <w:sz w:val="22"/>
          <w:szCs w:val="22"/>
          <w:vertAlign w:val="superscript"/>
          <w:lang w:bidi="ar"/>
        </w:rPr>
        <w:t xml:space="preserve"> </w:t>
      </w:r>
      <w:r w:rsidRPr="00ED0923">
        <w:rPr>
          <w:rFonts w:eastAsia="SimSun"/>
          <w:color w:val="000000"/>
          <w:sz w:val="22"/>
          <w:szCs w:val="22"/>
          <w:highlight w:val="yellow"/>
          <w:lang w:bidi="ar"/>
        </w:rPr>
        <w:t>(N=</w:t>
      </w:r>
      <w:r w:rsidR="00207C1E" w:rsidRPr="00ED0923">
        <w:rPr>
          <w:rFonts w:eastAsia="SimSun"/>
          <w:color w:val="000000"/>
          <w:sz w:val="22"/>
          <w:szCs w:val="22"/>
          <w:highlight w:val="yellow"/>
          <w:lang w:bidi="ar"/>
        </w:rPr>
        <w:t>9190</w:t>
      </w:r>
      <w:r w:rsidRPr="00ED0923">
        <w:rPr>
          <w:rFonts w:eastAsia="SimSun" w:hint="eastAsia"/>
          <w:color w:val="000000"/>
          <w:sz w:val="22"/>
          <w:szCs w:val="22"/>
          <w:highlight w:val="yellow"/>
          <w:lang w:bidi="ar"/>
        </w:rPr>
        <w:t>)</w:t>
      </w:r>
      <w:r w:rsidRPr="00ED0923">
        <w:rPr>
          <w:rFonts w:eastAsia="SimSun"/>
          <w:color w:val="000000"/>
          <w:sz w:val="22"/>
          <w:szCs w:val="22"/>
          <w:lang w:bidi="ar"/>
        </w:rPr>
        <w:t>.</w:t>
      </w:r>
    </w:p>
    <w:tbl>
      <w:tblPr>
        <w:tblW w:w="5000" w:type="pct"/>
        <w:tblLook w:val="04A0" w:firstRow="1" w:lastRow="0" w:firstColumn="1" w:lastColumn="0" w:noHBand="0" w:noVBand="1"/>
      </w:tblPr>
      <w:tblGrid>
        <w:gridCol w:w="3330"/>
        <w:gridCol w:w="1691"/>
        <w:gridCol w:w="1575"/>
        <w:gridCol w:w="1575"/>
        <w:gridCol w:w="1579"/>
        <w:gridCol w:w="1050"/>
      </w:tblGrid>
      <w:tr w:rsidR="00B87F1E" w:rsidRPr="00ED0923" w14:paraId="06B45B0F" w14:textId="77777777" w:rsidTr="006120F7">
        <w:trPr>
          <w:trHeight w:val="224"/>
        </w:trPr>
        <w:tc>
          <w:tcPr>
            <w:tcW w:w="1542" w:type="pct"/>
            <w:tcBorders>
              <w:top w:val="single" w:sz="4" w:space="0" w:color="auto"/>
            </w:tcBorders>
            <w:shd w:val="clear" w:color="auto" w:fill="FFFFFF"/>
            <w:noWrap/>
            <w:vAlign w:val="center"/>
          </w:tcPr>
          <w:p w14:paraId="18183C52" w14:textId="77777777" w:rsidR="00B87F1E" w:rsidRPr="00ED0923" w:rsidRDefault="00B87F1E" w:rsidP="007806F0">
            <w:pPr>
              <w:jc w:val="both"/>
              <w:rPr>
                <w:sz w:val="22"/>
                <w:szCs w:val="22"/>
              </w:rPr>
            </w:pPr>
          </w:p>
        </w:tc>
        <w:tc>
          <w:tcPr>
            <w:tcW w:w="2972" w:type="pct"/>
            <w:gridSpan w:val="4"/>
            <w:tcBorders>
              <w:top w:val="single" w:sz="4" w:space="0" w:color="auto"/>
            </w:tcBorders>
            <w:shd w:val="clear" w:color="auto" w:fill="FFFFFF"/>
            <w:noWrap/>
            <w:vAlign w:val="center"/>
          </w:tcPr>
          <w:p w14:paraId="74CEDE04" w14:textId="7E1DE45B" w:rsidR="00B87F1E" w:rsidRPr="00ED0923" w:rsidRDefault="00B87F1E" w:rsidP="00B9309D">
            <w:pPr>
              <w:jc w:val="center"/>
              <w:rPr>
                <w:sz w:val="22"/>
                <w:szCs w:val="22"/>
              </w:rPr>
            </w:pPr>
            <w:r w:rsidRPr="00ED0923">
              <w:rPr>
                <w:sz w:val="22"/>
                <w:szCs w:val="22"/>
              </w:rPr>
              <w:t>Alcohol intake</w:t>
            </w:r>
            <w:r w:rsidR="002F7CEE" w:rsidRPr="00ED0923">
              <w:rPr>
                <w:sz w:val="22"/>
                <w:szCs w:val="22"/>
              </w:rPr>
              <w:t xml:space="preserve"> per week</w:t>
            </w:r>
          </w:p>
        </w:tc>
        <w:tc>
          <w:tcPr>
            <w:tcW w:w="486" w:type="pct"/>
            <w:tcBorders>
              <w:top w:val="single" w:sz="4" w:space="0" w:color="auto"/>
            </w:tcBorders>
            <w:shd w:val="clear" w:color="auto" w:fill="FFFFFF"/>
            <w:noWrap/>
            <w:vAlign w:val="center"/>
          </w:tcPr>
          <w:p w14:paraId="3F28438D" w14:textId="77777777" w:rsidR="00B87F1E" w:rsidRPr="00ED0923" w:rsidRDefault="00B87F1E" w:rsidP="007806F0">
            <w:pPr>
              <w:jc w:val="both"/>
              <w:rPr>
                <w:sz w:val="22"/>
                <w:szCs w:val="22"/>
              </w:rPr>
            </w:pPr>
          </w:p>
        </w:tc>
      </w:tr>
      <w:tr w:rsidR="002F7CEE" w:rsidRPr="00ED0923" w14:paraId="5366E77D" w14:textId="77777777" w:rsidTr="006120F7">
        <w:trPr>
          <w:trHeight w:val="99"/>
        </w:trPr>
        <w:tc>
          <w:tcPr>
            <w:tcW w:w="1542" w:type="pct"/>
            <w:shd w:val="clear" w:color="auto" w:fill="FFFFFF"/>
            <w:noWrap/>
            <w:vAlign w:val="center"/>
          </w:tcPr>
          <w:p w14:paraId="5015F1F7" w14:textId="77777777" w:rsidR="002F7CEE" w:rsidRPr="00ED0923" w:rsidRDefault="002F7CEE" w:rsidP="007806F0">
            <w:pPr>
              <w:jc w:val="both"/>
              <w:rPr>
                <w:sz w:val="22"/>
                <w:szCs w:val="22"/>
              </w:rPr>
            </w:pPr>
          </w:p>
        </w:tc>
        <w:tc>
          <w:tcPr>
            <w:tcW w:w="783" w:type="pct"/>
            <w:shd w:val="clear" w:color="auto" w:fill="FFFFFF"/>
            <w:noWrap/>
            <w:vAlign w:val="center"/>
          </w:tcPr>
          <w:p w14:paraId="74F06E50" w14:textId="678DCF4E" w:rsidR="002F7CEE" w:rsidRPr="00ED0923" w:rsidRDefault="002F7CEE" w:rsidP="007806F0">
            <w:pPr>
              <w:jc w:val="both"/>
              <w:rPr>
                <w:sz w:val="22"/>
                <w:szCs w:val="22"/>
              </w:rPr>
            </w:pPr>
            <w:r w:rsidRPr="00ED0923">
              <w:rPr>
                <w:sz w:val="22"/>
                <w:szCs w:val="22"/>
              </w:rPr>
              <w:t>0/week</w:t>
            </w:r>
          </w:p>
        </w:tc>
        <w:tc>
          <w:tcPr>
            <w:tcW w:w="729" w:type="pct"/>
            <w:shd w:val="clear" w:color="auto" w:fill="FFFFFF"/>
            <w:noWrap/>
            <w:vAlign w:val="center"/>
          </w:tcPr>
          <w:p w14:paraId="46C4EE3F" w14:textId="0DCB9DAA" w:rsidR="002F7CEE" w:rsidRPr="00ED0923" w:rsidRDefault="002F7CEE" w:rsidP="007806F0">
            <w:pPr>
              <w:jc w:val="both"/>
              <w:rPr>
                <w:sz w:val="22"/>
                <w:szCs w:val="22"/>
              </w:rPr>
            </w:pPr>
            <w:r w:rsidRPr="00ED0923">
              <w:rPr>
                <w:sz w:val="22"/>
                <w:szCs w:val="22"/>
              </w:rPr>
              <w:t>0-0.5/week</w:t>
            </w:r>
          </w:p>
        </w:tc>
        <w:tc>
          <w:tcPr>
            <w:tcW w:w="729" w:type="pct"/>
            <w:shd w:val="clear" w:color="auto" w:fill="FFFFFF"/>
            <w:noWrap/>
            <w:vAlign w:val="center"/>
          </w:tcPr>
          <w:p w14:paraId="0BF4B20B" w14:textId="6B94E28C" w:rsidR="002F7CEE" w:rsidRPr="00ED0923" w:rsidRDefault="002F7CEE" w:rsidP="007806F0">
            <w:pPr>
              <w:jc w:val="both"/>
              <w:rPr>
                <w:sz w:val="22"/>
                <w:szCs w:val="22"/>
              </w:rPr>
            </w:pPr>
            <w:r w:rsidRPr="00ED0923">
              <w:rPr>
                <w:sz w:val="22"/>
                <w:szCs w:val="22"/>
              </w:rPr>
              <w:t>0.5-2/week</w:t>
            </w:r>
          </w:p>
        </w:tc>
        <w:tc>
          <w:tcPr>
            <w:tcW w:w="731" w:type="pct"/>
            <w:shd w:val="clear" w:color="auto" w:fill="FFFFFF"/>
            <w:noWrap/>
            <w:vAlign w:val="center"/>
          </w:tcPr>
          <w:p w14:paraId="455F0A97" w14:textId="7F8619DE" w:rsidR="002F7CEE" w:rsidRPr="00ED0923" w:rsidRDefault="002F7CEE" w:rsidP="007806F0">
            <w:pPr>
              <w:jc w:val="both"/>
              <w:rPr>
                <w:sz w:val="22"/>
                <w:szCs w:val="22"/>
              </w:rPr>
            </w:pPr>
            <w:r w:rsidRPr="00ED0923">
              <w:rPr>
                <w:sz w:val="22"/>
                <w:szCs w:val="22"/>
              </w:rPr>
              <w:t>&gt;2/week</w:t>
            </w:r>
          </w:p>
        </w:tc>
        <w:tc>
          <w:tcPr>
            <w:tcW w:w="486" w:type="pct"/>
            <w:vMerge w:val="restart"/>
            <w:shd w:val="clear" w:color="auto" w:fill="FFFFFF"/>
            <w:noWrap/>
            <w:vAlign w:val="center"/>
          </w:tcPr>
          <w:p w14:paraId="6A261E57" w14:textId="77777777" w:rsidR="002F7CEE" w:rsidRPr="00ED0923" w:rsidRDefault="002F7CEE" w:rsidP="007806F0">
            <w:pPr>
              <w:jc w:val="both"/>
              <w:rPr>
                <w:sz w:val="22"/>
                <w:szCs w:val="22"/>
              </w:rPr>
            </w:pPr>
            <w:r w:rsidRPr="00ED0923">
              <w:rPr>
                <w:sz w:val="22"/>
                <w:szCs w:val="22"/>
              </w:rPr>
              <w:t>p-value</w:t>
            </w:r>
          </w:p>
        </w:tc>
      </w:tr>
      <w:tr w:rsidR="00B87F1E" w:rsidRPr="00ED0923" w14:paraId="7B63101F" w14:textId="77777777" w:rsidTr="002F7CEE">
        <w:trPr>
          <w:trHeight w:val="270"/>
        </w:trPr>
        <w:tc>
          <w:tcPr>
            <w:tcW w:w="1542" w:type="pct"/>
            <w:tcBorders>
              <w:bottom w:val="single" w:sz="4" w:space="0" w:color="auto"/>
            </w:tcBorders>
            <w:shd w:val="clear" w:color="auto" w:fill="FFFFFF"/>
            <w:noWrap/>
            <w:vAlign w:val="center"/>
          </w:tcPr>
          <w:p w14:paraId="2DCB983A" w14:textId="77777777" w:rsidR="00B87F1E" w:rsidRPr="00ED0923" w:rsidRDefault="00B87F1E" w:rsidP="007806F0">
            <w:pPr>
              <w:jc w:val="both"/>
              <w:rPr>
                <w:sz w:val="22"/>
                <w:szCs w:val="22"/>
              </w:rPr>
            </w:pPr>
          </w:p>
        </w:tc>
        <w:tc>
          <w:tcPr>
            <w:tcW w:w="783" w:type="pct"/>
            <w:tcBorders>
              <w:bottom w:val="single" w:sz="4" w:space="0" w:color="auto"/>
            </w:tcBorders>
            <w:shd w:val="clear" w:color="auto" w:fill="FFFFFF"/>
            <w:noWrap/>
            <w:vAlign w:val="center"/>
          </w:tcPr>
          <w:p w14:paraId="769BBF89" w14:textId="77777777" w:rsidR="00B87F1E" w:rsidRPr="00ED0923" w:rsidRDefault="00B87F1E" w:rsidP="007806F0">
            <w:pPr>
              <w:jc w:val="both"/>
              <w:rPr>
                <w:sz w:val="22"/>
                <w:szCs w:val="22"/>
              </w:rPr>
            </w:pPr>
            <w:r w:rsidRPr="00ED0923">
              <w:rPr>
                <w:sz w:val="22"/>
                <w:szCs w:val="22"/>
              </w:rPr>
              <w:t>N=1052</w:t>
            </w:r>
          </w:p>
        </w:tc>
        <w:tc>
          <w:tcPr>
            <w:tcW w:w="729" w:type="pct"/>
            <w:tcBorders>
              <w:bottom w:val="single" w:sz="4" w:space="0" w:color="auto"/>
            </w:tcBorders>
            <w:shd w:val="clear" w:color="auto" w:fill="FFFFFF"/>
            <w:noWrap/>
            <w:vAlign w:val="center"/>
          </w:tcPr>
          <w:p w14:paraId="500FDC23" w14:textId="77777777" w:rsidR="00B87F1E" w:rsidRPr="00ED0923" w:rsidRDefault="00B87F1E" w:rsidP="007806F0">
            <w:pPr>
              <w:jc w:val="both"/>
              <w:rPr>
                <w:sz w:val="22"/>
                <w:szCs w:val="22"/>
              </w:rPr>
            </w:pPr>
            <w:r w:rsidRPr="00ED0923">
              <w:rPr>
                <w:sz w:val="22"/>
                <w:szCs w:val="22"/>
              </w:rPr>
              <w:t>N=209</w:t>
            </w:r>
          </w:p>
        </w:tc>
        <w:tc>
          <w:tcPr>
            <w:tcW w:w="729" w:type="pct"/>
            <w:tcBorders>
              <w:bottom w:val="single" w:sz="4" w:space="0" w:color="auto"/>
            </w:tcBorders>
            <w:shd w:val="clear" w:color="auto" w:fill="FFFFFF"/>
            <w:noWrap/>
            <w:vAlign w:val="center"/>
          </w:tcPr>
          <w:p w14:paraId="0B7CFDD0" w14:textId="77777777" w:rsidR="00B87F1E" w:rsidRPr="00ED0923" w:rsidRDefault="00B87F1E" w:rsidP="007806F0">
            <w:pPr>
              <w:jc w:val="both"/>
              <w:rPr>
                <w:sz w:val="22"/>
                <w:szCs w:val="22"/>
              </w:rPr>
            </w:pPr>
            <w:r w:rsidRPr="00ED0923">
              <w:rPr>
                <w:sz w:val="22"/>
                <w:szCs w:val="22"/>
              </w:rPr>
              <w:t>N=319</w:t>
            </w:r>
          </w:p>
        </w:tc>
        <w:tc>
          <w:tcPr>
            <w:tcW w:w="731" w:type="pct"/>
            <w:tcBorders>
              <w:bottom w:val="single" w:sz="4" w:space="0" w:color="auto"/>
            </w:tcBorders>
            <w:shd w:val="clear" w:color="auto" w:fill="FFFFFF"/>
            <w:noWrap/>
            <w:vAlign w:val="center"/>
          </w:tcPr>
          <w:p w14:paraId="5521D8E5" w14:textId="77777777" w:rsidR="00B87F1E" w:rsidRPr="00ED0923" w:rsidRDefault="00B87F1E" w:rsidP="007806F0">
            <w:pPr>
              <w:jc w:val="both"/>
              <w:rPr>
                <w:sz w:val="22"/>
                <w:szCs w:val="22"/>
              </w:rPr>
            </w:pPr>
            <w:r w:rsidRPr="00ED0923">
              <w:rPr>
                <w:sz w:val="22"/>
                <w:szCs w:val="22"/>
              </w:rPr>
              <w:t>N=530</w:t>
            </w:r>
          </w:p>
        </w:tc>
        <w:tc>
          <w:tcPr>
            <w:tcW w:w="486" w:type="pct"/>
            <w:vMerge/>
            <w:tcBorders>
              <w:bottom w:val="single" w:sz="4" w:space="0" w:color="auto"/>
            </w:tcBorders>
            <w:shd w:val="clear" w:color="auto" w:fill="FFFFFF"/>
            <w:noWrap/>
            <w:vAlign w:val="center"/>
          </w:tcPr>
          <w:p w14:paraId="0E8ABC36" w14:textId="77777777" w:rsidR="00B87F1E" w:rsidRPr="00ED0923" w:rsidRDefault="00B87F1E" w:rsidP="007806F0">
            <w:pPr>
              <w:jc w:val="both"/>
              <w:rPr>
                <w:sz w:val="22"/>
                <w:szCs w:val="22"/>
              </w:rPr>
            </w:pPr>
          </w:p>
        </w:tc>
      </w:tr>
      <w:tr w:rsidR="002D6D33" w:rsidRPr="00ED0923" w14:paraId="3359C7BD" w14:textId="77777777" w:rsidTr="002F7CEE">
        <w:trPr>
          <w:trHeight w:val="270"/>
        </w:trPr>
        <w:tc>
          <w:tcPr>
            <w:tcW w:w="1542" w:type="pct"/>
            <w:tcBorders>
              <w:top w:val="single" w:sz="4" w:space="0" w:color="auto"/>
            </w:tcBorders>
            <w:shd w:val="clear" w:color="auto" w:fill="FFFFFF"/>
            <w:noWrap/>
            <w:vAlign w:val="center"/>
          </w:tcPr>
          <w:p w14:paraId="226E716C" w14:textId="1069F07B" w:rsidR="002D6D33" w:rsidRPr="00ED0923" w:rsidRDefault="002D6D33" w:rsidP="002D6D33">
            <w:pPr>
              <w:jc w:val="both"/>
              <w:rPr>
                <w:sz w:val="22"/>
                <w:szCs w:val="22"/>
              </w:rPr>
            </w:pPr>
            <w:r w:rsidRPr="00ED0923">
              <w:rPr>
                <w:sz w:val="22"/>
                <w:szCs w:val="22"/>
              </w:rPr>
              <w:t>Sex, Male</w:t>
            </w:r>
          </w:p>
        </w:tc>
        <w:tc>
          <w:tcPr>
            <w:tcW w:w="783" w:type="pct"/>
            <w:tcBorders>
              <w:top w:val="single" w:sz="4" w:space="0" w:color="auto"/>
            </w:tcBorders>
            <w:shd w:val="clear" w:color="auto" w:fill="FFFFFF"/>
            <w:noWrap/>
            <w:vAlign w:val="center"/>
          </w:tcPr>
          <w:p w14:paraId="0201EEF7" w14:textId="3C4920EF" w:rsidR="002D6D33" w:rsidRPr="00ED0923" w:rsidRDefault="002D6D33" w:rsidP="002D6D33">
            <w:pPr>
              <w:jc w:val="both"/>
              <w:rPr>
                <w:sz w:val="22"/>
                <w:szCs w:val="22"/>
              </w:rPr>
            </w:pPr>
            <w:r w:rsidRPr="00ED0923">
              <w:rPr>
                <w:sz w:val="22"/>
                <w:szCs w:val="22"/>
              </w:rPr>
              <w:t>515 (49.0%)</w:t>
            </w:r>
          </w:p>
        </w:tc>
        <w:tc>
          <w:tcPr>
            <w:tcW w:w="729" w:type="pct"/>
            <w:tcBorders>
              <w:top w:val="single" w:sz="4" w:space="0" w:color="auto"/>
            </w:tcBorders>
            <w:shd w:val="clear" w:color="auto" w:fill="FFFFFF"/>
            <w:noWrap/>
            <w:vAlign w:val="center"/>
          </w:tcPr>
          <w:p w14:paraId="1F392C16" w14:textId="5C8143D8" w:rsidR="002D6D33" w:rsidRPr="00ED0923" w:rsidRDefault="002D6D33" w:rsidP="002D6D33">
            <w:pPr>
              <w:jc w:val="both"/>
              <w:rPr>
                <w:sz w:val="22"/>
                <w:szCs w:val="22"/>
              </w:rPr>
            </w:pPr>
            <w:r w:rsidRPr="00ED0923">
              <w:rPr>
                <w:sz w:val="22"/>
                <w:szCs w:val="22"/>
              </w:rPr>
              <w:t>110(52.6%)</w:t>
            </w:r>
          </w:p>
        </w:tc>
        <w:tc>
          <w:tcPr>
            <w:tcW w:w="729" w:type="pct"/>
            <w:tcBorders>
              <w:top w:val="single" w:sz="4" w:space="0" w:color="auto"/>
            </w:tcBorders>
            <w:shd w:val="clear" w:color="auto" w:fill="FFFFFF"/>
            <w:noWrap/>
            <w:vAlign w:val="center"/>
          </w:tcPr>
          <w:p w14:paraId="6F5CFDDE" w14:textId="66149932" w:rsidR="002D6D33" w:rsidRPr="00ED0923" w:rsidRDefault="002D6D33" w:rsidP="002D6D33">
            <w:pPr>
              <w:jc w:val="both"/>
              <w:rPr>
                <w:sz w:val="22"/>
                <w:szCs w:val="22"/>
              </w:rPr>
            </w:pPr>
            <w:r w:rsidRPr="00ED0923">
              <w:rPr>
                <w:sz w:val="22"/>
                <w:szCs w:val="22"/>
              </w:rPr>
              <w:t>205(64.3%)</w:t>
            </w:r>
          </w:p>
        </w:tc>
        <w:tc>
          <w:tcPr>
            <w:tcW w:w="731" w:type="pct"/>
            <w:tcBorders>
              <w:top w:val="single" w:sz="4" w:space="0" w:color="auto"/>
            </w:tcBorders>
            <w:shd w:val="clear" w:color="auto" w:fill="FFFFFF"/>
            <w:noWrap/>
            <w:vAlign w:val="center"/>
          </w:tcPr>
          <w:p w14:paraId="5D840F21" w14:textId="3F460A4D" w:rsidR="002D6D33" w:rsidRPr="00ED0923" w:rsidRDefault="002D6D33" w:rsidP="002D6D33">
            <w:pPr>
              <w:jc w:val="both"/>
              <w:rPr>
                <w:sz w:val="22"/>
                <w:szCs w:val="22"/>
              </w:rPr>
            </w:pPr>
            <w:r w:rsidRPr="00ED0923">
              <w:rPr>
                <w:sz w:val="22"/>
                <w:szCs w:val="22"/>
              </w:rPr>
              <w:t>407(76.8%)</w:t>
            </w:r>
          </w:p>
        </w:tc>
        <w:tc>
          <w:tcPr>
            <w:tcW w:w="486" w:type="pct"/>
            <w:tcBorders>
              <w:top w:val="single" w:sz="4" w:space="0" w:color="auto"/>
            </w:tcBorders>
            <w:shd w:val="clear" w:color="auto" w:fill="FFFFFF"/>
            <w:noWrap/>
            <w:vAlign w:val="center"/>
          </w:tcPr>
          <w:p w14:paraId="2E454AF8" w14:textId="77777777" w:rsidR="002D6D33" w:rsidRPr="00ED0923" w:rsidRDefault="002D6D33" w:rsidP="002D6D33">
            <w:pPr>
              <w:jc w:val="both"/>
              <w:rPr>
                <w:sz w:val="22"/>
                <w:szCs w:val="22"/>
              </w:rPr>
            </w:pPr>
            <w:r w:rsidRPr="00ED0923">
              <w:rPr>
                <w:sz w:val="22"/>
                <w:szCs w:val="22"/>
              </w:rPr>
              <w:t>&lt;0.001</w:t>
            </w:r>
          </w:p>
        </w:tc>
      </w:tr>
      <w:tr w:rsidR="002D6D33" w:rsidRPr="00ED0923" w14:paraId="5F762E87" w14:textId="77777777" w:rsidTr="002F7CEE">
        <w:trPr>
          <w:trHeight w:val="270"/>
        </w:trPr>
        <w:tc>
          <w:tcPr>
            <w:tcW w:w="1542" w:type="pct"/>
            <w:shd w:val="clear" w:color="auto" w:fill="FFFFFF"/>
            <w:noWrap/>
            <w:vAlign w:val="center"/>
          </w:tcPr>
          <w:p w14:paraId="4316A811" w14:textId="77777777" w:rsidR="002D6D33" w:rsidRPr="00ED0923" w:rsidRDefault="002D6D33" w:rsidP="002D6D33">
            <w:pPr>
              <w:jc w:val="both"/>
              <w:rPr>
                <w:sz w:val="22"/>
                <w:szCs w:val="22"/>
              </w:rPr>
            </w:pPr>
            <w:r w:rsidRPr="00ED0923">
              <w:rPr>
                <w:sz w:val="22"/>
                <w:szCs w:val="22"/>
              </w:rPr>
              <w:t xml:space="preserve">Mean Age at entry (SD) </w:t>
            </w:r>
          </w:p>
        </w:tc>
        <w:tc>
          <w:tcPr>
            <w:tcW w:w="783" w:type="pct"/>
            <w:shd w:val="clear" w:color="auto" w:fill="FFFFFF"/>
            <w:noWrap/>
            <w:vAlign w:val="center"/>
          </w:tcPr>
          <w:p w14:paraId="573A6ADE" w14:textId="77777777" w:rsidR="002D6D33" w:rsidRPr="00ED0923" w:rsidRDefault="002D6D33" w:rsidP="002D6D33">
            <w:pPr>
              <w:jc w:val="both"/>
              <w:rPr>
                <w:sz w:val="22"/>
                <w:szCs w:val="22"/>
              </w:rPr>
            </w:pPr>
            <w:r w:rsidRPr="00ED0923">
              <w:rPr>
                <w:sz w:val="22"/>
                <w:szCs w:val="22"/>
              </w:rPr>
              <w:t>65.2 (7.81)</w:t>
            </w:r>
          </w:p>
        </w:tc>
        <w:tc>
          <w:tcPr>
            <w:tcW w:w="729" w:type="pct"/>
            <w:shd w:val="clear" w:color="auto" w:fill="FFFFFF"/>
            <w:noWrap/>
            <w:vAlign w:val="center"/>
          </w:tcPr>
          <w:p w14:paraId="7722A68E" w14:textId="77777777" w:rsidR="002D6D33" w:rsidRPr="00ED0923" w:rsidRDefault="002D6D33" w:rsidP="002D6D33">
            <w:pPr>
              <w:jc w:val="both"/>
              <w:rPr>
                <w:sz w:val="22"/>
                <w:szCs w:val="22"/>
              </w:rPr>
            </w:pPr>
            <w:r w:rsidRPr="00ED0923">
              <w:rPr>
                <w:sz w:val="22"/>
                <w:szCs w:val="22"/>
              </w:rPr>
              <w:t>64.9 (8.32)</w:t>
            </w:r>
          </w:p>
        </w:tc>
        <w:tc>
          <w:tcPr>
            <w:tcW w:w="729" w:type="pct"/>
            <w:shd w:val="clear" w:color="auto" w:fill="FFFFFF"/>
            <w:noWrap/>
            <w:vAlign w:val="center"/>
          </w:tcPr>
          <w:p w14:paraId="075C829C" w14:textId="77777777" w:rsidR="002D6D33" w:rsidRPr="00ED0923" w:rsidRDefault="002D6D33" w:rsidP="002D6D33">
            <w:pPr>
              <w:jc w:val="both"/>
              <w:rPr>
                <w:sz w:val="22"/>
                <w:szCs w:val="22"/>
              </w:rPr>
            </w:pPr>
            <w:r w:rsidRPr="00ED0923">
              <w:rPr>
                <w:sz w:val="22"/>
                <w:szCs w:val="22"/>
              </w:rPr>
              <w:t>62.2 (9.43)</w:t>
            </w:r>
          </w:p>
        </w:tc>
        <w:tc>
          <w:tcPr>
            <w:tcW w:w="731" w:type="pct"/>
            <w:shd w:val="clear" w:color="auto" w:fill="FFFFFF"/>
            <w:noWrap/>
            <w:vAlign w:val="center"/>
          </w:tcPr>
          <w:p w14:paraId="030B593E" w14:textId="77777777" w:rsidR="002D6D33" w:rsidRPr="00ED0923" w:rsidRDefault="002D6D33" w:rsidP="002D6D33">
            <w:pPr>
              <w:jc w:val="both"/>
              <w:rPr>
                <w:sz w:val="22"/>
                <w:szCs w:val="22"/>
              </w:rPr>
            </w:pPr>
            <w:r w:rsidRPr="00ED0923">
              <w:rPr>
                <w:sz w:val="22"/>
                <w:szCs w:val="22"/>
              </w:rPr>
              <w:t>62.1 (9.67)</w:t>
            </w:r>
          </w:p>
        </w:tc>
        <w:tc>
          <w:tcPr>
            <w:tcW w:w="486" w:type="pct"/>
            <w:shd w:val="clear" w:color="auto" w:fill="FFFFFF"/>
            <w:noWrap/>
            <w:vAlign w:val="center"/>
          </w:tcPr>
          <w:p w14:paraId="656B4656" w14:textId="77777777" w:rsidR="002D6D33" w:rsidRPr="00ED0923" w:rsidRDefault="002D6D33" w:rsidP="002D6D33">
            <w:pPr>
              <w:jc w:val="both"/>
              <w:rPr>
                <w:sz w:val="22"/>
                <w:szCs w:val="22"/>
              </w:rPr>
            </w:pPr>
            <w:r w:rsidRPr="00ED0923">
              <w:rPr>
                <w:sz w:val="22"/>
                <w:szCs w:val="22"/>
              </w:rPr>
              <w:t>&lt;0.001</w:t>
            </w:r>
          </w:p>
        </w:tc>
      </w:tr>
      <w:tr w:rsidR="002D6D33" w:rsidRPr="00ED0923" w14:paraId="2420B303" w14:textId="77777777" w:rsidTr="002F7CEE">
        <w:trPr>
          <w:trHeight w:val="270"/>
        </w:trPr>
        <w:tc>
          <w:tcPr>
            <w:tcW w:w="1542" w:type="pct"/>
            <w:shd w:val="clear" w:color="auto" w:fill="FFFFFF"/>
            <w:noWrap/>
            <w:vAlign w:val="center"/>
          </w:tcPr>
          <w:p w14:paraId="53E3E75B" w14:textId="77777777" w:rsidR="002D6D33" w:rsidRPr="00ED0923" w:rsidRDefault="002D6D33" w:rsidP="002D6D33">
            <w:pPr>
              <w:jc w:val="both"/>
              <w:rPr>
                <w:sz w:val="22"/>
                <w:szCs w:val="22"/>
              </w:rPr>
            </w:pPr>
            <w:r w:rsidRPr="00ED0923">
              <w:rPr>
                <w:sz w:val="22"/>
                <w:szCs w:val="22"/>
              </w:rPr>
              <w:t>Race</w:t>
            </w:r>
          </w:p>
        </w:tc>
        <w:tc>
          <w:tcPr>
            <w:tcW w:w="783" w:type="pct"/>
            <w:shd w:val="clear" w:color="auto" w:fill="FFFFFF"/>
            <w:noWrap/>
            <w:vAlign w:val="center"/>
          </w:tcPr>
          <w:p w14:paraId="692F60A1" w14:textId="77777777" w:rsidR="002D6D33" w:rsidRPr="00ED0923" w:rsidRDefault="002D6D33" w:rsidP="002D6D33">
            <w:pPr>
              <w:jc w:val="both"/>
              <w:rPr>
                <w:sz w:val="22"/>
                <w:szCs w:val="22"/>
              </w:rPr>
            </w:pPr>
          </w:p>
        </w:tc>
        <w:tc>
          <w:tcPr>
            <w:tcW w:w="729" w:type="pct"/>
            <w:shd w:val="clear" w:color="auto" w:fill="FFFFFF"/>
            <w:noWrap/>
            <w:vAlign w:val="center"/>
          </w:tcPr>
          <w:p w14:paraId="599AE0C5" w14:textId="77777777" w:rsidR="002D6D33" w:rsidRPr="00ED0923" w:rsidRDefault="002D6D33" w:rsidP="002D6D33">
            <w:pPr>
              <w:jc w:val="both"/>
              <w:rPr>
                <w:sz w:val="22"/>
                <w:szCs w:val="22"/>
              </w:rPr>
            </w:pPr>
          </w:p>
        </w:tc>
        <w:tc>
          <w:tcPr>
            <w:tcW w:w="729" w:type="pct"/>
            <w:shd w:val="clear" w:color="auto" w:fill="FFFFFF"/>
            <w:noWrap/>
            <w:vAlign w:val="center"/>
          </w:tcPr>
          <w:p w14:paraId="25ADCF11" w14:textId="77777777" w:rsidR="002D6D33" w:rsidRPr="00ED0923" w:rsidRDefault="002D6D33" w:rsidP="002D6D33">
            <w:pPr>
              <w:jc w:val="both"/>
              <w:rPr>
                <w:sz w:val="22"/>
                <w:szCs w:val="22"/>
              </w:rPr>
            </w:pPr>
          </w:p>
        </w:tc>
        <w:tc>
          <w:tcPr>
            <w:tcW w:w="731" w:type="pct"/>
            <w:shd w:val="clear" w:color="auto" w:fill="FFFFFF"/>
            <w:noWrap/>
            <w:vAlign w:val="center"/>
          </w:tcPr>
          <w:p w14:paraId="17ED8F6D" w14:textId="77777777" w:rsidR="002D6D33" w:rsidRPr="00ED0923" w:rsidRDefault="002D6D33" w:rsidP="002D6D33">
            <w:pPr>
              <w:jc w:val="both"/>
              <w:rPr>
                <w:sz w:val="22"/>
                <w:szCs w:val="22"/>
              </w:rPr>
            </w:pPr>
          </w:p>
        </w:tc>
        <w:tc>
          <w:tcPr>
            <w:tcW w:w="486" w:type="pct"/>
            <w:shd w:val="clear" w:color="auto" w:fill="FFFFFF"/>
            <w:noWrap/>
            <w:vAlign w:val="center"/>
          </w:tcPr>
          <w:p w14:paraId="0FA410AF" w14:textId="77777777" w:rsidR="002D6D33" w:rsidRPr="00ED0923" w:rsidRDefault="002D6D33" w:rsidP="002D6D33">
            <w:pPr>
              <w:jc w:val="both"/>
              <w:rPr>
                <w:sz w:val="22"/>
                <w:szCs w:val="22"/>
              </w:rPr>
            </w:pPr>
            <w:r w:rsidRPr="00ED0923">
              <w:rPr>
                <w:sz w:val="22"/>
                <w:szCs w:val="22"/>
              </w:rPr>
              <w:t>&lt;0.001</w:t>
            </w:r>
          </w:p>
        </w:tc>
      </w:tr>
      <w:tr w:rsidR="002D6D33" w:rsidRPr="00ED0923" w14:paraId="42DACF2F" w14:textId="77777777" w:rsidTr="002F7CEE">
        <w:trPr>
          <w:trHeight w:val="270"/>
        </w:trPr>
        <w:tc>
          <w:tcPr>
            <w:tcW w:w="1542" w:type="pct"/>
            <w:shd w:val="clear" w:color="auto" w:fill="FFFFFF"/>
            <w:noWrap/>
            <w:vAlign w:val="center"/>
          </w:tcPr>
          <w:p w14:paraId="15803EBA" w14:textId="77777777" w:rsidR="002D6D33" w:rsidRPr="00ED0923" w:rsidRDefault="002D6D33" w:rsidP="002D6D33">
            <w:pPr>
              <w:jc w:val="both"/>
              <w:rPr>
                <w:sz w:val="22"/>
                <w:szCs w:val="22"/>
              </w:rPr>
            </w:pPr>
            <w:r w:rsidRPr="00ED0923">
              <w:rPr>
                <w:sz w:val="22"/>
                <w:szCs w:val="22"/>
              </w:rPr>
              <w:t xml:space="preserve">  white</w:t>
            </w:r>
          </w:p>
        </w:tc>
        <w:tc>
          <w:tcPr>
            <w:tcW w:w="783" w:type="pct"/>
            <w:shd w:val="clear" w:color="auto" w:fill="FFFFFF"/>
            <w:noWrap/>
            <w:vAlign w:val="center"/>
          </w:tcPr>
          <w:p w14:paraId="73F327BB" w14:textId="77777777" w:rsidR="002D6D33" w:rsidRPr="00ED0923" w:rsidRDefault="002D6D33" w:rsidP="002D6D33">
            <w:pPr>
              <w:jc w:val="both"/>
              <w:rPr>
                <w:sz w:val="22"/>
                <w:szCs w:val="22"/>
              </w:rPr>
            </w:pPr>
            <w:r w:rsidRPr="00ED0923">
              <w:rPr>
                <w:sz w:val="22"/>
                <w:szCs w:val="22"/>
              </w:rPr>
              <w:t>109 (10.4%)</w:t>
            </w:r>
          </w:p>
        </w:tc>
        <w:tc>
          <w:tcPr>
            <w:tcW w:w="729" w:type="pct"/>
            <w:shd w:val="clear" w:color="auto" w:fill="FFFFFF"/>
            <w:noWrap/>
            <w:vAlign w:val="center"/>
          </w:tcPr>
          <w:p w14:paraId="524819AF" w14:textId="77777777" w:rsidR="002D6D33" w:rsidRPr="00ED0923" w:rsidRDefault="002D6D33" w:rsidP="002D6D33">
            <w:pPr>
              <w:jc w:val="both"/>
              <w:rPr>
                <w:sz w:val="22"/>
                <w:szCs w:val="22"/>
              </w:rPr>
            </w:pPr>
            <w:r w:rsidRPr="00ED0923">
              <w:rPr>
                <w:sz w:val="22"/>
                <w:szCs w:val="22"/>
              </w:rPr>
              <w:t>21 (10.0%)</w:t>
            </w:r>
          </w:p>
        </w:tc>
        <w:tc>
          <w:tcPr>
            <w:tcW w:w="729" w:type="pct"/>
            <w:shd w:val="clear" w:color="auto" w:fill="FFFFFF"/>
            <w:noWrap/>
            <w:vAlign w:val="center"/>
          </w:tcPr>
          <w:p w14:paraId="330E2604" w14:textId="77777777" w:rsidR="002D6D33" w:rsidRPr="00ED0923" w:rsidRDefault="002D6D33" w:rsidP="002D6D33">
            <w:pPr>
              <w:jc w:val="both"/>
              <w:rPr>
                <w:sz w:val="22"/>
                <w:szCs w:val="22"/>
              </w:rPr>
            </w:pPr>
            <w:r w:rsidRPr="00ED0923">
              <w:rPr>
                <w:sz w:val="22"/>
                <w:szCs w:val="22"/>
              </w:rPr>
              <w:t>51 (16.0%)</w:t>
            </w:r>
          </w:p>
        </w:tc>
        <w:tc>
          <w:tcPr>
            <w:tcW w:w="731" w:type="pct"/>
            <w:shd w:val="clear" w:color="auto" w:fill="FFFFFF"/>
            <w:noWrap/>
            <w:vAlign w:val="center"/>
          </w:tcPr>
          <w:p w14:paraId="40D54051" w14:textId="77777777" w:rsidR="002D6D33" w:rsidRPr="00ED0923" w:rsidRDefault="002D6D33" w:rsidP="002D6D33">
            <w:pPr>
              <w:jc w:val="both"/>
              <w:rPr>
                <w:sz w:val="22"/>
                <w:szCs w:val="22"/>
              </w:rPr>
            </w:pPr>
            <w:r w:rsidRPr="00ED0923">
              <w:rPr>
                <w:sz w:val="22"/>
                <w:szCs w:val="22"/>
              </w:rPr>
              <w:t>87 (16.4%)</w:t>
            </w:r>
          </w:p>
        </w:tc>
        <w:tc>
          <w:tcPr>
            <w:tcW w:w="486" w:type="pct"/>
            <w:shd w:val="clear" w:color="auto" w:fill="FFFFFF"/>
            <w:noWrap/>
            <w:vAlign w:val="center"/>
          </w:tcPr>
          <w:p w14:paraId="50114D99" w14:textId="77777777" w:rsidR="002D6D33" w:rsidRPr="00ED0923" w:rsidRDefault="002D6D33" w:rsidP="002D6D33">
            <w:pPr>
              <w:jc w:val="both"/>
              <w:rPr>
                <w:sz w:val="22"/>
                <w:szCs w:val="22"/>
              </w:rPr>
            </w:pPr>
          </w:p>
        </w:tc>
      </w:tr>
      <w:tr w:rsidR="002D6D33" w:rsidRPr="00ED0923" w14:paraId="1C535C1E" w14:textId="77777777" w:rsidTr="002F7CEE">
        <w:trPr>
          <w:trHeight w:val="270"/>
        </w:trPr>
        <w:tc>
          <w:tcPr>
            <w:tcW w:w="1542" w:type="pct"/>
            <w:shd w:val="clear" w:color="auto" w:fill="FFFFFF"/>
            <w:noWrap/>
            <w:vAlign w:val="center"/>
          </w:tcPr>
          <w:p w14:paraId="5F4B076D" w14:textId="77777777" w:rsidR="002D6D33" w:rsidRPr="00ED0923" w:rsidRDefault="002D6D33" w:rsidP="002D6D33">
            <w:pPr>
              <w:jc w:val="both"/>
              <w:rPr>
                <w:sz w:val="22"/>
                <w:szCs w:val="22"/>
              </w:rPr>
            </w:pPr>
            <w:r w:rsidRPr="00ED0923">
              <w:rPr>
                <w:sz w:val="22"/>
                <w:szCs w:val="22"/>
              </w:rPr>
              <w:t xml:space="preserve">  black</w:t>
            </w:r>
          </w:p>
        </w:tc>
        <w:tc>
          <w:tcPr>
            <w:tcW w:w="783" w:type="pct"/>
            <w:shd w:val="clear" w:color="auto" w:fill="FFFFFF"/>
            <w:noWrap/>
            <w:vAlign w:val="center"/>
          </w:tcPr>
          <w:p w14:paraId="5C68DA21" w14:textId="77777777" w:rsidR="002D6D33" w:rsidRPr="00ED0923" w:rsidRDefault="002D6D33" w:rsidP="002D6D33">
            <w:pPr>
              <w:jc w:val="both"/>
              <w:rPr>
                <w:sz w:val="22"/>
                <w:szCs w:val="22"/>
              </w:rPr>
            </w:pPr>
            <w:r w:rsidRPr="00ED0923">
              <w:rPr>
                <w:sz w:val="22"/>
                <w:szCs w:val="22"/>
              </w:rPr>
              <w:t>388 (36.9%)</w:t>
            </w:r>
          </w:p>
        </w:tc>
        <w:tc>
          <w:tcPr>
            <w:tcW w:w="729" w:type="pct"/>
            <w:shd w:val="clear" w:color="auto" w:fill="FFFFFF"/>
            <w:noWrap/>
            <w:vAlign w:val="center"/>
          </w:tcPr>
          <w:p w14:paraId="3D8515A8" w14:textId="77777777" w:rsidR="002D6D33" w:rsidRPr="00ED0923" w:rsidRDefault="002D6D33" w:rsidP="002D6D33">
            <w:pPr>
              <w:jc w:val="both"/>
              <w:rPr>
                <w:sz w:val="22"/>
                <w:szCs w:val="22"/>
              </w:rPr>
            </w:pPr>
            <w:r w:rsidRPr="00ED0923">
              <w:rPr>
                <w:sz w:val="22"/>
                <w:szCs w:val="22"/>
              </w:rPr>
              <w:t>93 (44.5%)</w:t>
            </w:r>
          </w:p>
        </w:tc>
        <w:tc>
          <w:tcPr>
            <w:tcW w:w="729" w:type="pct"/>
            <w:shd w:val="clear" w:color="auto" w:fill="FFFFFF"/>
            <w:noWrap/>
            <w:vAlign w:val="center"/>
          </w:tcPr>
          <w:p w14:paraId="359C9690" w14:textId="77777777" w:rsidR="002D6D33" w:rsidRPr="00ED0923" w:rsidRDefault="002D6D33" w:rsidP="002D6D33">
            <w:pPr>
              <w:jc w:val="both"/>
              <w:rPr>
                <w:sz w:val="22"/>
                <w:szCs w:val="22"/>
              </w:rPr>
            </w:pPr>
            <w:r w:rsidRPr="00ED0923">
              <w:rPr>
                <w:sz w:val="22"/>
                <w:szCs w:val="22"/>
              </w:rPr>
              <w:t>121(37.9%)</w:t>
            </w:r>
          </w:p>
        </w:tc>
        <w:tc>
          <w:tcPr>
            <w:tcW w:w="731" w:type="pct"/>
            <w:shd w:val="clear" w:color="auto" w:fill="FFFFFF"/>
            <w:noWrap/>
            <w:vAlign w:val="center"/>
          </w:tcPr>
          <w:p w14:paraId="5348E58F" w14:textId="77777777" w:rsidR="002D6D33" w:rsidRPr="00ED0923" w:rsidRDefault="002D6D33" w:rsidP="002D6D33">
            <w:pPr>
              <w:jc w:val="both"/>
              <w:rPr>
                <w:sz w:val="22"/>
                <w:szCs w:val="22"/>
              </w:rPr>
            </w:pPr>
            <w:r w:rsidRPr="00ED0923">
              <w:rPr>
                <w:sz w:val="22"/>
                <w:szCs w:val="22"/>
              </w:rPr>
              <w:t>234(44.2%)</w:t>
            </w:r>
          </w:p>
        </w:tc>
        <w:tc>
          <w:tcPr>
            <w:tcW w:w="486" w:type="pct"/>
            <w:shd w:val="clear" w:color="auto" w:fill="FFFFFF"/>
            <w:noWrap/>
            <w:vAlign w:val="center"/>
          </w:tcPr>
          <w:p w14:paraId="2E9B7139" w14:textId="77777777" w:rsidR="002D6D33" w:rsidRPr="00ED0923" w:rsidRDefault="002D6D33" w:rsidP="002D6D33">
            <w:pPr>
              <w:jc w:val="both"/>
              <w:rPr>
                <w:sz w:val="22"/>
                <w:szCs w:val="22"/>
              </w:rPr>
            </w:pPr>
          </w:p>
        </w:tc>
      </w:tr>
      <w:tr w:rsidR="002D6D33" w:rsidRPr="00ED0923" w14:paraId="49E8394A" w14:textId="77777777" w:rsidTr="002F7CEE">
        <w:trPr>
          <w:trHeight w:val="270"/>
        </w:trPr>
        <w:tc>
          <w:tcPr>
            <w:tcW w:w="1542" w:type="pct"/>
            <w:shd w:val="clear" w:color="auto" w:fill="FFFFFF"/>
            <w:noWrap/>
            <w:vAlign w:val="center"/>
          </w:tcPr>
          <w:p w14:paraId="4501BE85" w14:textId="77777777" w:rsidR="002D6D33" w:rsidRPr="00ED0923" w:rsidRDefault="002D6D33" w:rsidP="002D6D33">
            <w:pPr>
              <w:jc w:val="both"/>
              <w:rPr>
                <w:sz w:val="22"/>
                <w:szCs w:val="22"/>
              </w:rPr>
            </w:pPr>
            <w:r w:rsidRPr="00ED0923">
              <w:rPr>
                <w:sz w:val="22"/>
                <w:szCs w:val="22"/>
              </w:rPr>
              <w:t xml:space="preserve">  other</w:t>
            </w:r>
          </w:p>
        </w:tc>
        <w:tc>
          <w:tcPr>
            <w:tcW w:w="783" w:type="pct"/>
            <w:shd w:val="clear" w:color="auto" w:fill="FFFFFF"/>
            <w:noWrap/>
            <w:vAlign w:val="center"/>
          </w:tcPr>
          <w:p w14:paraId="6EF6C310" w14:textId="77777777" w:rsidR="002D6D33" w:rsidRPr="00ED0923" w:rsidRDefault="002D6D33" w:rsidP="002D6D33">
            <w:pPr>
              <w:jc w:val="both"/>
              <w:rPr>
                <w:sz w:val="22"/>
                <w:szCs w:val="22"/>
              </w:rPr>
            </w:pPr>
            <w:r w:rsidRPr="00ED0923">
              <w:rPr>
                <w:sz w:val="22"/>
                <w:szCs w:val="22"/>
              </w:rPr>
              <w:t>555 (52.8%)</w:t>
            </w:r>
          </w:p>
        </w:tc>
        <w:tc>
          <w:tcPr>
            <w:tcW w:w="729" w:type="pct"/>
            <w:shd w:val="clear" w:color="auto" w:fill="FFFFFF"/>
            <w:noWrap/>
            <w:vAlign w:val="center"/>
          </w:tcPr>
          <w:p w14:paraId="0BA63959" w14:textId="77777777" w:rsidR="002D6D33" w:rsidRPr="00ED0923" w:rsidRDefault="002D6D33" w:rsidP="002D6D33">
            <w:pPr>
              <w:jc w:val="both"/>
              <w:rPr>
                <w:sz w:val="22"/>
                <w:szCs w:val="22"/>
              </w:rPr>
            </w:pPr>
            <w:r w:rsidRPr="00ED0923">
              <w:rPr>
                <w:sz w:val="22"/>
                <w:szCs w:val="22"/>
              </w:rPr>
              <w:t>95 (45.5%)</w:t>
            </w:r>
          </w:p>
        </w:tc>
        <w:tc>
          <w:tcPr>
            <w:tcW w:w="729" w:type="pct"/>
            <w:shd w:val="clear" w:color="auto" w:fill="FFFFFF"/>
            <w:noWrap/>
            <w:vAlign w:val="center"/>
          </w:tcPr>
          <w:p w14:paraId="02F2BA9E" w14:textId="77777777" w:rsidR="002D6D33" w:rsidRPr="00ED0923" w:rsidRDefault="002D6D33" w:rsidP="002D6D33">
            <w:pPr>
              <w:jc w:val="both"/>
              <w:rPr>
                <w:sz w:val="22"/>
                <w:szCs w:val="22"/>
              </w:rPr>
            </w:pPr>
            <w:r w:rsidRPr="00ED0923">
              <w:rPr>
                <w:sz w:val="22"/>
                <w:szCs w:val="22"/>
              </w:rPr>
              <w:t>147(46.1%)</w:t>
            </w:r>
          </w:p>
        </w:tc>
        <w:tc>
          <w:tcPr>
            <w:tcW w:w="731" w:type="pct"/>
            <w:shd w:val="clear" w:color="auto" w:fill="FFFFFF"/>
            <w:noWrap/>
            <w:vAlign w:val="center"/>
          </w:tcPr>
          <w:p w14:paraId="34EDE41D" w14:textId="77777777" w:rsidR="002D6D33" w:rsidRPr="00ED0923" w:rsidRDefault="002D6D33" w:rsidP="002D6D33">
            <w:pPr>
              <w:jc w:val="both"/>
              <w:rPr>
                <w:sz w:val="22"/>
                <w:szCs w:val="22"/>
              </w:rPr>
            </w:pPr>
            <w:r w:rsidRPr="00ED0923">
              <w:rPr>
                <w:sz w:val="22"/>
                <w:szCs w:val="22"/>
              </w:rPr>
              <w:t>209(39.4%)</w:t>
            </w:r>
          </w:p>
        </w:tc>
        <w:tc>
          <w:tcPr>
            <w:tcW w:w="486" w:type="pct"/>
            <w:shd w:val="clear" w:color="auto" w:fill="FFFFFF"/>
            <w:noWrap/>
            <w:vAlign w:val="center"/>
          </w:tcPr>
          <w:p w14:paraId="25550687" w14:textId="77777777" w:rsidR="002D6D33" w:rsidRPr="00ED0923" w:rsidRDefault="002D6D33" w:rsidP="002D6D33">
            <w:pPr>
              <w:jc w:val="both"/>
              <w:rPr>
                <w:sz w:val="22"/>
                <w:szCs w:val="22"/>
              </w:rPr>
            </w:pPr>
          </w:p>
        </w:tc>
      </w:tr>
      <w:tr w:rsidR="002D6D33" w:rsidRPr="00ED0923" w14:paraId="386BC94F" w14:textId="77777777" w:rsidTr="002F7CEE">
        <w:trPr>
          <w:trHeight w:val="270"/>
        </w:trPr>
        <w:tc>
          <w:tcPr>
            <w:tcW w:w="1542" w:type="pct"/>
            <w:shd w:val="clear" w:color="auto" w:fill="FFFFFF"/>
            <w:noWrap/>
            <w:vAlign w:val="center"/>
          </w:tcPr>
          <w:p w14:paraId="6CEABA53" w14:textId="77777777" w:rsidR="002D6D33" w:rsidRPr="00ED0923" w:rsidRDefault="002D6D33" w:rsidP="002D6D33">
            <w:pPr>
              <w:jc w:val="both"/>
              <w:rPr>
                <w:sz w:val="22"/>
                <w:szCs w:val="22"/>
              </w:rPr>
            </w:pPr>
            <w:r w:rsidRPr="00ED0923">
              <w:rPr>
                <w:sz w:val="22"/>
                <w:szCs w:val="22"/>
              </w:rPr>
              <w:t>Mean year of schooling (SD)</w:t>
            </w:r>
          </w:p>
        </w:tc>
        <w:tc>
          <w:tcPr>
            <w:tcW w:w="783" w:type="pct"/>
            <w:shd w:val="clear" w:color="auto" w:fill="FFFFFF"/>
            <w:noWrap/>
            <w:vAlign w:val="center"/>
          </w:tcPr>
          <w:p w14:paraId="03FAF851" w14:textId="77777777" w:rsidR="002D6D33" w:rsidRPr="00ED0923" w:rsidRDefault="002D6D33" w:rsidP="002D6D33">
            <w:pPr>
              <w:jc w:val="both"/>
              <w:rPr>
                <w:sz w:val="22"/>
                <w:szCs w:val="22"/>
              </w:rPr>
            </w:pPr>
            <w:r w:rsidRPr="00ED0923">
              <w:rPr>
                <w:sz w:val="22"/>
                <w:szCs w:val="22"/>
              </w:rPr>
              <w:t>9.24 (3.69)</w:t>
            </w:r>
          </w:p>
        </w:tc>
        <w:tc>
          <w:tcPr>
            <w:tcW w:w="729" w:type="pct"/>
            <w:shd w:val="clear" w:color="auto" w:fill="FFFFFF"/>
            <w:noWrap/>
            <w:vAlign w:val="center"/>
          </w:tcPr>
          <w:p w14:paraId="4E150022" w14:textId="77777777" w:rsidR="002D6D33" w:rsidRPr="00ED0923" w:rsidRDefault="002D6D33" w:rsidP="002D6D33">
            <w:pPr>
              <w:jc w:val="both"/>
              <w:rPr>
                <w:sz w:val="22"/>
                <w:szCs w:val="22"/>
              </w:rPr>
            </w:pPr>
            <w:r w:rsidRPr="00ED0923">
              <w:rPr>
                <w:sz w:val="22"/>
                <w:szCs w:val="22"/>
              </w:rPr>
              <w:t>10.4 (3.42)</w:t>
            </w:r>
          </w:p>
        </w:tc>
        <w:tc>
          <w:tcPr>
            <w:tcW w:w="729" w:type="pct"/>
            <w:shd w:val="clear" w:color="auto" w:fill="FFFFFF"/>
            <w:noWrap/>
            <w:vAlign w:val="center"/>
          </w:tcPr>
          <w:p w14:paraId="16B307D9" w14:textId="77777777" w:rsidR="002D6D33" w:rsidRPr="00ED0923" w:rsidRDefault="002D6D33" w:rsidP="002D6D33">
            <w:pPr>
              <w:jc w:val="both"/>
              <w:rPr>
                <w:sz w:val="22"/>
                <w:szCs w:val="22"/>
              </w:rPr>
            </w:pPr>
            <w:r w:rsidRPr="00ED0923">
              <w:rPr>
                <w:sz w:val="22"/>
                <w:szCs w:val="22"/>
              </w:rPr>
              <w:t>10.3 (3.57)</w:t>
            </w:r>
          </w:p>
        </w:tc>
        <w:tc>
          <w:tcPr>
            <w:tcW w:w="731" w:type="pct"/>
            <w:shd w:val="clear" w:color="auto" w:fill="FFFFFF"/>
            <w:noWrap/>
            <w:vAlign w:val="center"/>
          </w:tcPr>
          <w:p w14:paraId="6D40CE18" w14:textId="77777777" w:rsidR="002D6D33" w:rsidRPr="00ED0923" w:rsidRDefault="002D6D33" w:rsidP="002D6D33">
            <w:pPr>
              <w:jc w:val="both"/>
              <w:rPr>
                <w:sz w:val="22"/>
                <w:szCs w:val="22"/>
              </w:rPr>
            </w:pPr>
            <w:r w:rsidRPr="00ED0923">
              <w:rPr>
                <w:sz w:val="22"/>
                <w:szCs w:val="22"/>
              </w:rPr>
              <w:t>10.9 (3.35)</w:t>
            </w:r>
          </w:p>
        </w:tc>
        <w:tc>
          <w:tcPr>
            <w:tcW w:w="486" w:type="pct"/>
            <w:shd w:val="clear" w:color="auto" w:fill="FFFFFF"/>
            <w:noWrap/>
            <w:vAlign w:val="center"/>
          </w:tcPr>
          <w:p w14:paraId="6A2F6CBF" w14:textId="77777777" w:rsidR="002D6D33" w:rsidRPr="00ED0923" w:rsidRDefault="002D6D33" w:rsidP="002D6D33">
            <w:pPr>
              <w:jc w:val="both"/>
              <w:rPr>
                <w:sz w:val="22"/>
                <w:szCs w:val="22"/>
              </w:rPr>
            </w:pPr>
            <w:r w:rsidRPr="00ED0923">
              <w:rPr>
                <w:sz w:val="22"/>
                <w:szCs w:val="22"/>
              </w:rPr>
              <w:t>&lt;0.001</w:t>
            </w:r>
          </w:p>
        </w:tc>
      </w:tr>
      <w:tr w:rsidR="002D6D33" w:rsidRPr="00ED0923" w14:paraId="331BF88E" w14:textId="77777777" w:rsidTr="002F7CEE">
        <w:trPr>
          <w:trHeight w:val="270"/>
        </w:trPr>
        <w:tc>
          <w:tcPr>
            <w:tcW w:w="1542" w:type="pct"/>
            <w:shd w:val="clear" w:color="auto" w:fill="FFFFFF"/>
            <w:noWrap/>
            <w:vAlign w:val="center"/>
          </w:tcPr>
          <w:p w14:paraId="1A16A116" w14:textId="77777777" w:rsidR="002D6D33" w:rsidRPr="00ED0923" w:rsidRDefault="002D6D33" w:rsidP="002D6D33">
            <w:pPr>
              <w:jc w:val="both"/>
              <w:rPr>
                <w:sz w:val="22"/>
                <w:szCs w:val="22"/>
              </w:rPr>
            </w:pPr>
            <w:r w:rsidRPr="00ED0923">
              <w:rPr>
                <w:sz w:val="22"/>
                <w:szCs w:val="22"/>
              </w:rPr>
              <w:t>Marital status</w:t>
            </w:r>
          </w:p>
        </w:tc>
        <w:tc>
          <w:tcPr>
            <w:tcW w:w="783" w:type="pct"/>
            <w:shd w:val="clear" w:color="auto" w:fill="FFFFFF"/>
            <w:noWrap/>
            <w:vAlign w:val="center"/>
          </w:tcPr>
          <w:p w14:paraId="712E841C" w14:textId="77777777" w:rsidR="002D6D33" w:rsidRPr="00ED0923" w:rsidRDefault="002D6D33" w:rsidP="002D6D33">
            <w:pPr>
              <w:jc w:val="both"/>
              <w:rPr>
                <w:sz w:val="22"/>
                <w:szCs w:val="22"/>
              </w:rPr>
            </w:pPr>
          </w:p>
        </w:tc>
        <w:tc>
          <w:tcPr>
            <w:tcW w:w="729" w:type="pct"/>
            <w:shd w:val="clear" w:color="auto" w:fill="FFFFFF"/>
            <w:noWrap/>
            <w:vAlign w:val="center"/>
          </w:tcPr>
          <w:p w14:paraId="208F0C14" w14:textId="77777777" w:rsidR="002D6D33" w:rsidRPr="00ED0923" w:rsidRDefault="002D6D33" w:rsidP="002D6D33">
            <w:pPr>
              <w:jc w:val="both"/>
              <w:rPr>
                <w:sz w:val="22"/>
                <w:szCs w:val="22"/>
              </w:rPr>
            </w:pPr>
          </w:p>
        </w:tc>
        <w:tc>
          <w:tcPr>
            <w:tcW w:w="729" w:type="pct"/>
            <w:shd w:val="clear" w:color="auto" w:fill="FFFFFF"/>
            <w:noWrap/>
            <w:vAlign w:val="center"/>
          </w:tcPr>
          <w:p w14:paraId="2ACF0FF1" w14:textId="77777777" w:rsidR="002D6D33" w:rsidRPr="00ED0923" w:rsidRDefault="002D6D33" w:rsidP="002D6D33">
            <w:pPr>
              <w:jc w:val="both"/>
              <w:rPr>
                <w:sz w:val="22"/>
                <w:szCs w:val="22"/>
              </w:rPr>
            </w:pPr>
          </w:p>
        </w:tc>
        <w:tc>
          <w:tcPr>
            <w:tcW w:w="731" w:type="pct"/>
            <w:shd w:val="clear" w:color="auto" w:fill="FFFFFF"/>
            <w:noWrap/>
            <w:vAlign w:val="center"/>
          </w:tcPr>
          <w:p w14:paraId="64A35EA0" w14:textId="77777777" w:rsidR="002D6D33" w:rsidRPr="00ED0923" w:rsidRDefault="002D6D33" w:rsidP="002D6D33">
            <w:pPr>
              <w:jc w:val="both"/>
              <w:rPr>
                <w:sz w:val="22"/>
                <w:szCs w:val="22"/>
              </w:rPr>
            </w:pPr>
          </w:p>
        </w:tc>
        <w:tc>
          <w:tcPr>
            <w:tcW w:w="486" w:type="pct"/>
            <w:shd w:val="clear" w:color="auto" w:fill="FFFFFF"/>
            <w:noWrap/>
            <w:vAlign w:val="center"/>
          </w:tcPr>
          <w:p w14:paraId="6A72044D" w14:textId="77777777" w:rsidR="002D6D33" w:rsidRPr="00ED0923" w:rsidRDefault="002D6D33" w:rsidP="002D6D33">
            <w:pPr>
              <w:jc w:val="both"/>
              <w:rPr>
                <w:sz w:val="22"/>
                <w:szCs w:val="22"/>
              </w:rPr>
            </w:pPr>
            <w:r w:rsidRPr="00ED0923">
              <w:rPr>
                <w:sz w:val="22"/>
                <w:szCs w:val="22"/>
              </w:rPr>
              <w:t>.</w:t>
            </w:r>
          </w:p>
        </w:tc>
      </w:tr>
      <w:tr w:rsidR="002D6D33" w:rsidRPr="00ED0923" w14:paraId="7C9440DC" w14:textId="77777777" w:rsidTr="002F7CEE">
        <w:trPr>
          <w:trHeight w:val="270"/>
        </w:trPr>
        <w:tc>
          <w:tcPr>
            <w:tcW w:w="1542" w:type="pct"/>
            <w:shd w:val="clear" w:color="auto" w:fill="FFFFFF"/>
            <w:noWrap/>
            <w:vAlign w:val="center"/>
          </w:tcPr>
          <w:p w14:paraId="531B3FB8" w14:textId="77777777" w:rsidR="002D6D33" w:rsidRPr="00ED0923" w:rsidRDefault="002D6D33" w:rsidP="002D6D33">
            <w:pPr>
              <w:jc w:val="both"/>
              <w:rPr>
                <w:sz w:val="22"/>
                <w:szCs w:val="22"/>
              </w:rPr>
            </w:pPr>
            <w:r w:rsidRPr="00ED0923">
              <w:rPr>
                <w:sz w:val="22"/>
                <w:szCs w:val="22"/>
              </w:rPr>
              <w:t xml:space="preserve">  Married</w:t>
            </w:r>
          </w:p>
        </w:tc>
        <w:tc>
          <w:tcPr>
            <w:tcW w:w="783" w:type="pct"/>
            <w:shd w:val="clear" w:color="auto" w:fill="FFFFFF"/>
            <w:noWrap/>
            <w:vAlign w:val="center"/>
          </w:tcPr>
          <w:p w14:paraId="57685168" w14:textId="77777777" w:rsidR="002D6D33" w:rsidRPr="00ED0923" w:rsidRDefault="002D6D33" w:rsidP="002D6D33">
            <w:pPr>
              <w:jc w:val="both"/>
              <w:rPr>
                <w:sz w:val="22"/>
                <w:szCs w:val="22"/>
              </w:rPr>
            </w:pPr>
            <w:r w:rsidRPr="00ED0923">
              <w:rPr>
                <w:sz w:val="22"/>
                <w:szCs w:val="22"/>
              </w:rPr>
              <w:t>699 (66.4%)</w:t>
            </w:r>
          </w:p>
        </w:tc>
        <w:tc>
          <w:tcPr>
            <w:tcW w:w="729" w:type="pct"/>
            <w:shd w:val="clear" w:color="auto" w:fill="FFFFFF"/>
            <w:noWrap/>
            <w:vAlign w:val="center"/>
          </w:tcPr>
          <w:p w14:paraId="5807DB45" w14:textId="77777777" w:rsidR="002D6D33" w:rsidRPr="00ED0923" w:rsidRDefault="002D6D33" w:rsidP="002D6D33">
            <w:pPr>
              <w:jc w:val="both"/>
              <w:rPr>
                <w:sz w:val="22"/>
                <w:szCs w:val="22"/>
              </w:rPr>
            </w:pPr>
            <w:r w:rsidRPr="00ED0923">
              <w:rPr>
                <w:sz w:val="22"/>
                <w:szCs w:val="22"/>
              </w:rPr>
              <w:t>143 (68.4%)</w:t>
            </w:r>
          </w:p>
        </w:tc>
        <w:tc>
          <w:tcPr>
            <w:tcW w:w="729" w:type="pct"/>
            <w:shd w:val="clear" w:color="auto" w:fill="FFFFFF"/>
            <w:noWrap/>
            <w:vAlign w:val="center"/>
          </w:tcPr>
          <w:p w14:paraId="4073D3C3" w14:textId="77777777" w:rsidR="002D6D33" w:rsidRPr="00ED0923" w:rsidRDefault="002D6D33" w:rsidP="002D6D33">
            <w:pPr>
              <w:jc w:val="both"/>
              <w:rPr>
                <w:sz w:val="22"/>
                <w:szCs w:val="22"/>
              </w:rPr>
            </w:pPr>
            <w:r w:rsidRPr="00ED0923">
              <w:rPr>
                <w:sz w:val="22"/>
                <w:szCs w:val="22"/>
              </w:rPr>
              <w:t>225 (70.5%)</w:t>
            </w:r>
          </w:p>
        </w:tc>
        <w:tc>
          <w:tcPr>
            <w:tcW w:w="731" w:type="pct"/>
            <w:shd w:val="clear" w:color="auto" w:fill="FFFFFF"/>
            <w:noWrap/>
            <w:vAlign w:val="center"/>
          </w:tcPr>
          <w:p w14:paraId="368FB6AF" w14:textId="77777777" w:rsidR="002D6D33" w:rsidRPr="00ED0923" w:rsidRDefault="002D6D33" w:rsidP="002D6D33">
            <w:pPr>
              <w:jc w:val="both"/>
              <w:rPr>
                <w:sz w:val="22"/>
                <w:szCs w:val="22"/>
              </w:rPr>
            </w:pPr>
            <w:r w:rsidRPr="00ED0923">
              <w:rPr>
                <w:sz w:val="22"/>
                <w:szCs w:val="22"/>
              </w:rPr>
              <w:t>379 (71.5%)</w:t>
            </w:r>
          </w:p>
        </w:tc>
        <w:tc>
          <w:tcPr>
            <w:tcW w:w="486" w:type="pct"/>
            <w:shd w:val="clear" w:color="auto" w:fill="FFFFFF"/>
            <w:noWrap/>
            <w:vAlign w:val="center"/>
          </w:tcPr>
          <w:p w14:paraId="42601F0E" w14:textId="77777777" w:rsidR="002D6D33" w:rsidRPr="00ED0923" w:rsidRDefault="002D6D33" w:rsidP="002D6D33">
            <w:pPr>
              <w:jc w:val="both"/>
              <w:rPr>
                <w:sz w:val="22"/>
                <w:szCs w:val="22"/>
              </w:rPr>
            </w:pPr>
          </w:p>
        </w:tc>
      </w:tr>
      <w:tr w:rsidR="002D6D33" w:rsidRPr="00ED0923" w14:paraId="7773C582" w14:textId="77777777" w:rsidTr="002F7CEE">
        <w:trPr>
          <w:trHeight w:val="270"/>
        </w:trPr>
        <w:tc>
          <w:tcPr>
            <w:tcW w:w="1542" w:type="pct"/>
            <w:shd w:val="clear" w:color="auto" w:fill="FFFFFF"/>
            <w:noWrap/>
            <w:vAlign w:val="center"/>
          </w:tcPr>
          <w:p w14:paraId="5E8943E3" w14:textId="77777777" w:rsidR="002D6D33" w:rsidRPr="00ED0923" w:rsidRDefault="002D6D33" w:rsidP="002D6D33">
            <w:pPr>
              <w:jc w:val="both"/>
              <w:rPr>
                <w:sz w:val="22"/>
                <w:szCs w:val="22"/>
              </w:rPr>
            </w:pPr>
            <w:r w:rsidRPr="00ED0923">
              <w:rPr>
                <w:sz w:val="22"/>
                <w:szCs w:val="22"/>
              </w:rPr>
              <w:t xml:space="preserve">  Widowed </w:t>
            </w:r>
          </w:p>
        </w:tc>
        <w:tc>
          <w:tcPr>
            <w:tcW w:w="783" w:type="pct"/>
            <w:shd w:val="clear" w:color="auto" w:fill="FFFFFF"/>
            <w:noWrap/>
            <w:vAlign w:val="center"/>
          </w:tcPr>
          <w:p w14:paraId="52FE40FE" w14:textId="77777777" w:rsidR="002D6D33" w:rsidRPr="00ED0923" w:rsidRDefault="002D6D33" w:rsidP="002D6D33">
            <w:pPr>
              <w:jc w:val="both"/>
              <w:rPr>
                <w:sz w:val="22"/>
                <w:szCs w:val="22"/>
              </w:rPr>
            </w:pPr>
            <w:r w:rsidRPr="00ED0923">
              <w:rPr>
                <w:sz w:val="22"/>
                <w:szCs w:val="22"/>
              </w:rPr>
              <w:t>231 (22.0%)</w:t>
            </w:r>
          </w:p>
        </w:tc>
        <w:tc>
          <w:tcPr>
            <w:tcW w:w="729" w:type="pct"/>
            <w:shd w:val="clear" w:color="auto" w:fill="FFFFFF"/>
            <w:noWrap/>
            <w:vAlign w:val="center"/>
          </w:tcPr>
          <w:p w14:paraId="7F102ED4" w14:textId="77777777" w:rsidR="002D6D33" w:rsidRPr="00ED0923" w:rsidRDefault="002D6D33" w:rsidP="002D6D33">
            <w:pPr>
              <w:jc w:val="both"/>
              <w:rPr>
                <w:sz w:val="22"/>
                <w:szCs w:val="22"/>
              </w:rPr>
            </w:pPr>
            <w:r w:rsidRPr="00ED0923">
              <w:rPr>
                <w:sz w:val="22"/>
                <w:szCs w:val="22"/>
              </w:rPr>
              <w:t>36 (17.2%)</w:t>
            </w:r>
          </w:p>
        </w:tc>
        <w:tc>
          <w:tcPr>
            <w:tcW w:w="729" w:type="pct"/>
            <w:shd w:val="clear" w:color="auto" w:fill="FFFFFF"/>
            <w:noWrap/>
            <w:vAlign w:val="center"/>
          </w:tcPr>
          <w:p w14:paraId="2AE18410" w14:textId="77777777" w:rsidR="002D6D33" w:rsidRPr="00ED0923" w:rsidRDefault="002D6D33" w:rsidP="002D6D33">
            <w:pPr>
              <w:jc w:val="both"/>
              <w:rPr>
                <w:sz w:val="22"/>
                <w:szCs w:val="22"/>
              </w:rPr>
            </w:pPr>
            <w:r w:rsidRPr="00ED0923">
              <w:rPr>
                <w:sz w:val="22"/>
                <w:szCs w:val="22"/>
              </w:rPr>
              <w:t>49 (15.4%)</w:t>
            </w:r>
          </w:p>
        </w:tc>
        <w:tc>
          <w:tcPr>
            <w:tcW w:w="731" w:type="pct"/>
            <w:shd w:val="clear" w:color="auto" w:fill="FFFFFF"/>
            <w:noWrap/>
            <w:vAlign w:val="center"/>
          </w:tcPr>
          <w:p w14:paraId="289415D5" w14:textId="77777777" w:rsidR="002D6D33" w:rsidRPr="00ED0923" w:rsidRDefault="002D6D33" w:rsidP="002D6D33">
            <w:pPr>
              <w:jc w:val="both"/>
              <w:rPr>
                <w:sz w:val="22"/>
                <w:szCs w:val="22"/>
              </w:rPr>
            </w:pPr>
            <w:r w:rsidRPr="00ED0923">
              <w:rPr>
                <w:sz w:val="22"/>
                <w:szCs w:val="22"/>
              </w:rPr>
              <w:t>67 (12.6%)</w:t>
            </w:r>
          </w:p>
        </w:tc>
        <w:tc>
          <w:tcPr>
            <w:tcW w:w="486" w:type="pct"/>
            <w:shd w:val="clear" w:color="auto" w:fill="FFFFFF"/>
            <w:noWrap/>
            <w:vAlign w:val="center"/>
          </w:tcPr>
          <w:p w14:paraId="541652D0" w14:textId="77777777" w:rsidR="002D6D33" w:rsidRPr="00ED0923" w:rsidRDefault="002D6D33" w:rsidP="002D6D33">
            <w:pPr>
              <w:jc w:val="both"/>
              <w:rPr>
                <w:sz w:val="22"/>
                <w:szCs w:val="22"/>
              </w:rPr>
            </w:pPr>
          </w:p>
        </w:tc>
      </w:tr>
      <w:tr w:rsidR="002D6D33" w:rsidRPr="00ED0923" w14:paraId="72A855D1" w14:textId="77777777" w:rsidTr="002F7CEE">
        <w:trPr>
          <w:trHeight w:val="270"/>
        </w:trPr>
        <w:tc>
          <w:tcPr>
            <w:tcW w:w="1542" w:type="pct"/>
            <w:shd w:val="clear" w:color="auto" w:fill="FFFFFF"/>
            <w:noWrap/>
            <w:vAlign w:val="center"/>
          </w:tcPr>
          <w:p w14:paraId="2F6D052A" w14:textId="77777777" w:rsidR="002D6D33" w:rsidRPr="00ED0923" w:rsidRDefault="002D6D33" w:rsidP="002D6D33">
            <w:pPr>
              <w:jc w:val="both"/>
              <w:rPr>
                <w:sz w:val="22"/>
                <w:szCs w:val="22"/>
              </w:rPr>
            </w:pPr>
            <w:r w:rsidRPr="00ED0923">
              <w:rPr>
                <w:sz w:val="22"/>
                <w:szCs w:val="22"/>
              </w:rPr>
              <w:t xml:space="preserve">  Divorced </w:t>
            </w:r>
          </w:p>
        </w:tc>
        <w:tc>
          <w:tcPr>
            <w:tcW w:w="783" w:type="pct"/>
            <w:shd w:val="clear" w:color="auto" w:fill="FFFFFF"/>
            <w:noWrap/>
            <w:vAlign w:val="center"/>
          </w:tcPr>
          <w:p w14:paraId="046BD655" w14:textId="77777777" w:rsidR="002D6D33" w:rsidRPr="00ED0923" w:rsidRDefault="002D6D33" w:rsidP="002D6D33">
            <w:pPr>
              <w:jc w:val="both"/>
              <w:rPr>
                <w:sz w:val="22"/>
                <w:szCs w:val="22"/>
              </w:rPr>
            </w:pPr>
            <w:r w:rsidRPr="00ED0923">
              <w:rPr>
                <w:sz w:val="22"/>
                <w:szCs w:val="22"/>
              </w:rPr>
              <w:t>44 (4.18%)</w:t>
            </w:r>
          </w:p>
        </w:tc>
        <w:tc>
          <w:tcPr>
            <w:tcW w:w="729" w:type="pct"/>
            <w:shd w:val="clear" w:color="auto" w:fill="FFFFFF"/>
            <w:noWrap/>
            <w:vAlign w:val="center"/>
          </w:tcPr>
          <w:p w14:paraId="380A2597" w14:textId="77777777" w:rsidR="002D6D33" w:rsidRPr="00ED0923" w:rsidRDefault="002D6D33" w:rsidP="002D6D33">
            <w:pPr>
              <w:jc w:val="both"/>
              <w:rPr>
                <w:sz w:val="22"/>
                <w:szCs w:val="22"/>
              </w:rPr>
            </w:pPr>
            <w:r w:rsidRPr="00ED0923">
              <w:rPr>
                <w:sz w:val="22"/>
                <w:szCs w:val="22"/>
              </w:rPr>
              <w:t>12 (5.74%)</w:t>
            </w:r>
          </w:p>
        </w:tc>
        <w:tc>
          <w:tcPr>
            <w:tcW w:w="729" w:type="pct"/>
            <w:shd w:val="clear" w:color="auto" w:fill="FFFFFF"/>
            <w:noWrap/>
            <w:vAlign w:val="center"/>
          </w:tcPr>
          <w:p w14:paraId="7850D9DC" w14:textId="77777777" w:rsidR="002D6D33" w:rsidRPr="00ED0923" w:rsidRDefault="002D6D33" w:rsidP="002D6D33">
            <w:pPr>
              <w:jc w:val="both"/>
              <w:rPr>
                <w:sz w:val="22"/>
                <w:szCs w:val="22"/>
              </w:rPr>
            </w:pPr>
            <w:r w:rsidRPr="00ED0923">
              <w:rPr>
                <w:sz w:val="22"/>
                <w:szCs w:val="22"/>
              </w:rPr>
              <w:t>13 (4.08%)</w:t>
            </w:r>
          </w:p>
        </w:tc>
        <w:tc>
          <w:tcPr>
            <w:tcW w:w="731" w:type="pct"/>
            <w:shd w:val="clear" w:color="auto" w:fill="FFFFFF"/>
            <w:noWrap/>
            <w:vAlign w:val="center"/>
          </w:tcPr>
          <w:p w14:paraId="50C2BC1D" w14:textId="77777777" w:rsidR="002D6D33" w:rsidRPr="00ED0923" w:rsidRDefault="002D6D33" w:rsidP="002D6D33">
            <w:pPr>
              <w:jc w:val="both"/>
              <w:rPr>
                <w:sz w:val="22"/>
                <w:szCs w:val="22"/>
              </w:rPr>
            </w:pPr>
            <w:r w:rsidRPr="00ED0923">
              <w:rPr>
                <w:sz w:val="22"/>
                <w:szCs w:val="22"/>
              </w:rPr>
              <w:t>12 (9.76%)</w:t>
            </w:r>
          </w:p>
        </w:tc>
        <w:tc>
          <w:tcPr>
            <w:tcW w:w="486" w:type="pct"/>
            <w:shd w:val="clear" w:color="auto" w:fill="FFFFFF"/>
            <w:noWrap/>
            <w:vAlign w:val="center"/>
          </w:tcPr>
          <w:p w14:paraId="59B793A7" w14:textId="77777777" w:rsidR="002D6D33" w:rsidRPr="00ED0923" w:rsidRDefault="002D6D33" w:rsidP="002D6D33">
            <w:pPr>
              <w:jc w:val="both"/>
              <w:rPr>
                <w:sz w:val="22"/>
                <w:szCs w:val="22"/>
              </w:rPr>
            </w:pPr>
          </w:p>
        </w:tc>
      </w:tr>
      <w:tr w:rsidR="002D6D33" w:rsidRPr="00ED0923" w14:paraId="0BE7704B" w14:textId="77777777" w:rsidTr="002F7CEE">
        <w:trPr>
          <w:trHeight w:val="270"/>
        </w:trPr>
        <w:tc>
          <w:tcPr>
            <w:tcW w:w="1542" w:type="pct"/>
            <w:shd w:val="clear" w:color="auto" w:fill="FFFFFF"/>
            <w:noWrap/>
            <w:vAlign w:val="center"/>
          </w:tcPr>
          <w:p w14:paraId="3EF11F33" w14:textId="77777777" w:rsidR="002D6D33" w:rsidRPr="00ED0923" w:rsidRDefault="002D6D33" w:rsidP="002D6D33">
            <w:pPr>
              <w:jc w:val="both"/>
              <w:rPr>
                <w:sz w:val="22"/>
                <w:szCs w:val="22"/>
              </w:rPr>
            </w:pPr>
            <w:r w:rsidRPr="00ED0923">
              <w:rPr>
                <w:sz w:val="22"/>
                <w:szCs w:val="22"/>
              </w:rPr>
              <w:t xml:space="preserve">  Separated </w:t>
            </w:r>
          </w:p>
        </w:tc>
        <w:tc>
          <w:tcPr>
            <w:tcW w:w="783" w:type="pct"/>
            <w:shd w:val="clear" w:color="auto" w:fill="FFFFFF"/>
            <w:noWrap/>
            <w:vAlign w:val="center"/>
          </w:tcPr>
          <w:p w14:paraId="4346AD23" w14:textId="77777777" w:rsidR="002D6D33" w:rsidRPr="00ED0923" w:rsidRDefault="002D6D33" w:rsidP="002D6D33">
            <w:pPr>
              <w:jc w:val="both"/>
              <w:rPr>
                <w:sz w:val="22"/>
                <w:szCs w:val="22"/>
              </w:rPr>
            </w:pPr>
            <w:r w:rsidRPr="00ED0923">
              <w:rPr>
                <w:sz w:val="22"/>
                <w:szCs w:val="22"/>
              </w:rPr>
              <w:t>24 (2.28%)</w:t>
            </w:r>
          </w:p>
        </w:tc>
        <w:tc>
          <w:tcPr>
            <w:tcW w:w="729" w:type="pct"/>
            <w:shd w:val="clear" w:color="auto" w:fill="FFFFFF"/>
            <w:noWrap/>
            <w:vAlign w:val="center"/>
          </w:tcPr>
          <w:p w14:paraId="096CE7BE" w14:textId="77777777" w:rsidR="002D6D33" w:rsidRPr="00ED0923" w:rsidRDefault="002D6D33" w:rsidP="002D6D33">
            <w:pPr>
              <w:jc w:val="both"/>
              <w:rPr>
                <w:sz w:val="22"/>
                <w:szCs w:val="22"/>
              </w:rPr>
            </w:pPr>
            <w:r w:rsidRPr="00ED0923">
              <w:rPr>
                <w:sz w:val="22"/>
                <w:szCs w:val="22"/>
              </w:rPr>
              <w:t>7 (3.35%)</w:t>
            </w:r>
          </w:p>
        </w:tc>
        <w:tc>
          <w:tcPr>
            <w:tcW w:w="729" w:type="pct"/>
            <w:shd w:val="clear" w:color="auto" w:fill="FFFFFF"/>
            <w:noWrap/>
            <w:vAlign w:val="center"/>
          </w:tcPr>
          <w:p w14:paraId="32031733" w14:textId="77777777" w:rsidR="002D6D33" w:rsidRPr="00ED0923" w:rsidRDefault="002D6D33" w:rsidP="002D6D33">
            <w:pPr>
              <w:jc w:val="both"/>
              <w:rPr>
                <w:sz w:val="22"/>
                <w:szCs w:val="22"/>
              </w:rPr>
            </w:pPr>
            <w:r w:rsidRPr="00ED0923">
              <w:rPr>
                <w:sz w:val="22"/>
                <w:szCs w:val="22"/>
              </w:rPr>
              <w:t>10 (3.13%)</w:t>
            </w:r>
          </w:p>
        </w:tc>
        <w:tc>
          <w:tcPr>
            <w:tcW w:w="731" w:type="pct"/>
            <w:shd w:val="clear" w:color="auto" w:fill="FFFFFF"/>
            <w:noWrap/>
            <w:vAlign w:val="center"/>
          </w:tcPr>
          <w:p w14:paraId="3B9DDBB1" w14:textId="77777777" w:rsidR="002D6D33" w:rsidRPr="00ED0923" w:rsidRDefault="002D6D33" w:rsidP="002D6D33">
            <w:pPr>
              <w:jc w:val="both"/>
              <w:rPr>
                <w:sz w:val="22"/>
                <w:szCs w:val="22"/>
              </w:rPr>
            </w:pPr>
            <w:r w:rsidRPr="00ED0923">
              <w:rPr>
                <w:sz w:val="22"/>
                <w:szCs w:val="22"/>
              </w:rPr>
              <w:t>11 (2.08%)</w:t>
            </w:r>
          </w:p>
        </w:tc>
        <w:tc>
          <w:tcPr>
            <w:tcW w:w="486" w:type="pct"/>
            <w:shd w:val="clear" w:color="auto" w:fill="FFFFFF"/>
            <w:noWrap/>
            <w:vAlign w:val="center"/>
          </w:tcPr>
          <w:p w14:paraId="3201D8D0" w14:textId="77777777" w:rsidR="002D6D33" w:rsidRPr="00ED0923" w:rsidRDefault="002D6D33" w:rsidP="002D6D33">
            <w:pPr>
              <w:jc w:val="both"/>
              <w:rPr>
                <w:sz w:val="22"/>
                <w:szCs w:val="22"/>
              </w:rPr>
            </w:pPr>
          </w:p>
        </w:tc>
      </w:tr>
      <w:tr w:rsidR="002D6D33" w:rsidRPr="00ED0923" w14:paraId="266BEA2F" w14:textId="77777777" w:rsidTr="002F7CEE">
        <w:trPr>
          <w:trHeight w:val="270"/>
        </w:trPr>
        <w:tc>
          <w:tcPr>
            <w:tcW w:w="1542" w:type="pct"/>
            <w:shd w:val="clear" w:color="auto" w:fill="FFFFFF"/>
            <w:noWrap/>
            <w:vAlign w:val="center"/>
          </w:tcPr>
          <w:p w14:paraId="48CBA0B9" w14:textId="77777777" w:rsidR="002D6D33" w:rsidRPr="00ED0923" w:rsidRDefault="002D6D33" w:rsidP="002D6D33">
            <w:pPr>
              <w:jc w:val="both"/>
              <w:rPr>
                <w:sz w:val="22"/>
                <w:szCs w:val="22"/>
              </w:rPr>
            </w:pPr>
            <w:r w:rsidRPr="00ED0923">
              <w:rPr>
                <w:sz w:val="22"/>
                <w:szCs w:val="22"/>
              </w:rPr>
              <w:t xml:space="preserve">  Never married</w:t>
            </w:r>
          </w:p>
        </w:tc>
        <w:tc>
          <w:tcPr>
            <w:tcW w:w="783" w:type="pct"/>
            <w:shd w:val="clear" w:color="auto" w:fill="FFFFFF"/>
            <w:noWrap/>
            <w:vAlign w:val="center"/>
          </w:tcPr>
          <w:p w14:paraId="46E1AAE1" w14:textId="77777777" w:rsidR="002D6D33" w:rsidRPr="00ED0923" w:rsidRDefault="002D6D33" w:rsidP="002D6D33">
            <w:pPr>
              <w:jc w:val="both"/>
              <w:rPr>
                <w:sz w:val="22"/>
                <w:szCs w:val="22"/>
              </w:rPr>
            </w:pPr>
            <w:r w:rsidRPr="00ED0923">
              <w:rPr>
                <w:sz w:val="22"/>
                <w:szCs w:val="22"/>
              </w:rPr>
              <w:t>53 (5.04%)</w:t>
            </w:r>
          </w:p>
        </w:tc>
        <w:tc>
          <w:tcPr>
            <w:tcW w:w="729" w:type="pct"/>
            <w:shd w:val="clear" w:color="auto" w:fill="FFFFFF"/>
            <w:noWrap/>
            <w:vAlign w:val="center"/>
          </w:tcPr>
          <w:p w14:paraId="5A655320" w14:textId="77777777" w:rsidR="002D6D33" w:rsidRPr="00ED0923" w:rsidRDefault="002D6D33" w:rsidP="002D6D33">
            <w:pPr>
              <w:jc w:val="both"/>
              <w:rPr>
                <w:sz w:val="22"/>
                <w:szCs w:val="22"/>
              </w:rPr>
            </w:pPr>
            <w:r w:rsidRPr="00ED0923">
              <w:rPr>
                <w:sz w:val="22"/>
                <w:szCs w:val="22"/>
              </w:rPr>
              <w:t>9 (4.31%)</w:t>
            </w:r>
          </w:p>
        </w:tc>
        <w:tc>
          <w:tcPr>
            <w:tcW w:w="729" w:type="pct"/>
            <w:shd w:val="clear" w:color="auto" w:fill="FFFFFF"/>
            <w:noWrap/>
            <w:vAlign w:val="center"/>
          </w:tcPr>
          <w:p w14:paraId="7C32E736" w14:textId="77777777" w:rsidR="002D6D33" w:rsidRPr="00ED0923" w:rsidRDefault="002D6D33" w:rsidP="002D6D33">
            <w:pPr>
              <w:jc w:val="both"/>
              <w:rPr>
                <w:sz w:val="22"/>
                <w:szCs w:val="22"/>
              </w:rPr>
            </w:pPr>
            <w:r w:rsidRPr="00ED0923">
              <w:rPr>
                <w:sz w:val="22"/>
                <w:szCs w:val="22"/>
              </w:rPr>
              <w:t>21 (6.58%)</w:t>
            </w:r>
          </w:p>
        </w:tc>
        <w:tc>
          <w:tcPr>
            <w:tcW w:w="731" w:type="pct"/>
            <w:shd w:val="clear" w:color="auto" w:fill="FFFFFF"/>
            <w:noWrap/>
            <w:vAlign w:val="center"/>
          </w:tcPr>
          <w:p w14:paraId="47DCF4BC" w14:textId="77777777" w:rsidR="002D6D33" w:rsidRPr="00ED0923" w:rsidRDefault="002D6D33" w:rsidP="002D6D33">
            <w:pPr>
              <w:jc w:val="both"/>
              <w:rPr>
                <w:sz w:val="22"/>
                <w:szCs w:val="22"/>
              </w:rPr>
            </w:pPr>
            <w:r w:rsidRPr="00ED0923">
              <w:rPr>
                <w:sz w:val="22"/>
                <w:szCs w:val="22"/>
              </w:rPr>
              <w:t>32 (6.04%)</w:t>
            </w:r>
          </w:p>
        </w:tc>
        <w:tc>
          <w:tcPr>
            <w:tcW w:w="486" w:type="pct"/>
            <w:shd w:val="clear" w:color="auto" w:fill="FFFFFF"/>
            <w:noWrap/>
            <w:vAlign w:val="center"/>
          </w:tcPr>
          <w:p w14:paraId="02A59C5A" w14:textId="77777777" w:rsidR="002D6D33" w:rsidRPr="00ED0923" w:rsidRDefault="002D6D33" w:rsidP="002D6D33">
            <w:pPr>
              <w:jc w:val="both"/>
              <w:rPr>
                <w:sz w:val="22"/>
                <w:szCs w:val="22"/>
              </w:rPr>
            </w:pPr>
          </w:p>
        </w:tc>
      </w:tr>
      <w:tr w:rsidR="002D6D33" w:rsidRPr="00ED0923" w14:paraId="12D05DEA" w14:textId="77777777" w:rsidTr="002F7CEE">
        <w:trPr>
          <w:trHeight w:val="270"/>
        </w:trPr>
        <w:tc>
          <w:tcPr>
            <w:tcW w:w="1542" w:type="pct"/>
            <w:shd w:val="clear" w:color="auto" w:fill="FFFFFF"/>
            <w:noWrap/>
            <w:vAlign w:val="center"/>
          </w:tcPr>
          <w:p w14:paraId="1503DD7A" w14:textId="77777777" w:rsidR="002D6D33" w:rsidRPr="00ED0923" w:rsidRDefault="002D6D33" w:rsidP="002D6D33">
            <w:pPr>
              <w:jc w:val="both"/>
              <w:rPr>
                <w:sz w:val="22"/>
                <w:szCs w:val="22"/>
              </w:rPr>
            </w:pPr>
            <w:r w:rsidRPr="00ED0923">
              <w:rPr>
                <w:sz w:val="22"/>
                <w:szCs w:val="22"/>
              </w:rPr>
              <w:t xml:space="preserve">  Blank </w:t>
            </w:r>
          </w:p>
        </w:tc>
        <w:tc>
          <w:tcPr>
            <w:tcW w:w="783" w:type="pct"/>
            <w:shd w:val="clear" w:color="auto" w:fill="FFFFFF"/>
            <w:noWrap/>
            <w:vAlign w:val="center"/>
          </w:tcPr>
          <w:p w14:paraId="505457FA" w14:textId="77777777" w:rsidR="002D6D33" w:rsidRPr="00ED0923" w:rsidRDefault="002D6D33" w:rsidP="002D6D33">
            <w:pPr>
              <w:jc w:val="both"/>
              <w:rPr>
                <w:sz w:val="22"/>
                <w:szCs w:val="22"/>
              </w:rPr>
            </w:pPr>
            <w:r w:rsidRPr="00ED0923">
              <w:rPr>
                <w:sz w:val="22"/>
                <w:szCs w:val="22"/>
              </w:rPr>
              <w:t>1 (0.10%)</w:t>
            </w:r>
          </w:p>
        </w:tc>
        <w:tc>
          <w:tcPr>
            <w:tcW w:w="729" w:type="pct"/>
            <w:shd w:val="clear" w:color="auto" w:fill="FFFFFF"/>
            <w:noWrap/>
            <w:vAlign w:val="center"/>
          </w:tcPr>
          <w:p w14:paraId="4EBFF6AC" w14:textId="77777777" w:rsidR="002D6D33" w:rsidRPr="00ED0923" w:rsidRDefault="002D6D33" w:rsidP="002D6D33">
            <w:pPr>
              <w:jc w:val="both"/>
              <w:rPr>
                <w:sz w:val="22"/>
                <w:szCs w:val="22"/>
              </w:rPr>
            </w:pPr>
            <w:r w:rsidRPr="00ED0923">
              <w:rPr>
                <w:sz w:val="22"/>
                <w:szCs w:val="22"/>
              </w:rPr>
              <w:t>2 (0.96%)</w:t>
            </w:r>
          </w:p>
        </w:tc>
        <w:tc>
          <w:tcPr>
            <w:tcW w:w="729" w:type="pct"/>
            <w:shd w:val="clear" w:color="auto" w:fill="FFFFFF"/>
            <w:noWrap/>
            <w:vAlign w:val="center"/>
          </w:tcPr>
          <w:p w14:paraId="3567110E" w14:textId="77777777" w:rsidR="002D6D33" w:rsidRPr="00ED0923" w:rsidRDefault="002D6D33" w:rsidP="002D6D33">
            <w:pPr>
              <w:jc w:val="both"/>
              <w:rPr>
                <w:sz w:val="22"/>
                <w:szCs w:val="22"/>
              </w:rPr>
            </w:pPr>
            <w:r w:rsidRPr="00ED0923">
              <w:rPr>
                <w:sz w:val="22"/>
                <w:szCs w:val="22"/>
              </w:rPr>
              <w:t>1 (0.31%)</w:t>
            </w:r>
          </w:p>
        </w:tc>
        <w:tc>
          <w:tcPr>
            <w:tcW w:w="731" w:type="pct"/>
            <w:shd w:val="clear" w:color="auto" w:fill="FFFFFF"/>
            <w:noWrap/>
            <w:vAlign w:val="center"/>
          </w:tcPr>
          <w:p w14:paraId="4E06277E" w14:textId="77777777" w:rsidR="002D6D33" w:rsidRPr="00ED0923" w:rsidRDefault="002D6D33" w:rsidP="002D6D33">
            <w:pPr>
              <w:jc w:val="both"/>
              <w:rPr>
                <w:sz w:val="22"/>
                <w:szCs w:val="22"/>
              </w:rPr>
            </w:pPr>
            <w:r w:rsidRPr="00ED0923">
              <w:rPr>
                <w:sz w:val="22"/>
                <w:szCs w:val="22"/>
              </w:rPr>
              <w:t>5 (0.94%)</w:t>
            </w:r>
          </w:p>
        </w:tc>
        <w:tc>
          <w:tcPr>
            <w:tcW w:w="486" w:type="pct"/>
            <w:shd w:val="clear" w:color="auto" w:fill="FFFFFF"/>
            <w:noWrap/>
            <w:vAlign w:val="center"/>
          </w:tcPr>
          <w:p w14:paraId="5D25EBB5" w14:textId="77777777" w:rsidR="002D6D33" w:rsidRPr="00ED0923" w:rsidRDefault="002D6D33" w:rsidP="002D6D33">
            <w:pPr>
              <w:jc w:val="both"/>
              <w:rPr>
                <w:sz w:val="22"/>
                <w:szCs w:val="22"/>
              </w:rPr>
            </w:pPr>
          </w:p>
        </w:tc>
      </w:tr>
      <w:tr w:rsidR="002D6D33" w:rsidRPr="00ED0923" w14:paraId="25B74F6B" w14:textId="77777777" w:rsidTr="002F7CEE">
        <w:trPr>
          <w:trHeight w:val="270"/>
        </w:trPr>
        <w:tc>
          <w:tcPr>
            <w:tcW w:w="1542" w:type="pct"/>
            <w:shd w:val="clear" w:color="auto" w:fill="FFFFFF"/>
            <w:noWrap/>
            <w:vAlign w:val="center"/>
          </w:tcPr>
          <w:p w14:paraId="5EAFA7B5" w14:textId="77777777" w:rsidR="002D6D33" w:rsidRPr="00ED0923" w:rsidRDefault="002D6D33" w:rsidP="002D6D33">
            <w:pPr>
              <w:jc w:val="both"/>
              <w:rPr>
                <w:sz w:val="22"/>
                <w:szCs w:val="22"/>
              </w:rPr>
            </w:pPr>
            <w:r w:rsidRPr="00ED0923">
              <w:rPr>
                <w:sz w:val="22"/>
                <w:szCs w:val="22"/>
              </w:rPr>
              <w:t>Mean BMI (SD)</w:t>
            </w:r>
          </w:p>
        </w:tc>
        <w:tc>
          <w:tcPr>
            <w:tcW w:w="783" w:type="pct"/>
            <w:shd w:val="clear" w:color="auto" w:fill="FFFFFF"/>
            <w:noWrap/>
            <w:vAlign w:val="center"/>
          </w:tcPr>
          <w:p w14:paraId="13C1B275" w14:textId="77777777" w:rsidR="002D6D33" w:rsidRPr="00ED0923" w:rsidRDefault="002D6D33" w:rsidP="002D6D33">
            <w:pPr>
              <w:jc w:val="both"/>
              <w:rPr>
                <w:sz w:val="22"/>
                <w:szCs w:val="22"/>
              </w:rPr>
            </w:pPr>
            <w:r w:rsidRPr="00ED0923">
              <w:rPr>
                <w:sz w:val="22"/>
                <w:szCs w:val="22"/>
              </w:rPr>
              <w:t>26.3 (5.58)</w:t>
            </w:r>
          </w:p>
        </w:tc>
        <w:tc>
          <w:tcPr>
            <w:tcW w:w="729" w:type="pct"/>
            <w:shd w:val="clear" w:color="auto" w:fill="FFFFFF"/>
            <w:noWrap/>
            <w:vAlign w:val="center"/>
          </w:tcPr>
          <w:p w14:paraId="08E7F4F8" w14:textId="77777777" w:rsidR="002D6D33" w:rsidRPr="00ED0923" w:rsidRDefault="002D6D33" w:rsidP="002D6D33">
            <w:pPr>
              <w:jc w:val="both"/>
              <w:rPr>
                <w:sz w:val="22"/>
                <w:szCs w:val="22"/>
              </w:rPr>
            </w:pPr>
            <w:r w:rsidRPr="00ED0923">
              <w:rPr>
                <w:sz w:val="22"/>
                <w:szCs w:val="22"/>
              </w:rPr>
              <w:t>25.8 (4.51)</w:t>
            </w:r>
          </w:p>
        </w:tc>
        <w:tc>
          <w:tcPr>
            <w:tcW w:w="729" w:type="pct"/>
            <w:shd w:val="clear" w:color="auto" w:fill="FFFFFF"/>
            <w:noWrap/>
            <w:vAlign w:val="center"/>
          </w:tcPr>
          <w:p w14:paraId="45AD85FE" w14:textId="77777777" w:rsidR="002D6D33" w:rsidRPr="00ED0923" w:rsidRDefault="002D6D33" w:rsidP="002D6D33">
            <w:pPr>
              <w:jc w:val="both"/>
              <w:rPr>
                <w:sz w:val="22"/>
                <w:szCs w:val="22"/>
              </w:rPr>
            </w:pPr>
            <w:r w:rsidRPr="00ED0923">
              <w:rPr>
                <w:sz w:val="22"/>
                <w:szCs w:val="22"/>
              </w:rPr>
              <w:t>26.1 (5.21)</w:t>
            </w:r>
          </w:p>
        </w:tc>
        <w:tc>
          <w:tcPr>
            <w:tcW w:w="731" w:type="pct"/>
            <w:shd w:val="clear" w:color="auto" w:fill="FFFFFF"/>
            <w:noWrap/>
            <w:vAlign w:val="center"/>
          </w:tcPr>
          <w:p w14:paraId="2CFA2815" w14:textId="77777777" w:rsidR="002D6D33" w:rsidRPr="00ED0923" w:rsidRDefault="002D6D33" w:rsidP="002D6D33">
            <w:pPr>
              <w:jc w:val="both"/>
              <w:rPr>
                <w:sz w:val="22"/>
                <w:szCs w:val="22"/>
              </w:rPr>
            </w:pPr>
            <w:r w:rsidRPr="00ED0923">
              <w:rPr>
                <w:sz w:val="22"/>
                <w:szCs w:val="22"/>
              </w:rPr>
              <w:t>25.1 (4.17)</w:t>
            </w:r>
          </w:p>
        </w:tc>
        <w:tc>
          <w:tcPr>
            <w:tcW w:w="486" w:type="pct"/>
            <w:shd w:val="clear" w:color="auto" w:fill="FFFFFF"/>
            <w:noWrap/>
            <w:vAlign w:val="center"/>
          </w:tcPr>
          <w:p w14:paraId="13E07A0F" w14:textId="77777777" w:rsidR="002D6D33" w:rsidRPr="00ED0923" w:rsidRDefault="002D6D33" w:rsidP="002D6D33">
            <w:pPr>
              <w:jc w:val="both"/>
              <w:rPr>
                <w:sz w:val="22"/>
                <w:szCs w:val="22"/>
              </w:rPr>
            </w:pPr>
            <w:r w:rsidRPr="00ED0923">
              <w:rPr>
                <w:sz w:val="22"/>
                <w:szCs w:val="22"/>
              </w:rPr>
              <w:t>&lt;0.001</w:t>
            </w:r>
          </w:p>
        </w:tc>
      </w:tr>
      <w:tr w:rsidR="002D6D33" w:rsidRPr="00ED0923" w14:paraId="6696F31F" w14:textId="77777777" w:rsidTr="002F7CEE">
        <w:trPr>
          <w:trHeight w:val="270"/>
        </w:trPr>
        <w:tc>
          <w:tcPr>
            <w:tcW w:w="1542" w:type="pct"/>
            <w:shd w:val="clear" w:color="auto" w:fill="FFFFFF"/>
            <w:noWrap/>
            <w:vAlign w:val="center"/>
          </w:tcPr>
          <w:p w14:paraId="046E77AB" w14:textId="77777777" w:rsidR="002D6D33" w:rsidRPr="00ED0923" w:rsidRDefault="002D6D33" w:rsidP="002D6D33">
            <w:pPr>
              <w:jc w:val="both"/>
              <w:rPr>
                <w:sz w:val="22"/>
                <w:szCs w:val="22"/>
              </w:rPr>
            </w:pPr>
            <w:r w:rsidRPr="00ED0923">
              <w:rPr>
                <w:sz w:val="22"/>
                <w:szCs w:val="22"/>
              </w:rPr>
              <w:t>Mean smoke per day (SD)</w:t>
            </w:r>
          </w:p>
        </w:tc>
        <w:tc>
          <w:tcPr>
            <w:tcW w:w="783" w:type="pct"/>
            <w:shd w:val="clear" w:color="auto" w:fill="FFFFFF"/>
            <w:noWrap/>
            <w:vAlign w:val="center"/>
          </w:tcPr>
          <w:p w14:paraId="1CF18CA7" w14:textId="77777777" w:rsidR="002D6D33" w:rsidRPr="00ED0923" w:rsidRDefault="002D6D33" w:rsidP="002D6D33">
            <w:pPr>
              <w:jc w:val="both"/>
              <w:rPr>
                <w:sz w:val="22"/>
                <w:szCs w:val="22"/>
              </w:rPr>
            </w:pPr>
            <w:r w:rsidRPr="00ED0923">
              <w:rPr>
                <w:sz w:val="22"/>
                <w:szCs w:val="22"/>
              </w:rPr>
              <w:t>5.60 (11.8)</w:t>
            </w:r>
          </w:p>
        </w:tc>
        <w:tc>
          <w:tcPr>
            <w:tcW w:w="729" w:type="pct"/>
            <w:shd w:val="clear" w:color="auto" w:fill="FFFFFF"/>
            <w:noWrap/>
            <w:vAlign w:val="center"/>
          </w:tcPr>
          <w:p w14:paraId="79AD989D" w14:textId="77777777" w:rsidR="002D6D33" w:rsidRPr="00ED0923" w:rsidRDefault="002D6D33" w:rsidP="002D6D33">
            <w:pPr>
              <w:jc w:val="both"/>
              <w:rPr>
                <w:sz w:val="22"/>
                <w:szCs w:val="22"/>
              </w:rPr>
            </w:pPr>
            <w:r w:rsidRPr="00ED0923">
              <w:rPr>
                <w:sz w:val="22"/>
                <w:szCs w:val="22"/>
              </w:rPr>
              <w:t>6.74 (11.9)</w:t>
            </w:r>
          </w:p>
        </w:tc>
        <w:tc>
          <w:tcPr>
            <w:tcW w:w="729" w:type="pct"/>
            <w:shd w:val="clear" w:color="auto" w:fill="FFFFFF"/>
            <w:noWrap/>
            <w:vAlign w:val="center"/>
          </w:tcPr>
          <w:p w14:paraId="13C4B6D9" w14:textId="77777777" w:rsidR="002D6D33" w:rsidRPr="00ED0923" w:rsidRDefault="002D6D33" w:rsidP="002D6D33">
            <w:pPr>
              <w:jc w:val="both"/>
              <w:rPr>
                <w:sz w:val="22"/>
                <w:szCs w:val="22"/>
              </w:rPr>
            </w:pPr>
            <w:r w:rsidRPr="00ED0923">
              <w:rPr>
                <w:sz w:val="22"/>
                <w:szCs w:val="22"/>
              </w:rPr>
              <w:t>9.78 (15.2)</w:t>
            </w:r>
          </w:p>
        </w:tc>
        <w:tc>
          <w:tcPr>
            <w:tcW w:w="731" w:type="pct"/>
            <w:shd w:val="clear" w:color="auto" w:fill="FFFFFF"/>
            <w:noWrap/>
            <w:vAlign w:val="center"/>
          </w:tcPr>
          <w:p w14:paraId="7CA76763" w14:textId="77777777" w:rsidR="002D6D33" w:rsidRPr="00ED0923" w:rsidRDefault="002D6D33" w:rsidP="002D6D33">
            <w:pPr>
              <w:jc w:val="both"/>
              <w:rPr>
                <w:sz w:val="22"/>
                <w:szCs w:val="22"/>
              </w:rPr>
            </w:pPr>
            <w:r w:rsidRPr="00ED0923">
              <w:rPr>
                <w:sz w:val="22"/>
                <w:szCs w:val="22"/>
              </w:rPr>
              <w:t>12.0 (15.0)</w:t>
            </w:r>
          </w:p>
        </w:tc>
        <w:tc>
          <w:tcPr>
            <w:tcW w:w="486" w:type="pct"/>
            <w:shd w:val="clear" w:color="auto" w:fill="FFFFFF"/>
            <w:noWrap/>
            <w:vAlign w:val="center"/>
          </w:tcPr>
          <w:p w14:paraId="3D3648E3" w14:textId="77777777" w:rsidR="002D6D33" w:rsidRPr="00ED0923" w:rsidRDefault="002D6D33" w:rsidP="002D6D33">
            <w:pPr>
              <w:jc w:val="both"/>
              <w:rPr>
                <w:sz w:val="22"/>
                <w:szCs w:val="22"/>
              </w:rPr>
            </w:pPr>
            <w:r w:rsidRPr="00ED0923">
              <w:rPr>
                <w:sz w:val="22"/>
                <w:szCs w:val="22"/>
              </w:rPr>
              <w:t>&lt;0.001</w:t>
            </w:r>
          </w:p>
        </w:tc>
      </w:tr>
      <w:tr w:rsidR="002D6D33" w:rsidRPr="00ED0923" w14:paraId="7498D790" w14:textId="77777777" w:rsidTr="002F7CEE">
        <w:trPr>
          <w:trHeight w:val="270"/>
        </w:trPr>
        <w:tc>
          <w:tcPr>
            <w:tcW w:w="1542" w:type="pct"/>
            <w:shd w:val="clear" w:color="auto" w:fill="FFFFFF"/>
            <w:noWrap/>
            <w:vAlign w:val="center"/>
          </w:tcPr>
          <w:p w14:paraId="47F9D11D" w14:textId="77777777" w:rsidR="002D6D33" w:rsidRPr="00ED0923" w:rsidRDefault="002D6D33" w:rsidP="002D6D33">
            <w:pPr>
              <w:jc w:val="both"/>
              <w:rPr>
                <w:sz w:val="22"/>
                <w:szCs w:val="22"/>
                <w:highlight w:val="yellow"/>
              </w:rPr>
            </w:pPr>
            <w:r w:rsidRPr="00ED0923">
              <w:rPr>
                <w:sz w:val="22"/>
                <w:szCs w:val="22"/>
                <w:highlight w:val="yellow"/>
              </w:rPr>
              <w:t>Size of place</w:t>
            </w:r>
          </w:p>
        </w:tc>
        <w:tc>
          <w:tcPr>
            <w:tcW w:w="783" w:type="pct"/>
            <w:shd w:val="clear" w:color="auto" w:fill="FFFFFF"/>
            <w:noWrap/>
            <w:vAlign w:val="center"/>
          </w:tcPr>
          <w:p w14:paraId="55D8321B" w14:textId="77777777" w:rsidR="002D6D33" w:rsidRPr="00ED0923" w:rsidRDefault="002D6D33" w:rsidP="002D6D33">
            <w:pPr>
              <w:jc w:val="both"/>
              <w:rPr>
                <w:sz w:val="22"/>
                <w:szCs w:val="22"/>
                <w:highlight w:val="yellow"/>
              </w:rPr>
            </w:pPr>
            <w:r w:rsidRPr="00ED0923">
              <w:rPr>
                <w:sz w:val="22"/>
                <w:szCs w:val="22"/>
                <w:highlight w:val="yellow"/>
              </w:rPr>
              <w:t>5.70 (2.57)</w:t>
            </w:r>
          </w:p>
        </w:tc>
        <w:tc>
          <w:tcPr>
            <w:tcW w:w="729" w:type="pct"/>
            <w:shd w:val="clear" w:color="auto" w:fill="FFFFFF"/>
            <w:noWrap/>
            <w:vAlign w:val="center"/>
          </w:tcPr>
          <w:p w14:paraId="62071737" w14:textId="77777777" w:rsidR="002D6D33" w:rsidRPr="00ED0923" w:rsidRDefault="002D6D33" w:rsidP="002D6D33">
            <w:pPr>
              <w:jc w:val="both"/>
              <w:rPr>
                <w:sz w:val="22"/>
                <w:szCs w:val="22"/>
                <w:highlight w:val="yellow"/>
              </w:rPr>
            </w:pPr>
            <w:r w:rsidRPr="00ED0923">
              <w:rPr>
                <w:sz w:val="22"/>
                <w:szCs w:val="22"/>
                <w:highlight w:val="yellow"/>
              </w:rPr>
              <w:t>5.07 (2.70)</w:t>
            </w:r>
          </w:p>
        </w:tc>
        <w:tc>
          <w:tcPr>
            <w:tcW w:w="729" w:type="pct"/>
            <w:shd w:val="clear" w:color="auto" w:fill="FFFFFF"/>
            <w:noWrap/>
            <w:vAlign w:val="center"/>
          </w:tcPr>
          <w:p w14:paraId="451277EA" w14:textId="77777777" w:rsidR="002D6D33" w:rsidRPr="00ED0923" w:rsidRDefault="002D6D33" w:rsidP="002D6D33">
            <w:pPr>
              <w:jc w:val="both"/>
              <w:rPr>
                <w:sz w:val="22"/>
                <w:szCs w:val="22"/>
                <w:highlight w:val="yellow"/>
              </w:rPr>
            </w:pPr>
            <w:r w:rsidRPr="00ED0923">
              <w:rPr>
                <w:sz w:val="22"/>
                <w:szCs w:val="22"/>
                <w:highlight w:val="yellow"/>
              </w:rPr>
              <w:t>4.53 (2.69)</w:t>
            </w:r>
          </w:p>
        </w:tc>
        <w:tc>
          <w:tcPr>
            <w:tcW w:w="731" w:type="pct"/>
            <w:shd w:val="clear" w:color="auto" w:fill="FFFFFF"/>
            <w:noWrap/>
            <w:vAlign w:val="center"/>
          </w:tcPr>
          <w:p w14:paraId="708F2B2A" w14:textId="77777777" w:rsidR="002D6D33" w:rsidRPr="00ED0923" w:rsidRDefault="002D6D33" w:rsidP="002D6D33">
            <w:pPr>
              <w:jc w:val="both"/>
              <w:rPr>
                <w:sz w:val="22"/>
                <w:szCs w:val="22"/>
                <w:highlight w:val="yellow"/>
              </w:rPr>
            </w:pPr>
            <w:r w:rsidRPr="00ED0923">
              <w:rPr>
                <w:sz w:val="22"/>
                <w:szCs w:val="22"/>
                <w:highlight w:val="yellow"/>
              </w:rPr>
              <w:t>4.44 (2.69)</w:t>
            </w:r>
          </w:p>
        </w:tc>
        <w:tc>
          <w:tcPr>
            <w:tcW w:w="486" w:type="pct"/>
            <w:shd w:val="clear" w:color="auto" w:fill="FFFFFF"/>
            <w:noWrap/>
            <w:vAlign w:val="center"/>
          </w:tcPr>
          <w:p w14:paraId="3F77DE52" w14:textId="77777777" w:rsidR="002D6D33" w:rsidRPr="00ED0923" w:rsidRDefault="002D6D33" w:rsidP="002D6D33">
            <w:pPr>
              <w:jc w:val="both"/>
              <w:rPr>
                <w:sz w:val="22"/>
                <w:szCs w:val="22"/>
              </w:rPr>
            </w:pPr>
            <w:r w:rsidRPr="00ED0923">
              <w:rPr>
                <w:sz w:val="22"/>
                <w:szCs w:val="22"/>
                <w:highlight w:val="yellow"/>
              </w:rPr>
              <w:t>&lt;0.001</w:t>
            </w:r>
          </w:p>
        </w:tc>
      </w:tr>
      <w:tr w:rsidR="002D6D33" w:rsidRPr="00ED0923" w14:paraId="77B96112" w14:textId="77777777" w:rsidTr="002F7CEE">
        <w:trPr>
          <w:trHeight w:val="270"/>
        </w:trPr>
        <w:tc>
          <w:tcPr>
            <w:tcW w:w="1542" w:type="pct"/>
            <w:shd w:val="clear" w:color="auto" w:fill="FFFFFF"/>
            <w:noWrap/>
            <w:vAlign w:val="center"/>
          </w:tcPr>
          <w:p w14:paraId="26929F1B" w14:textId="77777777" w:rsidR="002D6D33" w:rsidRPr="00ED0923" w:rsidRDefault="002D6D33" w:rsidP="002D6D33">
            <w:pPr>
              <w:jc w:val="both"/>
              <w:rPr>
                <w:sz w:val="22"/>
                <w:szCs w:val="22"/>
              </w:rPr>
            </w:pPr>
            <w:commentRangeStart w:id="2"/>
            <w:r w:rsidRPr="00ED0923">
              <w:rPr>
                <w:sz w:val="22"/>
                <w:szCs w:val="22"/>
              </w:rPr>
              <w:t xml:space="preserve">Standard Metropolitan </w:t>
            </w:r>
          </w:p>
          <w:p w14:paraId="61EEA8F2" w14:textId="77777777" w:rsidR="002D6D33" w:rsidRPr="00ED0923" w:rsidRDefault="002D6D33" w:rsidP="002D6D33">
            <w:pPr>
              <w:jc w:val="both"/>
              <w:rPr>
                <w:sz w:val="22"/>
                <w:szCs w:val="22"/>
              </w:rPr>
            </w:pPr>
            <w:r w:rsidRPr="00ED0923">
              <w:rPr>
                <w:sz w:val="22"/>
                <w:szCs w:val="22"/>
              </w:rPr>
              <w:t xml:space="preserve">Statistical Area </w:t>
            </w:r>
            <w:commentRangeEnd w:id="2"/>
            <w:r w:rsidRPr="00ED0923">
              <w:rPr>
                <w:rStyle w:val="CommentReference"/>
                <w:sz w:val="22"/>
                <w:szCs w:val="22"/>
              </w:rPr>
              <w:commentReference w:id="2"/>
            </w:r>
          </w:p>
        </w:tc>
        <w:tc>
          <w:tcPr>
            <w:tcW w:w="783" w:type="pct"/>
            <w:shd w:val="clear" w:color="auto" w:fill="FFFFFF"/>
            <w:noWrap/>
            <w:vAlign w:val="center"/>
          </w:tcPr>
          <w:p w14:paraId="1BD43976" w14:textId="77777777" w:rsidR="002D6D33" w:rsidRPr="00ED0923" w:rsidRDefault="002D6D33" w:rsidP="002D6D33">
            <w:pPr>
              <w:jc w:val="both"/>
              <w:rPr>
                <w:sz w:val="22"/>
                <w:szCs w:val="22"/>
              </w:rPr>
            </w:pPr>
          </w:p>
        </w:tc>
        <w:tc>
          <w:tcPr>
            <w:tcW w:w="729" w:type="pct"/>
            <w:shd w:val="clear" w:color="auto" w:fill="FFFFFF"/>
            <w:noWrap/>
            <w:vAlign w:val="center"/>
          </w:tcPr>
          <w:p w14:paraId="37AD2CC6" w14:textId="77777777" w:rsidR="002D6D33" w:rsidRPr="00ED0923" w:rsidRDefault="002D6D33" w:rsidP="002D6D33">
            <w:pPr>
              <w:jc w:val="both"/>
              <w:rPr>
                <w:sz w:val="22"/>
                <w:szCs w:val="22"/>
              </w:rPr>
            </w:pPr>
          </w:p>
        </w:tc>
        <w:tc>
          <w:tcPr>
            <w:tcW w:w="729" w:type="pct"/>
            <w:shd w:val="clear" w:color="auto" w:fill="FFFFFF"/>
            <w:noWrap/>
            <w:vAlign w:val="center"/>
          </w:tcPr>
          <w:p w14:paraId="099B77A8" w14:textId="77777777" w:rsidR="002D6D33" w:rsidRPr="00ED0923" w:rsidRDefault="002D6D33" w:rsidP="002D6D33">
            <w:pPr>
              <w:jc w:val="both"/>
              <w:rPr>
                <w:sz w:val="22"/>
                <w:szCs w:val="22"/>
              </w:rPr>
            </w:pPr>
          </w:p>
        </w:tc>
        <w:tc>
          <w:tcPr>
            <w:tcW w:w="731" w:type="pct"/>
            <w:shd w:val="clear" w:color="auto" w:fill="FFFFFF"/>
            <w:noWrap/>
            <w:vAlign w:val="center"/>
          </w:tcPr>
          <w:p w14:paraId="2C4A25B3" w14:textId="77777777" w:rsidR="002D6D33" w:rsidRPr="00ED0923" w:rsidRDefault="002D6D33" w:rsidP="002D6D33">
            <w:pPr>
              <w:jc w:val="both"/>
              <w:rPr>
                <w:sz w:val="22"/>
                <w:szCs w:val="22"/>
              </w:rPr>
            </w:pPr>
          </w:p>
        </w:tc>
        <w:tc>
          <w:tcPr>
            <w:tcW w:w="486" w:type="pct"/>
            <w:shd w:val="clear" w:color="auto" w:fill="FFFFFF"/>
            <w:noWrap/>
            <w:vAlign w:val="center"/>
          </w:tcPr>
          <w:p w14:paraId="33950A50" w14:textId="77777777" w:rsidR="002D6D33" w:rsidRPr="00ED0923" w:rsidRDefault="002D6D33" w:rsidP="002D6D33">
            <w:pPr>
              <w:jc w:val="both"/>
              <w:rPr>
                <w:sz w:val="22"/>
                <w:szCs w:val="22"/>
              </w:rPr>
            </w:pPr>
            <w:r w:rsidRPr="00ED0923">
              <w:rPr>
                <w:sz w:val="22"/>
                <w:szCs w:val="22"/>
              </w:rPr>
              <w:t>&lt;0.001</w:t>
            </w:r>
          </w:p>
        </w:tc>
      </w:tr>
      <w:tr w:rsidR="002D6D33" w:rsidRPr="00ED0923" w14:paraId="622290BB" w14:textId="77777777" w:rsidTr="002F7CEE">
        <w:trPr>
          <w:trHeight w:val="270"/>
        </w:trPr>
        <w:tc>
          <w:tcPr>
            <w:tcW w:w="1542" w:type="pct"/>
            <w:shd w:val="clear" w:color="auto" w:fill="FFFFFF"/>
            <w:noWrap/>
            <w:vAlign w:val="center"/>
          </w:tcPr>
          <w:p w14:paraId="1DCDF0B8" w14:textId="77777777" w:rsidR="002D6D33" w:rsidRPr="00ED0923" w:rsidRDefault="002D6D33" w:rsidP="002D6D33">
            <w:pPr>
              <w:jc w:val="both"/>
              <w:rPr>
                <w:sz w:val="22"/>
                <w:szCs w:val="22"/>
              </w:rPr>
            </w:pPr>
            <w:r w:rsidRPr="00ED0923">
              <w:rPr>
                <w:sz w:val="22"/>
                <w:szCs w:val="22"/>
              </w:rPr>
              <w:t xml:space="preserve">  In central city </w:t>
            </w:r>
          </w:p>
        </w:tc>
        <w:tc>
          <w:tcPr>
            <w:tcW w:w="783" w:type="pct"/>
            <w:shd w:val="clear" w:color="auto" w:fill="FFFFFF"/>
            <w:noWrap/>
            <w:vAlign w:val="center"/>
          </w:tcPr>
          <w:p w14:paraId="00987C05" w14:textId="77777777" w:rsidR="002D6D33" w:rsidRPr="00ED0923" w:rsidRDefault="002D6D33" w:rsidP="002D6D33">
            <w:pPr>
              <w:jc w:val="both"/>
              <w:rPr>
                <w:sz w:val="22"/>
                <w:szCs w:val="22"/>
              </w:rPr>
            </w:pPr>
            <w:r w:rsidRPr="00ED0923">
              <w:rPr>
                <w:sz w:val="22"/>
                <w:szCs w:val="22"/>
              </w:rPr>
              <w:t>265 (25.2%)</w:t>
            </w:r>
          </w:p>
        </w:tc>
        <w:tc>
          <w:tcPr>
            <w:tcW w:w="729" w:type="pct"/>
            <w:shd w:val="clear" w:color="auto" w:fill="FFFFFF"/>
            <w:noWrap/>
            <w:vAlign w:val="center"/>
          </w:tcPr>
          <w:p w14:paraId="74DA6FA1" w14:textId="77777777" w:rsidR="002D6D33" w:rsidRPr="00ED0923" w:rsidRDefault="002D6D33" w:rsidP="002D6D33">
            <w:pPr>
              <w:jc w:val="both"/>
              <w:rPr>
                <w:sz w:val="22"/>
                <w:szCs w:val="22"/>
              </w:rPr>
            </w:pPr>
            <w:r w:rsidRPr="00ED0923">
              <w:rPr>
                <w:sz w:val="22"/>
                <w:szCs w:val="22"/>
              </w:rPr>
              <w:t>59 (28.2%)</w:t>
            </w:r>
          </w:p>
        </w:tc>
        <w:tc>
          <w:tcPr>
            <w:tcW w:w="729" w:type="pct"/>
            <w:shd w:val="clear" w:color="auto" w:fill="FFFFFF"/>
            <w:noWrap/>
            <w:vAlign w:val="center"/>
          </w:tcPr>
          <w:p w14:paraId="7AF96CF2" w14:textId="77777777" w:rsidR="002D6D33" w:rsidRPr="00ED0923" w:rsidRDefault="002D6D33" w:rsidP="002D6D33">
            <w:pPr>
              <w:jc w:val="both"/>
              <w:rPr>
                <w:sz w:val="22"/>
                <w:szCs w:val="22"/>
              </w:rPr>
            </w:pPr>
            <w:r w:rsidRPr="00ED0923">
              <w:rPr>
                <w:sz w:val="22"/>
                <w:szCs w:val="22"/>
              </w:rPr>
              <w:t>105(32.9%)</w:t>
            </w:r>
          </w:p>
        </w:tc>
        <w:tc>
          <w:tcPr>
            <w:tcW w:w="731" w:type="pct"/>
            <w:shd w:val="clear" w:color="auto" w:fill="FFFFFF"/>
            <w:noWrap/>
            <w:vAlign w:val="center"/>
          </w:tcPr>
          <w:p w14:paraId="4DD5763A" w14:textId="77777777" w:rsidR="002D6D33" w:rsidRPr="00ED0923" w:rsidRDefault="002D6D33" w:rsidP="002D6D33">
            <w:pPr>
              <w:jc w:val="both"/>
              <w:rPr>
                <w:sz w:val="22"/>
                <w:szCs w:val="22"/>
              </w:rPr>
            </w:pPr>
            <w:r w:rsidRPr="00ED0923">
              <w:rPr>
                <w:sz w:val="22"/>
                <w:szCs w:val="22"/>
              </w:rPr>
              <w:t>186(35.1%)</w:t>
            </w:r>
          </w:p>
        </w:tc>
        <w:tc>
          <w:tcPr>
            <w:tcW w:w="486" w:type="pct"/>
            <w:shd w:val="clear" w:color="auto" w:fill="FFFFFF"/>
            <w:noWrap/>
            <w:vAlign w:val="center"/>
          </w:tcPr>
          <w:p w14:paraId="112561B8" w14:textId="77777777" w:rsidR="002D6D33" w:rsidRPr="00ED0923" w:rsidRDefault="002D6D33" w:rsidP="002D6D33">
            <w:pPr>
              <w:jc w:val="both"/>
              <w:rPr>
                <w:sz w:val="22"/>
                <w:szCs w:val="22"/>
              </w:rPr>
            </w:pPr>
          </w:p>
        </w:tc>
      </w:tr>
      <w:tr w:rsidR="002D6D33" w:rsidRPr="00ED0923" w14:paraId="54412A5E" w14:textId="77777777" w:rsidTr="002F7CEE">
        <w:trPr>
          <w:trHeight w:val="270"/>
        </w:trPr>
        <w:tc>
          <w:tcPr>
            <w:tcW w:w="1542" w:type="pct"/>
            <w:shd w:val="clear" w:color="auto" w:fill="FFFFFF"/>
            <w:noWrap/>
            <w:vAlign w:val="center"/>
          </w:tcPr>
          <w:p w14:paraId="63173B4F" w14:textId="77777777" w:rsidR="002D6D33" w:rsidRPr="00ED0923" w:rsidRDefault="002D6D33" w:rsidP="002D6D33">
            <w:pPr>
              <w:jc w:val="both"/>
              <w:rPr>
                <w:sz w:val="22"/>
                <w:szCs w:val="22"/>
              </w:rPr>
            </w:pPr>
            <w:r w:rsidRPr="00ED0923">
              <w:rPr>
                <w:sz w:val="22"/>
                <w:szCs w:val="22"/>
              </w:rPr>
              <w:t xml:space="preserve">  Not in central </w:t>
            </w:r>
          </w:p>
        </w:tc>
        <w:tc>
          <w:tcPr>
            <w:tcW w:w="783" w:type="pct"/>
            <w:shd w:val="clear" w:color="auto" w:fill="FFFFFF"/>
            <w:noWrap/>
            <w:vAlign w:val="center"/>
          </w:tcPr>
          <w:p w14:paraId="0D4B3CB0" w14:textId="77777777" w:rsidR="002D6D33" w:rsidRPr="00ED0923" w:rsidRDefault="002D6D33" w:rsidP="002D6D33">
            <w:pPr>
              <w:jc w:val="both"/>
              <w:rPr>
                <w:sz w:val="22"/>
                <w:szCs w:val="22"/>
              </w:rPr>
            </w:pPr>
            <w:r w:rsidRPr="00ED0923">
              <w:rPr>
                <w:sz w:val="22"/>
                <w:szCs w:val="22"/>
              </w:rPr>
              <w:t>201 (19.1%)</w:t>
            </w:r>
          </w:p>
        </w:tc>
        <w:tc>
          <w:tcPr>
            <w:tcW w:w="729" w:type="pct"/>
            <w:shd w:val="clear" w:color="auto" w:fill="FFFFFF"/>
            <w:noWrap/>
            <w:vAlign w:val="center"/>
          </w:tcPr>
          <w:p w14:paraId="1A63F080" w14:textId="77777777" w:rsidR="002D6D33" w:rsidRPr="00ED0923" w:rsidRDefault="002D6D33" w:rsidP="002D6D33">
            <w:pPr>
              <w:jc w:val="both"/>
              <w:rPr>
                <w:sz w:val="22"/>
                <w:szCs w:val="22"/>
              </w:rPr>
            </w:pPr>
            <w:r w:rsidRPr="00ED0923">
              <w:rPr>
                <w:sz w:val="22"/>
                <w:szCs w:val="22"/>
              </w:rPr>
              <w:t>57 (27.3%)</w:t>
            </w:r>
          </w:p>
        </w:tc>
        <w:tc>
          <w:tcPr>
            <w:tcW w:w="729" w:type="pct"/>
            <w:shd w:val="clear" w:color="auto" w:fill="FFFFFF"/>
            <w:noWrap/>
            <w:vAlign w:val="center"/>
          </w:tcPr>
          <w:p w14:paraId="070E19B2" w14:textId="77777777" w:rsidR="002D6D33" w:rsidRPr="00ED0923" w:rsidRDefault="002D6D33" w:rsidP="002D6D33">
            <w:pPr>
              <w:jc w:val="both"/>
              <w:rPr>
                <w:sz w:val="22"/>
                <w:szCs w:val="22"/>
              </w:rPr>
            </w:pPr>
            <w:r w:rsidRPr="00ED0923">
              <w:rPr>
                <w:sz w:val="22"/>
                <w:szCs w:val="22"/>
              </w:rPr>
              <w:t>102(32.0%)</w:t>
            </w:r>
          </w:p>
        </w:tc>
        <w:tc>
          <w:tcPr>
            <w:tcW w:w="731" w:type="pct"/>
            <w:shd w:val="clear" w:color="auto" w:fill="FFFFFF"/>
            <w:noWrap/>
            <w:vAlign w:val="center"/>
          </w:tcPr>
          <w:p w14:paraId="42FC882C" w14:textId="77777777" w:rsidR="002D6D33" w:rsidRPr="00ED0923" w:rsidRDefault="002D6D33" w:rsidP="002D6D33">
            <w:pPr>
              <w:jc w:val="both"/>
              <w:rPr>
                <w:sz w:val="22"/>
                <w:szCs w:val="22"/>
              </w:rPr>
            </w:pPr>
            <w:r w:rsidRPr="00ED0923">
              <w:rPr>
                <w:sz w:val="22"/>
                <w:szCs w:val="22"/>
              </w:rPr>
              <w:t>183(34.5%)</w:t>
            </w:r>
          </w:p>
        </w:tc>
        <w:tc>
          <w:tcPr>
            <w:tcW w:w="486" w:type="pct"/>
            <w:shd w:val="clear" w:color="auto" w:fill="FFFFFF"/>
            <w:noWrap/>
            <w:vAlign w:val="center"/>
          </w:tcPr>
          <w:p w14:paraId="6D00D6E6" w14:textId="77777777" w:rsidR="002D6D33" w:rsidRPr="00ED0923" w:rsidRDefault="002D6D33" w:rsidP="002D6D33">
            <w:pPr>
              <w:jc w:val="both"/>
              <w:rPr>
                <w:sz w:val="22"/>
                <w:szCs w:val="22"/>
              </w:rPr>
            </w:pPr>
          </w:p>
        </w:tc>
      </w:tr>
      <w:tr w:rsidR="002D6D33" w:rsidRPr="00ED0923" w14:paraId="3FA69F2A" w14:textId="77777777" w:rsidTr="002F7CEE">
        <w:trPr>
          <w:trHeight w:val="270"/>
        </w:trPr>
        <w:tc>
          <w:tcPr>
            <w:tcW w:w="1542" w:type="pct"/>
            <w:shd w:val="clear" w:color="auto" w:fill="FFFFFF"/>
            <w:noWrap/>
            <w:vAlign w:val="center"/>
          </w:tcPr>
          <w:p w14:paraId="630338E1" w14:textId="77777777" w:rsidR="002D6D33" w:rsidRPr="00ED0923" w:rsidRDefault="002D6D33" w:rsidP="002D6D33">
            <w:pPr>
              <w:jc w:val="both"/>
              <w:rPr>
                <w:sz w:val="22"/>
                <w:szCs w:val="22"/>
              </w:rPr>
            </w:pPr>
            <w:r w:rsidRPr="00ED0923">
              <w:rPr>
                <w:sz w:val="22"/>
                <w:szCs w:val="22"/>
              </w:rPr>
              <w:t xml:space="preserve">  Not in SMSA</w:t>
            </w:r>
          </w:p>
        </w:tc>
        <w:tc>
          <w:tcPr>
            <w:tcW w:w="783" w:type="pct"/>
            <w:shd w:val="clear" w:color="auto" w:fill="FFFFFF"/>
            <w:noWrap/>
            <w:vAlign w:val="center"/>
          </w:tcPr>
          <w:p w14:paraId="0DA9FCB0" w14:textId="77777777" w:rsidR="002D6D33" w:rsidRPr="00ED0923" w:rsidRDefault="002D6D33" w:rsidP="002D6D33">
            <w:pPr>
              <w:jc w:val="both"/>
              <w:rPr>
                <w:sz w:val="22"/>
                <w:szCs w:val="22"/>
              </w:rPr>
            </w:pPr>
            <w:r w:rsidRPr="00ED0923">
              <w:rPr>
                <w:sz w:val="22"/>
                <w:szCs w:val="22"/>
              </w:rPr>
              <w:t>586 (55.7%)</w:t>
            </w:r>
          </w:p>
        </w:tc>
        <w:tc>
          <w:tcPr>
            <w:tcW w:w="729" w:type="pct"/>
            <w:shd w:val="clear" w:color="auto" w:fill="FFFFFF"/>
            <w:noWrap/>
            <w:vAlign w:val="center"/>
          </w:tcPr>
          <w:p w14:paraId="4D4FA375" w14:textId="77777777" w:rsidR="002D6D33" w:rsidRPr="00ED0923" w:rsidRDefault="002D6D33" w:rsidP="002D6D33">
            <w:pPr>
              <w:jc w:val="both"/>
              <w:rPr>
                <w:sz w:val="22"/>
                <w:szCs w:val="22"/>
              </w:rPr>
            </w:pPr>
            <w:r w:rsidRPr="00ED0923">
              <w:rPr>
                <w:sz w:val="22"/>
                <w:szCs w:val="22"/>
              </w:rPr>
              <w:t>93 (44.5%)</w:t>
            </w:r>
          </w:p>
        </w:tc>
        <w:tc>
          <w:tcPr>
            <w:tcW w:w="729" w:type="pct"/>
            <w:shd w:val="clear" w:color="auto" w:fill="FFFFFF"/>
            <w:noWrap/>
            <w:vAlign w:val="center"/>
          </w:tcPr>
          <w:p w14:paraId="033EB033" w14:textId="77777777" w:rsidR="002D6D33" w:rsidRPr="00ED0923" w:rsidRDefault="002D6D33" w:rsidP="002D6D33">
            <w:pPr>
              <w:jc w:val="both"/>
              <w:rPr>
                <w:sz w:val="22"/>
                <w:szCs w:val="22"/>
              </w:rPr>
            </w:pPr>
            <w:r w:rsidRPr="00ED0923">
              <w:rPr>
                <w:sz w:val="22"/>
                <w:szCs w:val="22"/>
              </w:rPr>
              <w:t>112(35.1%)</w:t>
            </w:r>
          </w:p>
        </w:tc>
        <w:tc>
          <w:tcPr>
            <w:tcW w:w="731" w:type="pct"/>
            <w:shd w:val="clear" w:color="auto" w:fill="FFFFFF"/>
            <w:noWrap/>
            <w:vAlign w:val="center"/>
          </w:tcPr>
          <w:p w14:paraId="16FA4F33" w14:textId="77777777" w:rsidR="002D6D33" w:rsidRPr="00ED0923" w:rsidRDefault="002D6D33" w:rsidP="002D6D33">
            <w:pPr>
              <w:jc w:val="both"/>
              <w:rPr>
                <w:sz w:val="22"/>
                <w:szCs w:val="22"/>
              </w:rPr>
            </w:pPr>
            <w:r w:rsidRPr="00ED0923">
              <w:rPr>
                <w:sz w:val="22"/>
                <w:szCs w:val="22"/>
              </w:rPr>
              <w:t>161(30.4%)</w:t>
            </w:r>
          </w:p>
        </w:tc>
        <w:tc>
          <w:tcPr>
            <w:tcW w:w="486" w:type="pct"/>
            <w:shd w:val="clear" w:color="auto" w:fill="FFFFFF"/>
            <w:noWrap/>
            <w:vAlign w:val="center"/>
          </w:tcPr>
          <w:p w14:paraId="1BBD13A0" w14:textId="77777777" w:rsidR="002D6D33" w:rsidRPr="00ED0923" w:rsidRDefault="002D6D33" w:rsidP="002D6D33">
            <w:pPr>
              <w:jc w:val="both"/>
              <w:rPr>
                <w:sz w:val="22"/>
                <w:szCs w:val="22"/>
              </w:rPr>
            </w:pPr>
          </w:p>
        </w:tc>
      </w:tr>
      <w:tr w:rsidR="002D6D33" w:rsidRPr="00ED0923" w14:paraId="5659D0EF" w14:textId="77777777" w:rsidTr="002F7CEE">
        <w:trPr>
          <w:trHeight w:val="270"/>
        </w:trPr>
        <w:tc>
          <w:tcPr>
            <w:tcW w:w="1542" w:type="pct"/>
            <w:tcBorders>
              <w:bottom w:val="single" w:sz="4" w:space="0" w:color="auto"/>
            </w:tcBorders>
            <w:shd w:val="clear" w:color="auto" w:fill="FFFFFF"/>
            <w:noWrap/>
            <w:vAlign w:val="center"/>
          </w:tcPr>
          <w:p w14:paraId="7634F761" w14:textId="77777777" w:rsidR="002D6D33" w:rsidRPr="00ED0923" w:rsidRDefault="002D6D33" w:rsidP="002D6D33">
            <w:pPr>
              <w:jc w:val="both"/>
              <w:rPr>
                <w:sz w:val="22"/>
                <w:szCs w:val="22"/>
              </w:rPr>
            </w:pPr>
            <w:r w:rsidRPr="00ED0923">
              <w:rPr>
                <w:sz w:val="22"/>
                <w:szCs w:val="22"/>
              </w:rPr>
              <w:t xml:space="preserve">Resides in urban area, </w:t>
            </w:r>
            <w:proofErr w:type="gramStart"/>
            <w:r w:rsidRPr="00ED0923">
              <w:rPr>
                <w:sz w:val="22"/>
                <w:szCs w:val="22"/>
              </w:rPr>
              <w:t>Yes</w:t>
            </w:r>
            <w:proofErr w:type="gramEnd"/>
          </w:p>
        </w:tc>
        <w:tc>
          <w:tcPr>
            <w:tcW w:w="783" w:type="pct"/>
            <w:tcBorders>
              <w:bottom w:val="single" w:sz="4" w:space="0" w:color="auto"/>
            </w:tcBorders>
            <w:shd w:val="clear" w:color="auto" w:fill="FFFFFF"/>
            <w:noWrap/>
            <w:vAlign w:val="center"/>
          </w:tcPr>
          <w:p w14:paraId="69033E5F" w14:textId="77777777" w:rsidR="002D6D33" w:rsidRPr="00ED0923" w:rsidRDefault="002D6D33" w:rsidP="002D6D33">
            <w:pPr>
              <w:jc w:val="both"/>
              <w:rPr>
                <w:sz w:val="22"/>
                <w:szCs w:val="22"/>
              </w:rPr>
            </w:pPr>
            <w:r w:rsidRPr="00ED0923">
              <w:rPr>
                <w:sz w:val="22"/>
                <w:szCs w:val="22"/>
              </w:rPr>
              <w:t>578 (54.9%)</w:t>
            </w:r>
          </w:p>
        </w:tc>
        <w:tc>
          <w:tcPr>
            <w:tcW w:w="729" w:type="pct"/>
            <w:tcBorders>
              <w:bottom w:val="single" w:sz="4" w:space="0" w:color="auto"/>
            </w:tcBorders>
            <w:shd w:val="clear" w:color="auto" w:fill="FFFFFF"/>
            <w:noWrap/>
            <w:vAlign w:val="center"/>
          </w:tcPr>
          <w:p w14:paraId="3C7C9F59" w14:textId="77777777" w:rsidR="002D6D33" w:rsidRPr="00ED0923" w:rsidRDefault="002D6D33" w:rsidP="002D6D33">
            <w:pPr>
              <w:jc w:val="both"/>
              <w:rPr>
                <w:sz w:val="22"/>
                <w:szCs w:val="22"/>
              </w:rPr>
            </w:pPr>
            <w:r w:rsidRPr="00ED0923">
              <w:rPr>
                <w:sz w:val="22"/>
                <w:szCs w:val="22"/>
              </w:rPr>
              <w:t>578(54.9%)</w:t>
            </w:r>
          </w:p>
        </w:tc>
        <w:tc>
          <w:tcPr>
            <w:tcW w:w="729" w:type="pct"/>
            <w:tcBorders>
              <w:bottom w:val="single" w:sz="4" w:space="0" w:color="auto"/>
            </w:tcBorders>
            <w:shd w:val="clear" w:color="auto" w:fill="FFFFFF"/>
            <w:noWrap/>
            <w:vAlign w:val="center"/>
          </w:tcPr>
          <w:p w14:paraId="13F9F532" w14:textId="77777777" w:rsidR="002D6D33" w:rsidRPr="00ED0923" w:rsidRDefault="002D6D33" w:rsidP="002D6D33">
            <w:pPr>
              <w:jc w:val="both"/>
              <w:rPr>
                <w:sz w:val="22"/>
                <w:szCs w:val="22"/>
              </w:rPr>
            </w:pPr>
            <w:r w:rsidRPr="00ED0923">
              <w:rPr>
                <w:sz w:val="22"/>
                <w:szCs w:val="22"/>
              </w:rPr>
              <w:t>235(73.7%)</w:t>
            </w:r>
          </w:p>
        </w:tc>
        <w:tc>
          <w:tcPr>
            <w:tcW w:w="731" w:type="pct"/>
            <w:tcBorders>
              <w:bottom w:val="single" w:sz="4" w:space="0" w:color="auto"/>
            </w:tcBorders>
            <w:shd w:val="clear" w:color="auto" w:fill="FFFFFF"/>
            <w:noWrap/>
            <w:vAlign w:val="center"/>
          </w:tcPr>
          <w:p w14:paraId="77404D29" w14:textId="77777777" w:rsidR="002D6D33" w:rsidRPr="00ED0923" w:rsidRDefault="002D6D33" w:rsidP="002D6D33">
            <w:pPr>
              <w:jc w:val="both"/>
              <w:rPr>
                <w:sz w:val="22"/>
                <w:szCs w:val="22"/>
              </w:rPr>
            </w:pPr>
            <w:r w:rsidRPr="00ED0923">
              <w:rPr>
                <w:sz w:val="22"/>
                <w:szCs w:val="22"/>
              </w:rPr>
              <w:t>387(73.0%)</w:t>
            </w:r>
          </w:p>
        </w:tc>
        <w:tc>
          <w:tcPr>
            <w:tcW w:w="486" w:type="pct"/>
            <w:tcBorders>
              <w:bottom w:val="single" w:sz="4" w:space="0" w:color="auto"/>
            </w:tcBorders>
            <w:shd w:val="clear" w:color="auto" w:fill="FFFFFF"/>
            <w:noWrap/>
            <w:vAlign w:val="center"/>
          </w:tcPr>
          <w:p w14:paraId="78DD2177" w14:textId="77777777" w:rsidR="002D6D33" w:rsidRPr="00ED0923" w:rsidRDefault="002D6D33" w:rsidP="002D6D33">
            <w:pPr>
              <w:jc w:val="both"/>
              <w:rPr>
                <w:sz w:val="22"/>
                <w:szCs w:val="22"/>
              </w:rPr>
            </w:pPr>
            <w:r w:rsidRPr="00ED0923">
              <w:rPr>
                <w:sz w:val="22"/>
                <w:szCs w:val="22"/>
              </w:rPr>
              <w:t>&lt;0.001</w:t>
            </w:r>
          </w:p>
        </w:tc>
      </w:tr>
    </w:tbl>
    <w:p w14:paraId="0832CFF0" w14:textId="6E14D85F" w:rsidR="00B87F1E" w:rsidRDefault="00B87F1E" w:rsidP="007806F0">
      <w:pPr>
        <w:jc w:val="both"/>
        <w:rPr>
          <w:sz w:val="22"/>
          <w:szCs w:val="22"/>
        </w:rPr>
      </w:pPr>
    </w:p>
    <w:p w14:paraId="30BDB683" w14:textId="790F9F1F" w:rsidR="00D17D41" w:rsidRDefault="00D17D41" w:rsidP="007806F0">
      <w:pPr>
        <w:jc w:val="both"/>
        <w:rPr>
          <w:sz w:val="22"/>
          <w:szCs w:val="22"/>
        </w:rPr>
      </w:pPr>
    </w:p>
    <w:p w14:paraId="675858CD" w14:textId="77777777" w:rsidR="00D17D41" w:rsidRPr="00ED0923" w:rsidRDefault="00D17D41" w:rsidP="007806F0">
      <w:pPr>
        <w:jc w:val="both"/>
        <w:rPr>
          <w:sz w:val="22"/>
          <w:szCs w:val="22"/>
        </w:rPr>
      </w:pPr>
    </w:p>
    <w:p w14:paraId="62290D45" w14:textId="3062A0D4" w:rsidR="00230879" w:rsidRPr="00ED0923" w:rsidRDefault="00230879" w:rsidP="00230879">
      <w:pPr>
        <w:jc w:val="both"/>
        <w:rPr>
          <w:sz w:val="22"/>
          <w:szCs w:val="22"/>
        </w:rPr>
      </w:pPr>
    </w:p>
    <w:p w14:paraId="36D9355A" w14:textId="77777777" w:rsidR="002D6D33" w:rsidRPr="00ED0923" w:rsidRDefault="002D6D33" w:rsidP="002D6D33">
      <w:pPr>
        <w:jc w:val="both"/>
        <w:rPr>
          <w:sz w:val="22"/>
          <w:szCs w:val="22"/>
        </w:rPr>
      </w:pPr>
      <w:r w:rsidRPr="00ED0923">
        <w:rPr>
          <w:rFonts w:hint="eastAsia"/>
          <w:sz w:val="22"/>
          <w:szCs w:val="22"/>
        </w:rPr>
        <w:t>Table</w:t>
      </w:r>
      <w:r w:rsidRPr="00ED0923">
        <w:rPr>
          <w:sz w:val="22"/>
          <w:szCs w:val="22"/>
        </w:rPr>
        <w:t xml:space="preserve"> 2. Association between alcohol intake and hazard of death from cancer in overall NHANES II (N=9190</w:t>
      </w:r>
      <w:r w:rsidRPr="00ED0923">
        <w:rPr>
          <w:rFonts w:hint="eastAsia"/>
          <w:sz w:val="22"/>
          <w:szCs w:val="22"/>
        </w:rPr>
        <w:t>)</w:t>
      </w:r>
      <w:r w:rsidRPr="00ED0923">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83"/>
        <w:gridCol w:w="990"/>
        <w:gridCol w:w="1835"/>
        <w:gridCol w:w="1892"/>
        <w:gridCol w:w="1756"/>
        <w:gridCol w:w="1844"/>
        <w:gridCol w:w="900"/>
      </w:tblGrid>
      <w:tr w:rsidR="002D6D33" w:rsidRPr="00ED0923" w14:paraId="127800A1" w14:textId="77777777" w:rsidTr="00332B7F">
        <w:tc>
          <w:tcPr>
            <w:tcW w:w="1583" w:type="dxa"/>
            <w:tcBorders>
              <w:top w:val="single" w:sz="4" w:space="0" w:color="auto"/>
              <w:bottom w:val="single" w:sz="4" w:space="0" w:color="auto"/>
            </w:tcBorders>
            <w:vAlign w:val="center"/>
          </w:tcPr>
          <w:p w14:paraId="45E07D76" w14:textId="77777777" w:rsidR="002D6D33" w:rsidRPr="00ED0923" w:rsidRDefault="002D6D33" w:rsidP="00B9309D">
            <w:pPr>
              <w:rPr>
                <w:sz w:val="22"/>
                <w:szCs w:val="22"/>
              </w:rPr>
            </w:pPr>
          </w:p>
        </w:tc>
        <w:tc>
          <w:tcPr>
            <w:tcW w:w="990" w:type="dxa"/>
            <w:tcBorders>
              <w:top w:val="single" w:sz="4" w:space="0" w:color="auto"/>
              <w:bottom w:val="single" w:sz="4" w:space="0" w:color="auto"/>
            </w:tcBorders>
            <w:vAlign w:val="center"/>
          </w:tcPr>
          <w:p w14:paraId="5039E172" w14:textId="77777777" w:rsidR="002D6D33" w:rsidRPr="00ED0923" w:rsidRDefault="002D6D33" w:rsidP="00B9309D">
            <w:pPr>
              <w:rPr>
                <w:sz w:val="22"/>
                <w:szCs w:val="22"/>
              </w:rPr>
            </w:pPr>
            <w:r w:rsidRPr="00ED0923">
              <w:rPr>
                <w:sz w:val="22"/>
                <w:szCs w:val="22"/>
              </w:rPr>
              <w:t>0/week</w:t>
            </w:r>
          </w:p>
        </w:tc>
        <w:tc>
          <w:tcPr>
            <w:tcW w:w="1835" w:type="dxa"/>
            <w:tcBorders>
              <w:top w:val="single" w:sz="4" w:space="0" w:color="auto"/>
              <w:bottom w:val="single" w:sz="4" w:space="0" w:color="auto"/>
            </w:tcBorders>
            <w:vAlign w:val="center"/>
          </w:tcPr>
          <w:p w14:paraId="578ABA7D" w14:textId="77777777" w:rsidR="002D6D33" w:rsidRPr="00ED0923" w:rsidRDefault="002D6D33" w:rsidP="00B9309D">
            <w:pPr>
              <w:rPr>
                <w:sz w:val="22"/>
                <w:szCs w:val="22"/>
              </w:rPr>
            </w:pPr>
            <w:r w:rsidRPr="00ED0923">
              <w:rPr>
                <w:sz w:val="22"/>
                <w:szCs w:val="22"/>
              </w:rPr>
              <w:t>0-0.5/week</w:t>
            </w:r>
          </w:p>
        </w:tc>
        <w:tc>
          <w:tcPr>
            <w:tcW w:w="1892" w:type="dxa"/>
            <w:tcBorders>
              <w:top w:val="single" w:sz="4" w:space="0" w:color="auto"/>
              <w:bottom w:val="single" w:sz="4" w:space="0" w:color="auto"/>
            </w:tcBorders>
            <w:vAlign w:val="center"/>
          </w:tcPr>
          <w:p w14:paraId="002132B8" w14:textId="77777777" w:rsidR="002D6D33" w:rsidRPr="00ED0923" w:rsidRDefault="002D6D33" w:rsidP="00B9309D">
            <w:pPr>
              <w:rPr>
                <w:sz w:val="22"/>
                <w:szCs w:val="22"/>
              </w:rPr>
            </w:pPr>
            <w:r w:rsidRPr="00ED0923">
              <w:rPr>
                <w:sz w:val="22"/>
                <w:szCs w:val="22"/>
              </w:rPr>
              <w:t>0.5-2/week</w:t>
            </w:r>
          </w:p>
        </w:tc>
        <w:tc>
          <w:tcPr>
            <w:tcW w:w="1756" w:type="dxa"/>
            <w:tcBorders>
              <w:top w:val="single" w:sz="4" w:space="0" w:color="auto"/>
              <w:bottom w:val="single" w:sz="4" w:space="0" w:color="auto"/>
            </w:tcBorders>
            <w:vAlign w:val="center"/>
          </w:tcPr>
          <w:p w14:paraId="14A36023" w14:textId="77777777" w:rsidR="002D6D33" w:rsidRPr="00ED0923" w:rsidRDefault="002D6D33" w:rsidP="00B9309D">
            <w:pPr>
              <w:rPr>
                <w:sz w:val="22"/>
                <w:szCs w:val="22"/>
              </w:rPr>
            </w:pPr>
            <w:r w:rsidRPr="00ED0923">
              <w:rPr>
                <w:sz w:val="22"/>
                <w:szCs w:val="22"/>
              </w:rPr>
              <w:t>&gt;2/week</w:t>
            </w:r>
          </w:p>
        </w:tc>
        <w:tc>
          <w:tcPr>
            <w:tcW w:w="1844" w:type="dxa"/>
            <w:tcBorders>
              <w:top w:val="single" w:sz="4" w:space="0" w:color="auto"/>
              <w:bottom w:val="single" w:sz="4" w:space="0" w:color="auto"/>
            </w:tcBorders>
            <w:vAlign w:val="center"/>
          </w:tcPr>
          <w:p w14:paraId="5AABE765" w14:textId="77777777" w:rsidR="002D6D33" w:rsidRPr="00ED0923" w:rsidRDefault="002D6D33" w:rsidP="00B9309D">
            <w:pPr>
              <w:rPr>
                <w:sz w:val="22"/>
                <w:szCs w:val="22"/>
              </w:rPr>
            </w:pPr>
            <w:r w:rsidRPr="00ED0923">
              <w:rPr>
                <w:sz w:val="22"/>
                <w:szCs w:val="22"/>
              </w:rPr>
              <w:t>Continuous</w:t>
            </w:r>
          </w:p>
        </w:tc>
        <w:tc>
          <w:tcPr>
            <w:tcW w:w="900" w:type="dxa"/>
            <w:tcBorders>
              <w:top w:val="single" w:sz="4" w:space="0" w:color="auto"/>
              <w:bottom w:val="single" w:sz="4" w:space="0" w:color="auto"/>
            </w:tcBorders>
            <w:vAlign w:val="center"/>
          </w:tcPr>
          <w:p w14:paraId="0FD8FD3F" w14:textId="77777777" w:rsidR="002D6D33" w:rsidRPr="00ED0923" w:rsidRDefault="002D6D33" w:rsidP="00B9309D">
            <w:pPr>
              <w:rPr>
                <w:sz w:val="22"/>
                <w:szCs w:val="22"/>
              </w:rPr>
            </w:pPr>
            <w:proofErr w:type="spellStart"/>
            <w:r w:rsidRPr="00ED0923">
              <w:rPr>
                <w:sz w:val="22"/>
                <w:szCs w:val="22"/>
              </w:rPr>
              <w:t>P</w:t>
            </w:r>
            <w:r w:rsidRPr="00ED0923">
              <w:rPr>
                <w:sz w:val="22"/>
                <w:szCs w:val="22"/>
                <w:vertAlign w:val="subscript"/>
              </w:rPr>
              <w:t>trend</w:t>
            </w:r>
            <w:proofErr w:type="spellEnd"/>
          </w:p>
        </w:tc>
      </w:tr>
      <w:tr w:rsidR="002D6D33" w:rsidRPr="00ED0923" w14:paraId="0695627C" w14:textId="77777777" w:rsidTr="00332B7F">
        <w:tc>
          <w:tcPr>
            <w:tcW w:w="10800" w:type="dxa"/>
            <w:gridSpan w:val="7"/>
            <w:tcBorders>
              <w:top w:val="single" w:sz="4" w:space="0" w:color="auto"/>
              <w:bottom w:val="single" w:sz="4" w:space="0" w:color="auto"/>
            </w:tcBorders>
            <w:vAlign w:val="center"/>
          </w:tcPr>
          <w:p w14:paraId="20BCD072" w14:textId="77777777" w:rsidR="002D6D33" w:rsidRPr="00ED0923" w:rsidRDefault="002D6D33" w:rsidP="00B9309D">
            <w:pPr>
              <w:rPr>
                <w:sz w:val="22"/>
                <w:szCs w:val="22"/>
              </w:rPr>
            </w:pPr>
            <w:r w:rsidRPr="00ED0923">
              <w:rPr>
                <w:sz w:val="22"/>
                <w:szCs w:val="22"/>
              </w:rPr>
              <w:t>First approach, defining the exposure as alcohol intake age 21-entry, time scale as age</w:t>
            </w:r>
          </w:p>
        </w:tc>
      </w:tr>
      <w:tr w:rsidR="002D6D33" w:rsidRPr="00ED0923" w14:paraId="46AEF1F0" w14:textId="77777777" w:rsidTr="00332B7F">
        <w:tc>
          <w:tcPr>
            <w:tcW w:w="1583" w:type="dxa"/>
            <w:tcBorders>
              <w:top w:val="single" w:sz="4" w:space="0" w:color="auto"/>
            </w:tcBorders>
            <w:vAlign w:val="center"/>
          </w:tcPr>
          <w:p w14:paraId="2BEFE3F3" w14:textId="77777777" w:rsidR="002D6D33" w:rsidRPr="00ED0923" w:rsidRDefault="002D6D33" w:rsidP="00B9309D">
            <w:pPr>
              <w:rPr>
                <w:sz w:val="22"/>
                <w:szCs w:val="22"/>
              </w:rPr>
            </w:pPr>
            <w:r w:rsidRPr="00ED0923">
              <w:rPr>
                <w:sz w:val="22"/>
                <w:szCs w:val="22"/>
              </w:rPr>
              <w:t>Crude model</w:t>
            </w:r>
          </w:p>
        </w:tc>
        <w:tc>
          <w:tcPr>
            <w:tcW w:w="990" w:type="dxa"/>
            <w:tcBorders>
              <w:top w:val="single" w:sz="4" w:space="0" w:color="auto"/>
            </w:tcBorders>
            <w:vAlign w:val="center"/>
          </w:tcPr>
          <w:p w14:paraId="2D089DE5" w14:textId="77777777" w:rsidR="002D6D33" w:rsidRPr="00ED0923" w:rsidRDefault="002D6D33" w:rsidP="00B9309D">
            <w:pPr>
              <w:rPr>
                <w:sz w:val="22"/>
                <w:szCs w:val="22"/>
              </w:rPr>
            </w:pPr>
            <w:r w:rsidRPr="00ED0923">
              <w:rPr>
                <w:sz w:val="22"/>
                <w:szCs w:val="22"/>
              </w:rPr>
              <w:t>Ref</w:t>
            </w:r>
          </w:p>
        </w:tc>
        <w:tc>
          <w:tcPr>
            <w:tcW w:w="1835" w:type="dxa"/>
            <w:tcBorders>
              <w:top w:val="single" w:sz="4" w:space="0" w:color="auto"/>
            </w:tcBorders>
            <w:vAlign w:val="center"/>
          </w:tcPr>
          <w:p w14:paraId="3E9E3202" w14:textId="77777777" w:rsidR="002D6D33" w:rsidRPr="00ED0923" w:rsidRDefault="002D6D33" w:rsidP="00B9309D">
            <w:pPr>
              <w:rPr>
                <w:sz w:val="22"/>
                <w:szCs w:val="22"/>
              </w:rPr>
            </w:pPr>
            <w:r w:rsidRPr="00ED0923">
              <w:rPr>
                <w:sz w:val="22"/>
                <w:szCs w:val="22"/>
              </w:rPr>
              <w:t>1.10 (0.82, 1.48)</w:t>
            </w:r>
          </w:p>
        </w:tc>
        <w:tc>
          <w:tcPr>
            <w:tcW w:w="1892" w:type="dxa"/>
            <w:tcBorders>
              <w:top w:val="single" w:sz="4" w:space="0" w:color="auto"/>
            </w:tcBorders>
            <w:vAlign w:val="center"/>
          </w:tcPr>
          <w:p w14:paraId="55F14C12" w14:textId="77777777" w:rsidR="002D6D33" w:rsidRPr="00ED0923" w:rsidRDefault="002D6D33" w:rsidP="00B9309D">
            <w:pPr>
              <w:rPr>
                <w:sz w:val="22"/>
                <w:szCs w:val="22"/>
              </w:rPr>
            </w:pPr>
            <w:r w:rsidRPr="00ED0923">
              <w:rPr>
                <w:sz w:val="22"/>
                <w:szCs w:val="22"/>
              </w:rPr>
              <w:t>1.13 (0.88, 1.44)</w:t>
            </w:r>
          </w:p>
        </w:tc>
        <w:tc>
          <w:tcPr>
            <w:tcW w:w="1756" w:type="dxa"/>
            <w:tcBorders>
              <w:top w:val="single" w:sz="4" w:space="0" w:color="auto"/>
            </w:tcBorders>
            <w:vAlign w:val="center"/>
          </w:tcPr>
          <w:p w14:paraId="2500241C" w14:textId="77777777" w:rsidR="002D6D33" w:rsidRPr="00ED0923" w:rsidRDefault="002D6D33" w:rsidP="00B9309D">
            <w:pPr>
              <w:rPr>
                <w:sz w:val="22"/>
                <w:szCs w:val="22"/>
              </w:rPr>
            </w:pPr>
            <w:r w:rsidRPr="00ED0923">
              <w:rPr>
                <w:sz w:val="22"/>
                <w:szCs w:val="22"/>
              </w:rPr>
              <w:t>1.57 (1.29, 1.91)</w:t>
            </w:r>
          </w:p>
        </w:tc>
        <w:tc>
          <w:tcPr>
            <w:tcW w:w="1844" w:type="dxa"/>
            <w:tcBorders>
              <w:top w:val="single" w:sz="4" w:space="0" w:color="auto"/>
            </w:tcBorders>
            <w:vAlign w:val="center"/>
          </w:tcPr>
          <w:p w14:paraId="11760A49" w14:textId="77777777" w:rsidR="002D6D33" w:rsidRPr="00ED0923" w:rsidRDefault="002D6D33" w:rsidP="00B9309D">
            <w:pPr>
              <w:rPr>
                <w:sz w:val="22"/>
                <w:szCs w:val="22"/>
              </w:rPr>
            </w:pPr>
            <w:r w:rsidRPr="00ED0923">
              <w:rPr>
                <w:sz w:val="22"/>
                <w:szCs w:val="22"/>
              </w:rPr>
              <w:t>1.04 (1.03, 1.05)</w:t>
            </w:r>
          </w:p>
        </w:tc>
        <w:tc>
          <w:tcPr>
            <w:tcW w:w="900" w:type="dxa"/>
            <w:tcBorders>
              <w:top w:val="single" w:sz="4" w:space="0" w:color="auto"/>
            </w:tcBorders>
            <w:vAlign w:val="center"/>
          </w:tcPr>
          <w:p w14:paraId="78754A43" w14:textId="77777777" w:rsidR="002D6D33" w:rsidRPr="00ED0923" w:rsidRDefault="002D6D33" w:rsidP="00B9309D">
            <w:pPr>
              <w:rPr>
                <w:sz w:val="22"/>
                <w:szCs w:val="22"/>
              </w:rPr>
            </w:pPr>
            <w:r w:rsidRPr="00ED0923">
              <w:rPr>
                <w:sz w:val="22"/>
                <w:szCs w:val="22"/>
              </w:rPr>
              <w:t>&lt;0.001</w:t>
            </w:r>
          </w:p>
        </w:tc>
      </w:tr>
      <w:tr w:rsidR="002D6D33" w:rsidRPr="00ED0923" w14:paraId="1E6C881A" w14:textId="77777777" w:rsidTr="00332B7F">
        <w:tc>
          <w:tcPr>
            <w:tcW w:w="1583" w:type="dxa"/>
            <w:vAlign w:val="center"/>
          </w:tcPr>
          <w:p w14:paraId="408458EF" w14:textId="77777777" w:rsidR="002D6D33" w:rsidRPr="00ED0923" w:rsidRDefault="002D6D33" w:rsidP="00B9309D">
            <w:pPr>
              <w:rPr>
                <w:sz w:val="22"/>
                <w:szCs w:val="22"/>
              </w:rPr>
            </w:pPr>
            <w:commentRangeStart w:id="3"/>
            <w:r w:rsidRPr="00ED0923">
              <w:rPr>
                <w:sz w:val="22"/>
                <w:szCs w:val="22"/>
              </w:rPr>
              <w:t>Age-adjusted</w:t>
            </w:r>
          </w:p>
        </w:tc>
        <w:tc>
          <w:tcPr>
            <w:tcW w:w="990" w:type="dxa"/>
            <w:vAlign w:val="center"/>
          </w:tcPr>
          <w:p w14:paraId="30548D03" w14:textId="77777777" w:rsidR="002D6D33" w:rsidRPr="00ED0923" w:rsidRDefault="002D6D33" w:rsidP="00B9309D">
            <w:pPr>
              <w:rPr>
                <w:sz w:val="22"/>
                <w:szCs w:val="22"/>
              </w:rPr>
            </w:pPr>
            <w:r w:rsidRPr="00ED0923">
              <w:rPr>
                <w:sz w:val="22"/>
                <w:szCs w:val="22"/>
              </w:rPr>
              <w:t>Ref</w:t>
            </w:r>
            <w:commentRangeEnd w:id="3"/>
            <w:r w:rsidRPr="00ED0923">
              <w:rPr>
                <w:rStyle w:val="CommentReference"/>
                <w:sz w:val="22"/>
                <w:szCs w:val="22"/>
              </w:rPr>
              <w:commentReference w:id="3"/>
            </w:r>
          </w:p>
        </w:tc>
        <w:tc>
          <w:tcPr>
            <w:tcW w:w="1835" w:type="dxa"/>
            <w:vAlign w:val="center"/>
          </w:tcPr>
          <w:p w14:paraId="36B26ACE" w14:textId="77777777" w:rsidR="002D6D33" w:rsidRPr="00ED0923" w:rsidRDefault="002D6D33" w:rsidP="00B9309D">
            <w:pPr>
              <w:rPr>
                <w:sz w:val="22"/>
                <w:szCs w:val="22"/>
              </w:rPr>
            </w:pPr>
          </w:p>
        </w:tc>
        <w:tc>
          <w:tcPr>
            <w:tcW w:w="1892" w:type="dxa"/>
            <w:vAlign w:val="center"/>
          </w:tcPr>
          <w:p w14:paraId="75B83BF2" w14:textId="77777777" w:rsidR="002D6D33" w:rsidRPr="00ED0923" w:rsidRDefault="002D6D33" w:rsidP="00B9309D">
            <w:pPr>
              <w:rPr>
                <w:sz w:val="22"/>
                <w:szCs w:val="22"/>
              </w:rPr>
            </w:pPr>
          </w:p>
        </w:tc>
        <w:tc>
          <w:tcPr>
            <w:tcW w:w="1756" w:type="dxa"/>
            <w:vAlign w:val="center"/>
          </w:tcPr>
          <w:p w14:paraId="37E0AE52" w14:textId="77777777" w:rsidR="002D6D33" w:rsidRPr="00ED0923" w:rsidRDefault="002D6D33" w:rsidP="00B9309D">
            <w:pPr>
              <w:rPr>
                <w:sz w:val="22"/>
                <w:szCs w:val="22"/>
              </w:rPr>
            </w:pPr>
          </w:p>
        </w:tc>
        <w:tc>
          <w:tcPr>
            <w:tcW w:w="1844" w:type="dxa"/>
            <w:vAlign w:val="center"/>
          </w:tcPr>
          <w:p w14:paraId="418C5FEC" w14:textId="77777777" w:rsidR="002D6D33" w:rsidRPr="00ED0923" w:rsidRDefault="002D6D33" w:rsidP="00B9309D">
            <w:pPr>
              <w:rPr>
                <w:sz w:val="22"/>
                <w:szCs w:val="22"/>
              </w:rPr>
            </w:pPr>
          </w:p>
        </w:tc>
        <w:tc>
          <w:tcPr>
            <w:tcW w:w="900" w:type="dxa"/>
            <w:vAlign w:val="center"/>
          </w:tcPr>
          <w:p w14:paraId="4148BC4C" w14:textId="77777777" w:rsidR="002D6D33" w:rsidRPr="00ED0923" w:rsidRDefault="002D6D33" w:rsidP="00B9309D">
            <w:pPr>
              <w:rPr>
                <w:sz w:val="22"/>
                <w:szCs w:val="22"/>
              </w:rPr>
            </w:pPr>
          </w:p>
        </w:tc>
      </w:tr>
      <w:tr w:rsidR="002D6D33" w:rsidRPr="00ED0923" w14:paraId="23B91564" w14:textId="77777777" w:rsidTr="00332B7F">
        <w:tc>
          <w:tcPr>
            <w:tcW w:w="1583" w:type="dxa"/>
            <w:tcBorders>
              <w:bottom w:val="single" w:sz="4" w:space="0" w:color="auto"/>
            </w:tcBorders>
            <w:vAlign w:val="center"/>
          </w:tcPr>
          <w:p w14:paraId="44AE14C7" w14:textId="77777777" w:rsidR="002D6D33" w:rsidRPr="00ED0923" w:rsidRDefault="002D6D33" w:rsidP="00B9309D">
            <w:pPr>
              <w:rPr>
                <w:sz w:val="22"/>
                <w:szCs w:val="22"/>
                <w:vertAlign w:val="superscript"/>
              </w:rPr>
            </w:pPr>
            <w:r w:rsidRPr="00ED0923">
              <w:rPr>
                <w:sz w:val="22"/>
                <w:szCs w:val="22"/>
              </w:rPr>
              <w:t>MV-</w:t>
            </w:r>
            <w:proofErr w:type="spellStart"/>
            <w:r w:rsidRPr="00ED0923">
              <w:rPr>
                <w:sz w:val="22"/>
                <w:szCs w:val="22"/>
              </w:rPr>
              <w:t>adjusted</w:t>
            </w:r>
            <w:r w:rsidRPr="00ED0923">
              <w:rPr>
                <w:sz w:val="22"/>
                <w:szCs w:val="22"/>
                <w:vertAlign w:val="superscript"/>
              </w:rPr>
              <w:t>a</w:t>
            </w:r>
            <w:proofErr w:type="spellEnd"/>
          </w:p>
        </w:tc>
        <w:tc>
          <w:tcPr>
            <w:tcW w:w="990" w:type="dxa"/>
            <w:tcBorders>
              <w:bottom w:val="single" w:sz="4" w:space="0" w:color="auto"/>
            </w:tcBorders>
            <w:vAlign w:val="center"/>
          </w:tcPr>
          <w:p w14:paraId="655FED22" w14:textId="77777777" w:rsidR="002D6D33" w:rsidRPr="00ED0923" w:rsidRDefault="002D6D33" w:rsidP="00B9309D">
            <w:pPr>
              <w:rPr>
                <w:sz w:val="22"/>
                <w:szCs w:val="22"/>
              </w:rPr>
            </w:pPr>
            <w:r w:rsidRPr="00ED0923">
              <w:rPr>
                <w:sz w:val="22"/>
                <w:szCs w:val="22"/>
              </w:rPr>
              <w:t>Ref</w:t>
            </w:r>
          </w:p>
        </w:tc>
        <w:tc>
          <w:tcPr>
            <w:tcW w:w="1835" w:type="dxa"/>
            <w:tcBorders>
              <w:bottom w:val="single" w:sz="4" w:space="0" w:color="auto"/>
            </w:tcBorders>
            <w:vAlign w:val="center"/>
          </w:tcPr>
          <w:p w14:paraId="2C191F33" w14:textId="77777777" w:rsidR="002D6D33" w:rsidRPr="00ED0923" w:rsidRDefault="002D6D33" w:rsidP="00B9309D">
            <w:pPr>
              <w:rPr>
                <w:sz w:val="22"/>
                <w:szCs w:val="22"/>
              </w:rPr>
            </w:pPr>
            <w:r w:rsidRPr="00ED0923">
              <w:rPr>
                <w:sz w:val="22"/>
                <w:szCs w:val="22"/>
              </w:rPr>
              <w:t>1.06 (0.78, 1.43)</w:t>
            </w:r>
          </w:p>
        </w:tc>
        <w:tc>
          <w:tcPr>
            <w:tcW w:w="1892" w:type="dxa"/>
            <w:tcBorders>
              <w:bottom w:val="single" w:sz="4" w:space="0" w:color="auto"/>
            </w:tcBorders>
            <w:vAlign w:val="center"/>
          </w:tcPr>
          <w:p w14:paraId="5ACEA5F1" w14:textId="77777777" w:rsidR="002D6D33" w:rsidRPr="00ED0923" w:rsidRDefault="002D6D33" w:rsidP="00B9309D">
            <w:pPr>
              <w:rPr>
                <w:sz w:val="22"/>
                <w:szCs w:val="22"/>
              </w:rPr>
            </w:pPr>
            <w:r w:rsidRPr="00ED0923">
              <w:rPr>
                <w:sz w:val="22"/>
                <w:szCs w:val="22"/>
              </w:rPr>
              <w:t>0.98 (0.76, 1.27)</w:t>
            </w:r>
          </w:p>
        </w:tc>
        <w:tc>
          <w:tcPr>
            <w:tcW w:w="1756" w:type="dxa"/>
            <w:tcBorders>
              <w:bottom w:val="single" w:sz="4" w:space="0" w:color="auto"/>
            </w:tcBorders>
            <w:vAlign w:val="center"/>
          </w:tcPr>
          <w:p w14:paraId="44C0F427" w14:textId="77777777" w:rsidR="002D6D33" w:rsidRPr="00ED0923" w:rsidRDefault="002D6D33" w:rsidP="00B9309D">
            <w:pPr>
              <w:rPr>
                <w:sz w:val="22"/>
                <w:szCs w:val="22"/>
              </w:rPr>
            </w:pPr>
            <w:r w:rsidRPr="00ED0923">
              <w:rPr>
                <w:sz w:val="22"/>
                <w:szCs w:val="22"/>
              </w:rPr>
              <w:t>1.25 (1.00, 1.55)</w:t>
            </w:r>
          </w:p>
        </w:tc>
        <w:tc>
          <w:tcPr>
            <w:tcW w:w="1844" w:type="dxa"/>
            <w:tcBorders>
              <w:bottom w:val="single" w:sz="4" w:space="0" w:color="auto"/>
            </w:tcBorders>
            <w:vAlign w:val="center"/>
          </w:tcPr>
          <w:p w14:paraId="396361B2" w14:textId="77777777" w:rsidR="002D6D33" w:rsidRPr="00ED0923" w:rsidRDefault="002D6D33" w:rsidP="00B9309D">
            <w:pPr>
              <w:rPr>
                <w:sz w:val="22"/>
                <w:szCs w:val="22"/>
              </w:rPr>
            </w:pPr>
            <w:r w:rsidRPr="00ED0923">
              <w:rPr>
                <w:sz w:val="22"/>
                <w:szCs w:val="22"/>
              </w:rPr>
              <w:t>1.02 (1.01, 1.04)</w:t>
            </w:r>
          </w:p>
        </w:tc>
        <w:tc>
          <w:tcPr>
            <w:tcW w:w="900" w:type="dxa"/>
            <w:tcBorders>
              <w:bottom w:val="single" w:sz="4" w:space="0" w:color="auto"/>
            </w:tcBorders>
            <w:vAlign w:val="center"/>
          </w:tcPr>
          <w:p w14:paraId="34A7C839" w14:textId="77777777" w:rsidR="002D6D33" w:rsidRPr="00ED0923" w:rsidRDefault="002D6D33" w:rsidP="00B9309D">
            <w:pPr>
              <w:rPr>
                <w:sz w:val="22"/>
                <w:szCs w:val="22"/>
              </w:rPr>
            </w:pPr>
            <w:r w:rsidRPr="00ED0923">
              <w:rPr>
                <w:sz w:val="22"/>
                <w:szCs w:val="22"/>
              </w:rPr>
              <w:t>0.084</w:t>
            </w:r>
          </w:p>
        </w:tc>
      </w:tr>
      <w:tr w:rsidR="002D6D33" w:rsidRPr="00ED0923" w14:paraId="6D4B91E4" w14:textId="77777777" w:rsidTr="00332B7F">
        <w:tc>
          <w:tcPr>
            <w:tcW w:w="10800" w:type="dxa"/>
            <w:gridSpan w:val="7"/>
            <w:tcBorders>
              <w:top w:val="single" w:sz="4" w:space="0" w:color="auto"/>
              <w:bottom w:val="single" w:sz="4" w:space="0" w:color="auto"/>
            </w:tcBorders>
            <w:vAlign w:val="center"/>
          </w:tcPr>
          <w:p w14:paraId="0E765946" w14:textId="77777777" w:rsidR="002D6D33" w:rsidRPr="00ED0923" w:rsidRDefault="002D6D33" w:rsidP="00B9309D">
            <w:pPr>
              <w:rPr>
                <w:sz w:val="22"/>
                <w:szCs w:val="22"/>
              </w:rPr>
            </w:pPr>
            <w:r w:rsidRPr="00ED0923">
              <w:rPr>
                <w:sz w:val="22"/>
                <w:szCs w:val="22"/>
              </w:rPr>
              <w:t>Second approach, defining the exposure as prevalent alcohol intake at baseline, time scale as years since entry</w:t>
            </w:r>
          </w:p>
        </w:tc>
      </w:tr>
      <w:tr w:rsidR="002D6D33" w:rsidRPr="00ED0923" w14:paraId="3966DB4B" w14:textId="77777777" w:rsidTr="00332B7F">
        <w:tc>
          <w:tcPr>
            <w:tcW w:w="1583" w:type="dxa"/>
            <w:tcBorders>
              <w:top w:val="single" w:sz="4" w:space="0" w:color="auto"/>
            </w:tcBorders>
            <w:vAlign w:val="center"/>
          </w:tcPr>
          <w:p w14:paraId="0728D244" w14:textId="77777777" w:rsidR="002D6D33" w:rsidRPr="00ED0923" w:rsidRDefault="002D6D33" w:rsidP="00B9309D">
            <w:pPr>
              <w:rPr>
                <w:sz w:val="22"/>
                <w:szCs w:val="22"/>
              </w:rPr>
            </w:pPr>
            <w:r w:rsidRPr="00ED0923">
              <w:rPr>
                <w:sz w:val="22"/>
                <w:szCs w:val="22"/>
              </w:rPr>
              <w:t>Crude model</w:t>
            </w:r>
          </w:p>
        </w:tc>
        <w:tc>
          <w:tcPr>
            <w:tcW w:w="990" w:type="dxa"/>
            <w:tcBorders>
              <w:top w:val="single" w:sz="4" w:space="0" w:color="auto"/>
            </w:tcBorders>
            <w:vAlign w:val="center"/>
          </w:tcPr>
          <w:p w14:paraId="441726B0" w14:textId="77777777" w:rsidR="002D6D33" w:rsidRPr="00ED0923" w:rsidRDefault="002D6D33" w:rsidP="00B9309D">
            <w:pPr>
              <w:rPr>
                <w:sz w:val="22"/>
                <w:szCs w:val="22"/>
              </w:rPr>
            </w:pPr>
            <w:r w:rsidRPr="00ED0923">
              <w:rPr>
                <w:sz w:val="22"/>
                <w:szCs w:val="22"/>
              </w:rPr>
              <w:t>Ref</w:t>
            </w:r>
          </w:p>
        </w:tc>
        <w:tc>
          <w:tcPr>
            <w:tcW w:w="1835" w:type="dxa"/>
            <w:tcBorders>
              <w:top w:val="single" w:sz="4" w:space="0" w:color="auto"/>
            </w:tcBorders>
            <w:vAlign w:val="center"/>
          </w:tcPr>
          <w:p w14:paraId="4733F951" w14:textId="77777777" w:rsidR="002D6D33" w:rsidRPr="00ED0923" w:rsidRDefault="002D6D33" w:rsidP="00B9309D">
            <w:pPr>
              <w:rPr>
                <w:sz w:val="22"/>
                <w:szCs w:val="22"/>
              </w:rPr>
            </w:pPr>
            <w:r w:rsidRPr="00ED0923">
              <w:rPr>
                <w:sz w:val="22"/>
                <w:szCs w:val="22"/>
              </w:rPr>
              <w:t>0.95 (0.70, 1.28)</w:t>
            </w:r>
          </w:p>
        </w:tc>
        <w:tc>
          <w:tcPr>
            <w:tcW w:w="1892" w:type="dxa"/>
            <w:tcBorders>
              <w:top w:val="single" w:sz="4" w:space="0" w:color="auto"/>
            </w:tcBorders>
            <w:vAlign w:val="center"/>
          </w:tcPr>
          <w:p w14:paraId="2FF067ED" w14:textId="77777777" w:rsidR="002D6D33" w:rsidRPr="00ED0923" w:rsidRDefault="002D6D33" w:rsidP="00B9309D">
            <w:pPr>
              <w:rPr>
                <w:sz w:val="22"/>
                <w:szCs w:val="22"/>
              </w:rPr>
            </w:pPr>
            <w:r w:rsidRPr="00ED0923">
              <w:rPr>
                <w:sz w:val="22"/>
                <w:szCs w:val="22"/>
              </w:rPr>
              <w:t>0.83 (0.65, 1.06)</w:t>
            </w:r>
          </w:p>
        </w:tc>
        <w:tc>
          <w:tcPr>
            <w:tcW w:w="1756" w:type="dxa"/>
            <w:tcBorders>
              <w:top w:val="single" w:sz="4" w:space="0" w:color="auto"/>
            </w:tcBorders>
            <w:vAlign w:val="center"/>
          </w:tcPr>
          <w:p w14:paraId="34CFBE39" w14:textId="77777777" w:rsidR="002D6D33" w:rsidRPr="00ED0923" w:rsidRDefault="002D6D33" w:rsidP="00B9309D">
            <w:pPr>
              <w:rPr>
                <w:sz w:val="22"/>
                <w:szCs w:val="22"/>
              </w:rPr>
            </w:pPr>
            <w:r w:rsidRPr="00ED0923">
              <w:rPr>
                <w:sz w:val="22"/>
                <w:szCs w:val="22"/>
              </w:rPr>
              <w:t>1.15 (0.94, 1.39)</w:t>
            </w:r>
          </w:p>
        </w:tc>
        <w:tc>
          <w:tcPr>
            <w:tcW w:w="1844" w:type="dxa"/>
            <w:tcBorders>
              <w:top w:val="single" w:sz="4" w:space="0" w:color="auto"/>
            </w:tcBorders>
            <w:vAlign w:val="center"/>
          </w:tcPr>
          <w:p w14:paraId="20C1635B" w14:textId="77777777" w:rsidR="002D6D33" w:rsidRPr="00ED0923" w:rsidRDefault="002D6D33" w:rsidP="00B9309D">
            <w:pPr>
              <w:rPr>
                <w:sz w:val="22"/>
                <w:szCs w:val="22"/>
              </w:rPr>
            </w:pPr>
            <w:r w:rsidRPr="00ED0923">
              <w:rPr>
                <w:sz w:val="22"/>
                <w:szCs w:val="22"/>
              </w:rPr>
              <w:t>1.03 (1.02, 1.04)</w:t>
            </w:r>
          </w:p>
        </w:tc>
        <w:tc>
          <w:tcPr>
            <w:tcW w:w="900" w:type="dxa"/>
            <w:tcBorders>
              <w:top w:val="single" w:sz="4" w:space="0" w:color="auto"/>
            </w:tcBorders>
            <w:vAlign w:val="center"/>
          </w:tcPr>
          <w:p w14:paraId="360D5AF3" w14:textId="77777777" w:rsidR="002D6D33" w:rsidRPr="00ED0923" w:rsidRDefault="002D6D33" w:rsidP="00B9309D">
            <w:pPr>
              <w:rPr>
                <w:sz w:val="22"/>
                <w:szCs w:val="22"/>
              </w:rPr>
            </w:pPr>
            <w:r w:rsidRPr="00ED0923">
              <w:rPr>
                <w:sz w:val="22"/>
                <w:szCs w:val="22"/>
              </w:rPr>
              <w:t>0.335</w:t>
            </w:r>
          </w:p>
        </w:tc>
      </w:tr>
      <w:tr w:rsidR="002D6D33" w:rsidRPr="00ED0923" w14:paraId="153B3069" w14:textId="77777777" w:rsidTr="00332B7F">
        <w:tc>
          <w:tcPr>
            <w:tcW w:w="1583" w:type="dxa"/>
            <w:vAlign w:val="center"/>
          </w:tcPr>
          <w:p w14:paraId="39F79CDF" w14:textId="77777777" w:rsidR="002D6D33" w:rsidRPr="00ED0923" w:rsidRDefault="002D6D33" w:rsidP="00B9309D">
            <w:pPr>
              <w:rPr>
                <w:sz w:val="22"/>
                <w:szCs w:val="22"/>
              </w:rPr>
            </w:pPr>
            <w:r w:rsidRPr="00ED0923">
              <w:rPr>
                <w:sz w:val="22"/>
                <w:szCs w:val="22"/>
              </w:rPr>
              <w:t>Age-adjusted</w:t>
            </w:r>
          </w:p>
        </w:tc>
        <w:tc>
          <w:tcPr>
            <w:tcW w:w="990" w:type="dxa"/>
            <w:vAlign w:val="center"/>
          </w:tcPr>
          <w:p w14:paraId="6B49DB92" w14:textId="77777777" w:rsidR="002D6D33" w:rsidRPr="00ED0923" w:rsidRDefault="002D6D33" w:rsidP="00B9309D">
            <w:pPr>
              <w:rPr>
                <w:sz w:val="22"/>
                <w:szCs w:val="22"/>
              </w:rPr>
            </w:pPr>
            <w:r w:rsidRPr="00ED0923">
              <w:rPr>
                <w:sz w:val="22"/>
                <w:szCs w:val="22"/>
              </w:rPr>
              <w:t>Ref</w:t>
            </w:r>
          </w:p>
        </w:tc>
        <w:tc>
          <w:tcPr>
            <w:tcW w:w="1835" w:type="dxa"/>
            <w:vAlign w:val="center"/>
          </w:tcPr>
          <w:p w14:paraId="0B795199" w14:textId="77777777" w:rsidR="002D6D33" w:rsidRPr="00ED0923" w:rsidRDefault="002D6D33" w:rsidP="00B9309D">
            <w:pPr>
              <w:rPr>
                <w:sz w:val="22"/>
                <w:szCs w:val="22"/>
              </w:rPr>
            </w:pPr>
            <w:r w:rsidRPr="00ED0923">
              <w:rPr>
                <w:sz w:val="22"/>
                <w:szCs w:val="22"/>
              </w:rPr>
              <w:t>1.11 (0.82, 1.45)</w:t>
            </w:r>
          </w:p>
        </w:tc>
        <w:tc>
          <w:tcPr>
            <w:tcW w:w="1892" w:type="dxa"/>
            <w:vAlign w:val="center"/>
          </w:tcPr>
          <w:p w14:paraId="483C213D" w14:textId="77777777" w:rsidR="002D6D33" w:rsidRPr="00ED0923" w:rsidRDefault="002D6D33" w:rsidP="00B9309D">
            <w:pPr>
              <w:rPr>
                <w:sz w:val="22"/>
                <w:szCs w:val="22"/>
              </w:rPr>
            </w:pPr>
            <w:r w:rsidRPr="00ED0923">
              <w:rPr>
                <w:sz w:val="22"/>
                <w:szCs w:val="22"/>
              </w:rPr>
              <w:t>1.13 (0.88, 1.45)</w:t>
            </w:r>
          </w:p>
        </w:tc>
        <w:tc>
          <w:tcPr>
            <w:tcW w:w="1756" w:type="dxa"/>
            <w:vAlign w:val="center"/>
          </w:tcPr>
          <w:p w14:paraId="45D40603" w14:textId="77777777" w:rsidR="002D6D33" w:rsidRPr="00ED0923" w:rsidRDefault="002D6D33" w:rsidP="00B9309D">
            <w:pPr>
              <w:rPr>
                <w:sz w:val="22"/>
                <w:szCs w:val="22"/>
              </w:rPr>
            </w:pPr>
            <w:r w:rsidRPr="00ED0923">
              <w:rPr>
                <w:sz w:val="22"/>
                <w:szCs w:val="22"/>
              </w:rPr>
              <w:t>1.59 (1.30, 1.94)</w:t>
            </w:r>
          </w:p>
        </w:tc>
        <w:tc>
          <w:tcPr>
            <w:tcW w:w="1844" w:type="dxa"/>
            <w:vAlign w:val="center"/>
          </w:tcPr>
          <w:p w14:paraId="71F78DA9" w14:textId="77777777" w:rsidR="002D6D33" w:rsidRPr="00ED0923" w:rsidRDefault="002D6D33" w:rsidP="00B9309D">
            <w:pPr>
              <w:rPr>
                <w:sz w:val="22"/>
                <w:szCs w:val="22"/>
              </w:rPr>
            </w:pPr>
            <w:r w:rsidRPr="00ED0923">
              <w:rPr>
                <w:sz w:val="22"/>
                <w:szCs w:val="22"/>
              </w:rPr>
              <w:t>1.04 (1.03, 1.05)</w:t>
            </w:r>
          </w:p>
        </w:tc>
        <w:tc>
          <w:tcPr>
            <w:tcW w:w="900" w:type="dxa"/>
            <w:vAlign w:val="center"/>
          </w:tcPr>
          <w:p w14:paraId="41026DCD" w14:textId="77777777" w:rsidR="002D6D33" w:rsidRPr="00ED0923" w:rsidRDefault="002D6D33" w:rsidP="00B9309D">
            <w:pPr>
              <w:rPr>
                <w:sz w:val="22"/>
                <w:szCs w:val="22"/>
              </w:rPr>
            </w:pPr>
            <w:r w:rsidRPr="00ED0923">
              <w:rPr>
                <w:rFonts w:hint="eastAsia"/>
                <w:sz w:val="22"/>
                <w:szCs w:val="22"/>
              </w:rPr>
              <w:t>&lt;</w:t>
            </w:r>
            <w:r w:rsidRPr="00ED0923">
              <w:rPr>
                <w:sz w:val="22"/>
                <w:szCs w:val="22"/>
              </w:rPr>
              <w:t>0.001</w:t>
            </w:r>
          </w:p>
        </w:tc>
      </w:tr>
      <w:tr w:rsidR="002D6D33" w:rsidRPr="00ED0923" w14:paraId="6C4C6BDC" w14:textId="77777777" w:rsidTr="00332B7F">
        <w:tc>
          <w:tcPr>
            <w:tcW w:w="1583" w:type="dxa"/>
            <w:tcBorders>
              <w:bottom w:val="single" w:sz="4" w:space="0" w:color="auto"/>
            </w:tcBorders>
            <w:vAlign w:val="center"/>
          </w:tcPr>
          <w:p w14:paraId="1ABCE4F1" w14:textId="77777777" w:rsidR="002D6D33" w:rsidRPr="00ED0923" w:rsidRDefault="002D6D33" w:rsidP="00B9309D">
            <w:pPr>
              <w:rPr>
                <w:sz w:val="22"/>
                <w:szCs w:val="22"/>
                <w:vertAlign w:val="superscript"/>
              </w:rPr>
            </w:pPr>
            <w:r w:rsidRPr="00ED0923">
              <w:rPr>
                <w:sz w:val="22"/>
                <w:szCs w:val="22"/>
              </w:rPr>
              <w:t>MV-</w:t>
            </w:r>
            <w:proofErr w:type="spellStart"/>
            <w:r w:rsidRPr="00ED0923">
              <w:rPr>
                <w:sz w:val="22"/>
                <w:szCs w:val="22"/>
              </w:rPr>
              <w:t>adjusted</w:t>
            </w:r>
            <w:r w:rsidRPr="00ED0923">
              <w:rPr>
                <w:sz w:val="22"/>
                <w:szCs w:val="22"/>
                <w:vertAlign w:val="superscript"/>
              </w:rPr>
              <w:t>b</w:t>
            </w:r>
            <w:proofErr w:type="spellEnd"/>
          </w:p>
        </w:tc>
        <w:tc>
          <w:tcPr>
            <w:tcW w:w="990" w:type="dxa"/>
            <w:tcBorders>
              <w:bottom w:val="single" w:sz="4" w:space="0" w:color="auto"/>
            </w:tcBorders>
            <w:vAlign w:val="center"/>
          </w:tcPr>
          <w:p w14:paraId="5BA7BF40" w14:textId="77777777" w:rsidR="002D6D33" w:rsidRPr="00ED0923" w:rsidRDefault="002D6D33" w:rsidP="00B9309D">
            <w:pPr>
              <w:rPr>
                <w:sz w:val="22"/>
                <w:szCs w:val="22"/>
              </w:rPr>
            </w:pPr>
            <w:r w:rsidRPr="00ED0923">
              <w:rPr>
                <w:sz w:val="22"/>
                <w:szCs w:val="22"/>
              </w:rPr>
              <w:t>Ref</w:t>
            </w:r>
          </w:p>
        </w:tc>
        <w:tc>
          <w:tcPr>
            <w:tcW w:w="1835" w:type="dxa"/>
            <w:tcBorders>
              <w:bottom w:val="single" w:sz="4" w:space="0" w:color="auto"/>
            </w:tcBorders>
            <w:vAlign w:val="center"/>
          </w:tcPr>
          <w:p w14:paraId="4D60E1F3" w14:textId="77777777" w:rsidR="002D6D33" w:rsidRPr="00ED0923" w:rsidRDefault="002D6D33" w:rsidP="00B9309D">
            <w:pPr>
              <w:rPr>
                <w:sz w:val="22"/>
                <w:szCs w:val="22"/>
              </w:rPr>
            </w:pPr>
            <w:r w:rsidRPr="00ED0923">
              <w:rPr>
                <w:sz w:val="22"/>
                <w:szCs w:val="22"/>
              </w:rPr>
              <w:t>1.06 (0.79, 1.44)</w:t>
            </w:r>
          </w:p>
        </w:tc>
        <w:tc>
          <w:tcPr>
            <w:tcW w:w="1892" w:type="dxa"/>
            <w:tcBorders>
              <w:bottom w:val="single" w:sz="4" w:space="0" w:color="auto"/>
            </w:tcBorders>
            <w:vAlign w:val="center"/>
          </w:tcPr>
          <w:p w14:paraId="18C9101B" w14:textId="77777777" w:rsidR="002D6D33" w:rsidRPr="00ED0923" w:rsidRDefault="002D6D33" w:rsidP="00B9309D">
            <w:pPr>
              <w:rPr>
                <w:sz w:val="22"/>
                <w:szCs w:val="22"/>
              </w:rPr>
            </w:pPr>
            <w:r w:rsidRPr="00ED0923">
              <w:rPr>
                <w:sz w:val="22"/>
                <w:szCs w:val="22"/>
              </w:rPr>
              <w:t>0.98 (0.76, 1.26)</w:t>
            </w:r>
          </w:p>
        </w:tc>
        <w:tc>
          <w:tcPr>
            <w:tcW w:w="1756" w:type="dxa"/>
            <w:tcBorders>
              <w:bottom w:val="single" w:sz="4" w:space="0" w:color="auto"/>
            </w:tcBorders>
            <w:vAlign w:val="center"/>
          </w:tcPr>
          <w:p w14:paraId="747B93B4" w14:textId="77777777" w:rsidR="002D6D33" w:rsidRPr="00ED0923" w:rsidRDefault="002D6D33" w:rsidP="00B9309D">
            <w:pPr>
              <w:rPr>
                <w:sz w:val="22"/>
                <w:szCs w:val="22"/>
              </w:rPr>
            </w:pPr>
            <w:r w:rsidRPr="00ED0923">
              <w:rPr>
                <w:sz w:val="22"/>
                <w:szCs w:val="22"/>
              </w:rPr>
              <w:t>1.24 (1.00, 1.55)</w:t>
            </w:r>
          </w:p>
        </w:tc>
        <w:tc>
          <w:tcPr>
            <w:tcW w:w="1844" w:type="dxa"/>
            <w:tcBorders>
              <w:bottom w:val="single" w:sz="4" w:space="0" w:color="auto"/>
            </w:tcBorders>
            <w:vAlign w:val="center"/>
          </w:tcPr>
          <w:p w14:paraId="43DE4D90" w14:textId="77777777" w:rsidR="002D6D33" w:rsidRPr="00ED0923" w:rsidRDefault="002D6D33" w:rsidP="00B9309D">
            <w:pPr>
              <w:rPr>
                <w:sz w:val="22"/>
                <w:szCs w:val="22"/>
              </w:rPr>
            </w:pPr>
            <w:r w:rsidRPr="00ED0923">
              <w:rPr>
                <w:sz w:val="22"/>
                <w:szCs w:val="22"/>
              </w:rPr>
              <w:t>1.03 (1.01, 1.04)</w:t>
            </w:r>
          </w:p>
        </w:tc>
        <w:tc>
          <w:tcPr>
            <w:tcW w:w="900" w:type="dxa"/>
            <w:tcBorders>
              <w:bottom w:val="single" w:sz="4" w:space="0" w:color="auto"/>
            </w:tcBorders>
            <w:vAlign w:val="center"/>
          </w:tcPr>
          <w:p w14:paraId="425259D1" w14:textId="77777777" w:rsidR="002D6D33" w:rsidRPr="00ED0923" w:rsidRDefault="002D6D33" w:rsidP="00B9309D">
            <w:pPr>
              <w:rPr>
                <w:sz w:val="22"/>
                <w:szCs w:val="22"/>
              </w:rPr>
            </w:pPr>
            <w:r w:rsidRPr="00ED0923">
              <w:rPr>
                <w:sz w:val="22"/>
                <w:szCs w:val="22"/>
              </w:rPr>
              <w:t>0.092</w:t>
            </w:r>
          </w:p>
        </w:tc>
      </w:tr>
    </w:tbl>
    <w:p w14:paraId="4AD2B4F5" w14:textId="0D945C3E" w:rsidR="002D6D33" w:rsidRPr="00ED0923" w:rsidRDefault="002D6D33" w:rsidP="002D6D33">
      <w:pPr>
        <w:jc w:val="both"/>
        <w:rPr>
          <w:sz w:val="22"/>
          <w:szCs w:val="22"/>
        </w:rPr>
      </w:pPr>
      <w:r w:rsidRPr="00ED0923">
        <w:rPr>
          <w:sz w:val="22"/>
          <w:szCs w:val="22"/>
        </w:rPr>
        <w:t>a.</w:t>
      </w:r>
      <w:r w:rsidRPr="00ED0923">
        <w:rPr>
          <w:sz w:val="22"/>
          <w:szCs w:val="22"/>
        </w:rPr>
        <w:tab/>
      </w:r>
      <w:r w:rsidR="003711DE" w:rsidRPr="00ED0923">
        <w:rPr>
          <w:sz w:val="22"/>
          <w:szCs w:val="22"/>
        </w:rPr>
        <w:t>Here we</w:t>
      </w:r>
      <w:r w:rsidRPr="00ED0923">
        <w:rPr>
          <w:sz w:val="22"/>
          <w:szCs w:val="22"/>
        </w:rPr>
        <w:t xml:space="preserve"> adjusted for sex, race (categorical), education years, marital status (categorical), size of place (categorical), average cigarettes per day, Standard Metropolitan Statistical Area (categorical), and residence in urban region.</w:t>
      </w:r>
    </w:p>
    <w:p w14:paraId="1074F359" w14:textId="391DA590" w:rsidR="002D6D33" w:rsidRPr="00ED0923" w:rsidRDefault="002D6D33" w:rsidP="002D6D33">
      <w:pPr>
        <w:jc w:val="both"/>
        <w:rPr>
          <w:sz w:val="22"/>
          <w:szCs w:val="22"/>
        </w:rPr>
      </w:pPr>
      <w:r w:rsidRPr="00ED0923">
        <w:rPr>
          <w:sz w:val="22"/>
          <w:szCs w:val="22"/>
        </w:rPr>
        <w:t>b.</w:t>
      </w:r>
      <w:r w:rsidRPr="00ED0923">
        <w:rPr>
          <w:sz w:val="22"/>
          <w:szCs w:val="22"/>
        </w:rPr>
        <w:tab/>
      </w:r>
      <w:r w:rsidR="003711DE" w:rsidRPr="00ED0923">
        <w:rPr>
          <w:sz w:val="22"/>
          <w:szCs w:val="22"/>
        </w:rPr>
        <w:t>I</w:t>
      </w:r>
      <w:r w:rsidRPr="00ED0923">
        <w:rPr>
          <w:sz w:val="22"/>
          <w:szCs w:val="22"/>
        </w:rPr>
        <w:t xml:space="preserve">n addition to the covariates in a., </w:t>
      </w:r>
      <w:r w:rsidR="003711DE" w:rsidRPr="00ED0923">
        <w:rPr>
          <w:sz w:val="22"/>
          <w:szCs w:val="22"/>
        </w:rPr>
        <w:t xml:space="preserve">here </w:t>
      </w:r>
      <w:r w:rsidRPr="00ED0923">
        <w:rPr>
          <w:sz w:val="22"/>
          <w:szCs w:val="22"/>
        </w:rPr>
        <w:t xml:space="preserve">we also adjusted for hypertension at baseline, RBC, diagnosed </w:t>
      </w:r>
      <w:commentRangeStart w:id="4"/>
      <w:r w:rsidRPr="00ED0923">
        <w:rPr>
          <w:sz w:val="22"/>
          <w:szCs w:val="22"/>
          <w:highlight w:val="yellow"/>
        </w:rPr>
        <w:t>MI</w:t>
      </w:r>
      <w:r w:rsidRPr="00ED0923">
        <w:rPr>
          <w:sz w:val="22"/>
          <w:szCs w:val="22"/>
        </w:rPr>
        <w:t xml:space="preserve">, </w:t>
      </w:r>
      <w:commentRangeEnd w:id="4"/>
      <w:r w:rsidRPr="00ED0923">
        <w:rPr>
          <w:rStyle w:val="CommentReference"/>
          <w:sz w:val="22"/>
          <w:szCs w:val="22"/>
        </w:rPr>
        <w:commentReference w:id="4"/>
      </w:r>
      <w:r w:rsidRPr="00ED0923">
        <w:rPr>
          <w:sz w:val="22"/>
          <w:szCs w:val="22"/>
        </w:rPr>
        <w:t xml:space="preserve">and diabetes. </w:t>
      </w:r>
    </w:p>
    <w:p w14:paraId="52C0A06F" w14:textId="5A8E43EA" w:rsidR="002D6D33" w:rsidRPr="00ED0923" w:rsidRDefault="002D6D33" w:rsidP="00230879">
      <w:pPr>
        <w:jc w:val="both"/>
        <w:rPr>
          <w:sz w:val="22"/>
          <w:szCs w:val="22"/>
        </w:rPr>
      </w:pPr>
    </w:p>
    <w:p w14:paraId="1ED05375" w14:textId="391E751D" w:rsidR="00B9309D" w:rsidRPr="00ED0923" w:rsidRDefault="00B9309D" w:rsidP="00230879">
      <w:pPr>
        <w:jc w:val="both"/>
        <w:rPr>
          <w:sz w:val="22"/>
          <w:szCs w:val="22"/>
        </w:rPr>
      </w:pPr>
    </w:p>
    <w:p w14:paraId="607FA98F" w14:textId="1C98AC7E" w:rsidR="00B9309D" w:rsidRPr="00ED0923" w:rsidRDefault="00B9309D" w:rsidP="00230879">
      <w:pPr>
        <w:jc w:val="both"/>
        <w:rPr>
          <w:sz w:val="22"/>
          <w:szCs w:val="22"/>
        </w:rPr>
      </w:pPr>
    </w:p>
    <w:p w14:paraId="281E1393" w14:textId="387364C2" w:rsidR="00B9309D" w:rsidRDefault="00B9309D" w:rsidP="00230879">
      <w:pPr>
        <w:jc w:val="both"/>
        <w:rPr>
          <w:sz w:val="22"/>
          <w:szCs w:val="22"/>
        </w:rPr>
      </w:pPr>
    </w:p>
    <w:p w14:paraId="3DED2F4F" w14:textId="77777777" w:rsidR="00625DD0" w:rsidRPr="00ED0923" w:rsidRDefault="00625DD0" w:rsidP="00230879">
      <w:pPr>
        <w:jc w:val="both"/>
        <w:rPr>
          <w:sz w:val="22"/>
          <w:szCs w:val="22"/>
        </w:rPr>
      </w:pPr>
    </w:p>
    <w:p w14:paraId="64CB2636" w14:textId="6085DB8D" w:rsidR="002D6D33" w:rsidRPr="00ED0923" w:rsidRDefault="002D6D33" w:rsidP="00230879">
      <w:pPr>
        <w:jc w:val="both"/>
        <w:rPr>
          <w:sz w:val="22"/>
          <w:szCs w:val="22"/>
        </w:rPr>
      </w:pPr>
    </w:p>
    <w:p w14:paraId="7B8302F6" w14:textId="77777777" w:rsidR="002D6D33" w:rsidRPr="00ED0923" w:rsidRDefault="002D6D33" w:rsidP="002D6D33">
      <w:pPr>
        <w:jc w:val="both"/>
        <w:rPr>
          <w:sz w:val="22"/>
          <w:szCs w:val="22"/>
        </w:rPr>
      </w:pPr>
      <w:r w:rsidRPr="00ED0923">
        <w:rPr>
          <w:rFonts w:hint="eastAsia"/>
          <w:sz w:val="22"/>
          <w:szCs w:val="22"/>
        </w:rPr>
        <w:lastRenderedPageBreak/>
        <w:t>Table</w:t>
      </w:r>
      <w:r w:rsidRPr="00ED0923">
        <w:rPr>
          <w:sz w:val="22"/>
          <w:szCs w:val="22"/>
        </w:rPr>
        <w:t xml:space="preserve"> 3. Associations between alcohol intake and hazard of death from cancer in males and females from NHANES II </w:t>
      </w:r>
      <w:r w:rsidRPr="00ED0923">
        <w:rPr>
          <w:rFonts w:eastAsia="SimSun"/>
          <w:color w:val="000000"/>
          <w:sz w:val="22"/>
          <w:szCs w:val="22"/>
          <w:highlight w:val="yellow"/>
          <w:lang w:bidi="ar"/>
        </w:rPr>
        <w:t>(N=9190</w:t>
      </w:r>
      <w:r w:rsidRPr="00ED0923">
        <w:rPr>
          <w:rFonts w:eastAsia="SimSun" w:hint="eastAsia"/>
          <w:color w:val="000000"/>
          <w:sz w:val="22"/>
          <w:szCs w:val="22"/>
          <w:highlight w:val="yellow"/>
          <w:lang w:bidi="ar"/>
        </w:rPr>
        <w:t>)</w:t>
      </w:r>
      <w:r w:rsidRPr="00ED0923">
        <w:rPr>
          <w:sz w:val="22"/>
          <w:szCs w:val="22"/>
        </w:rPr>
        <w:t xml:space="preserve">. </w:t>
      </w:r>
    </w:p>
    <w:tbl>
      <w:tblPr>
        <w:tblStyle w:val="TableGrid"/>
        <w:tblW w:w="10795" w:type="dxa"/>
        <w:tblLook w:val="04A0" w:firstRow="1" w:lastRow="0" w:firstColumn="1" w:lastColumn="0" w:noHBand="0" w:noVBand="1"/>
      </w:tblPr>
      <w:tblGrid>
        <w:gridCol w:w="1209"/>
        <w:gridCol w:w="2396"/>
        <w:gridCol w:w="2397"/>
        <w:gridCol w:w="2396"/>
        <w:gridCol w:w="2397"/>
      </w:tblGrid>
      <w:tr w:rsidR="002D6D33" w:rsidRPr="00ED0923" w14:paraId="3AA7FE46" w14:textId="77777777" w:rsidTr="001C0EAD">
        <w:tc>
          <w:tcPr>
            <w:tcW w:w="1209" w:type="dxa"/>
            <w:tcBorders>
              <w:right w:val="nil"/>
            </w:tcBorders>
          </w:tcPr>
          <w:p w14:paraId="6C159E9C" w14:textId="77777777" w:rsidR="002D6D33" w:rsidRPr="00ED0923" w:rsidRDefault="002D6D33" w:rsidP="00517D14">
            <w:pPr>
              <w:jc w:val="both"/>
              <w:rPr>
                <w:sz w:val="22"/>
                <w:szCs w:val="22"/>
              </w:rPr>
            </w:pPr>
          </w:p>
        </w:tc>
        <w:tc>
          <w:tcPr>
            <w:tcW w:w="4793" w:type="dxa"/>
            <w:gridSpan w:val="2"/>
            <w:tcBorders>
              <w:left w:val="nil"/>
              <w:right w:val="nil"/>
            </w:tcBorders>
          </w:tcPr>
          <w:p w14:paraId="1472C1A2" w14:textId="77777777" w:rsidR="002D6D33" w:rsidRPr="00ED0923" w:rsidRDefault="002D6D33" w:rsidP="00B05542">
            <w:pPr>
              <w:jc w:val="center"/>
              <w:rPr>
                <w:sz w:val="22"/>
                <w:szCs w:val="22"/>
              </w:rPr>
            </w:pPr>
            <w:r w:rsidRPr="00ED0923">
              <w:rPr>
                <w:sz w:val="22"/>
                <w:szCs w:val="22"/>
              </w:rPr>
              <w:t>&gt;2/week vs 0/week</w:t>
            </w:r>
          </w:p>
        </w:tc>
        <w:tc>
          <w:tcPr>
            <w:tcW w:w="4793" w:type="dxa"/>
            <w:gridSpan w:val="2"/>
            <w:tcBorders>
              <w:left w:val="nil"/>
            </w:tcBorders>
          </w:tcPr>
          <w:p w14:paraId="117B1A2E" w14:textId="77777777" w:rsidR="002D6D33" w:rsidRPr="00ED0923" w:rsidRDefault="002D6D33" w:rsidP="00B05542">
            <w:pPr>
              <w:jc w:val="center"/>
              <w:rPr>
                <w:sz w:val="22"/>
                <w:szCs w:val="22"/>
              </w:rPr>
            </w:pPr>
            <w:r w:rsidRPr="00ED0923">
              <w:rPr>
                <w:sz w:val="22"/>
                <w:szCs w:val="22"/>
              </w:rPr>
              <w:t>Continuous</w:t>
            </w:r>
          </w:p>
        </w:tc>
      </w:tr>
      <w:tr w:rsidR="002D6D33" w:rsidRPr="00ED0923" w14:paraId="7F5E37F1" w14:textId="77777777" w:rsidTr="00517D14">
        <w:tc>
          <w:tcPr>
            <w:tcW w:w="10795" w:type="dxa"/>
            <w:gridSpan w:val="5"/>
          </w:tcPr>
          <w:p w14:paraId="59D299AC" w14:textId="77777777" w:rsidR="002D6D33" w:rsidRPr="00ED0923" w:rsidRDefault="002D6D33" w:rsidP="00517D14">
            <w:pPr>
              <w:jc w:val="both"/>
              <w:rPr>
                <w:sz w:val="22"/>
                <w:szCs w:val="22"/>
              </w:rPr>
            </w:pPr>
            <w:r w:rsidRPr="00ED0923">
              <w:rPr>
                <w:sz w:val="22"/>
                <w:szCs w:val="22"/>
              </w:rPr>
              <w:t>First approach, defining the exposure as alcohol intake age 21-entry, time scale as age</w:t>
            </w:r>
          </w:p>
        </w:tc>
      </w:tr>
      <w:tr w:rsidR="002D6D33" w:rsidRPr="00ED0923" w14:paraId="5FB82C4A" w14:textId="77777777" w:rsidTr="001C0EAD">
        <w:tc>
          <w:tcPr>
            <w:tcW w:w="10795" w:type="dxa"/>
            <w:gridSpan w:val="5"/>
            <w:tcBorders>
              <w:bottom w:val="single" w:sz="4" w:space="0" w:color="auto"/>
            </w:tcBorders>
          </w:tcPr>
          <w:p w14:paraId="5C951E4C" w14:textId="77777777" w:rsidR="002D6D33" w:rsidRPr="00ED0923" w:rsidRDefault="002D6D33" w:rsidP="00517D14">
            <w:pPr>
              <w:jc w:val="both"/>
              <w:rPr>
                <w:sz w:val="22"/>
                <w:szCs w:val="22"/>
              </w:rPr>
            </w:pPr>
            <w:r w:rsidRPr="00ED0923">
              <w:rPr>
                <w:sz w:val="22"/>
                <w:szCs w:val="22"/>
              </w:rPr>
              <w:t>Adding interaction term</w:t>
            </w:r>
          </w:p>
        </w:tc>
      </w:tr>
      <w:tr w:rsidR="002D6D33" w:rsidRPr="00ED0923" w14:paraId="4878547C" w14:textId="77777777" w:rsidTr="001C0EAD">
        <w:tc>
          <w:tcPr>
            <w:tcW w:w="1209" w:type="dxa"/>
            <w:tcBorders>
              <w:bottom w:val="nil"/>
              <w:right w:val="nil"/>
            </w:tcBorders>
          </w:tcPr>
          <w:p w14:paraId="3787F531" w14:textId="77777777" w:rsidR="002D6D33" w:rsidRPr="00ED0923" w:rsidRDefault="002D6D33" w:rsidP="00517D14">
            <w:pPr>
              <w:jc w:val="both"/>
              <w:rPr>
                <w:sz w:val="22"/>
                <w:szCs w:val="22"/>
              </w:rPr>
            </w:pPr>
          </w:p>
        </w:tc>
        <w:tc>
          <w:tcPr>
            <w:tcW w:w="2396" w:type="dxa"/>
            <w:tcBorders>
              <w:left w:val="nil"/>
              <w:bottom w:val="nil"/>
              <w:right w:val="nil"/>
            </w:tcBorders>
          </w:tcPr>
          <w:p w14:paraId="75D61843" w14:textId="77777777" w:rsidR="002D6D33" w:rsidRPr="00ED0923" w:rsidRDefault="002D6D33" w:rsidP="00B05542">
            <w:pPr>
              <w:jc w:val="center"/>
              <w:rPr>
                <w:sz w:val="22"/>
                <w:szCs w:val="22"/>
              </w:rPr>
            </w:pPr>
            <w:r w:rsidRPr="00ED0923">
              <w:rPr>
                <w:sz w:val="22"/>
                <w:szCs w:val="22"/>
              </w:rPr>
              <w:t>MV-adjusted</w:t>
            </w:r>
          </w:p>
        </w:tc>
        <w:tc>
          <w:tcPr>
            <w:tcW w:w="2397" w:type="dxa"/>
            <w:tcBorders>
              <w:left w:val="nil"/>
              <w:bottom w:val="nil"/>
              <w:right w:val="nil"/>
            </w:tcBorders>
          </w:tcPr>
          <w:p w14:paraId="316DBCC6" w14:textId="77777777" w:rsidR="002D6D33" w:rsidRPr="00ED0923" w:rsidRDefault="002D6D33" w:rsidP="00B05542">
            <w:pPr>
              <w:jc w:val="center"/>
              <w:rPr>
                <w:sz w:val="22"/>
                <w:szCs w:val="22"/>
                <w:vertAlign w:val="subscript"/>
              </w:rPr>
            </w:pPr>
            <w:r w:rsidRPr="00ED0923">
              <w:rPr>
                <w:sz w:val="22"/>
                <w:szCs w:val="22"/>
              </w:rPr>
              <w:t>H</w:t>
            </w:r>
            <w:r w:rsidRPr="00ED0923">
              <w:rPr>
                <w:sz w:val="22"/>
                <w:szCs w:val="22"/>
                <w:vertAlign w:val="subscript"/>
              </w:rPr>
              <w:t>eterogeneity</w:t>
            </w:r>
          </w:p>
        </w:tc>
        <w:tc>
          <w:tcPr>
            <w:tcW w:w="2396" w:type="dxa"/>
            <w:tcBorders>
              <w:left w:val="nil"/>
              <w:bottom w:val="nil"/>
              <w:right w:val="nil"/>
            </w:tcBorders>
          </w:tcPr>
          <w:p w14:paraId="59EFCA46" w14:textId="77777777" w:rsidR="002D6D33" w:rsidRPr="00ED0923" w:rsidRDefault="002D6D33" w:rsidP="00B05542">
            <w:pPr>
              <w:jc w:val="center"/>
              <w:rPr>
                <w:sz w:val="22"/>
                <w:szCs w:val="22"/>
              </w:rPr>
            </w:pPr>
            <w:r w:rsidRPr="00ED0923">
              <w:rPr>
                <w:sz w:val="22"/>
                <w:szCs w:val="22"/>
              </w:rPr>
              <w:t>MV-adjusted</w:t>
            </w:r>
          </w:p>
        </w:tc>
        <w:tc>
          <w:tcPr>
            <w:tcW w:w="2397" w:type="dxa"/>
            <w:tcBorders>
              <w:left w:val="nil"/>
              <w:bottom w:val="nil"/>
            </w:tcBorders>
          </w:tcPr>
          <w:p w14:paraId="5F2FD12B" w14:textId="77777777" w:rsidR="002D6D33" w:rsidRPr="00ED0923" w:rsidRDefault="002D6D33" w:rsidP="00B05542">
            <w:pPr>
              <w:jc w:val="center"/>
              <w:rPr>
                <w:sz w:val="22"/>
                <w:szCs w:val="22"/>
              </w:rPr>
            </w:pPr>
            <w:r w:rsidRPr="00ED0923">
              <w:rPr>
                <w:sz w:val="22"/>
                <w:szCs w:val="22"/>
              </w:rPr>
              <w:t>H</w:t>
            </w:r>
            <w:r w:rsidRPr="00ED0923">
              <w:rPr>
                <w:sz w:val="22"/>
                <w:szCs w:val="22"/>
                <w:vertAlign w:val="subscript"/>
              </w:rPr>
              <w:t>eterogeneity</w:t>
            </w:r>
          </w:p>
        </w:tc>
      </w:tr>
      <w:tr w:rsidR="002D6D33" w:rsidRPr="00ED0923" w14:paraId="1B0F258A" w14:textId="77777777" w:rsidTr="001C0EAD">
        <w:tc>
          <w:tcPr>
            <w:tcW w:w="1209" w:type="dxa"/>
            <w:tcBorders>
              <w:top w:val="nil"/>
              <w:bottom w:val="nil"/>
              <w:right w:val="nil"/>
            </w:tcBorders>
          </w:tcPr>
          <w:p w14:paraId="4B4DE82C" w14:textId="77777777" w:rsidR="002D6D33" w:rsidRPr="00ED0923" w:rsidRDefault="002D6D33" w:rsidP="00517D14">
            <w:pPr>
              <w:jc w:val="both"/>
              <w:rPr>
                <w:sz w:val="22"/>
                <w:szCs w:val="22"/>
              </w:rPr>
            </w:pPr>
            <w:r w:rsidRPr="00ED0923">
              <w:rPr>
                <w:sz w:val="22"/>
                <w:szCs w:val="22"/>
              </w:rPr>
              <w:t>Female</w:t>
            </w:r>
          </w:p>
        </w:tc>
        <w:tc>
          <w:tcPr>
            <w:tcW w:w="2396" w:type="dxa"/>
            <w:tcBorders>
              <w:top w:val="nil"/>
              <w:left w:val="nil"/>
              <w:bottom w:val="nil"/>
              <w:right w:val="nil"/>
            </w:tcBorders>
          </w:tcPr>
          <w:p w14:paraId="06D0B2A2" w14:textId="77777777" w:rsidR="002D6D33" w:rsidRPr="00ED0923" w:rsidRDefault="002D6D33" w:rsidP="00B05542">
            <w:pPr>
              <w:jc w:val="center"/>
              <w:rPr>
                <w:sz w:val="22"/>
                <w:szCs w:val="22"/>
              </w:rPr>
            </w:pPr>
            <w:r w:rsidRPr="00ED0923">
              <w:rPr>
                <w:sz w:val="22"/>
                <w:szCs w:val="22"/>
              </w:rPr>
              <w:t>1.06 (0.82, 1.36)</w:t>
            </w:r>
          </w:p>
        </w:tc>
        <w:tc>
          <w:tcPr>
            <w:tcW w:w="2397" w:type="dxa"/>
            <w:tcBorders>
              <w:top w:val="nil"/>
              <w:left w:val="nil"/>
              <w:bottom w:val="nil"/>
              <w:right w:val="nil"/>
            </w:tcBorders>
          </w:tcPr>
          <w:p w14:paraId="0F61B1BE" w14:textId="77777777" w:rsidR="002D6D33" w:rsidRPr="00ED0923" w:rsidRDefault="002D6D33" w:rsidP="00B05542">
            <w:pPr>
              <w:pStyle w:val="HTMLPreformatted"/>
              <w:shd w:val="clear" w:color="auto" w:fill="FFFFFF"/>
              <w:jc w:val="center"/>
              <w:rPr>
                <w:rFonts w:ascii="Times New Roman" w:hAnsi="Times New Roman" w:cs="Times New Roman"/>
                <w:color w:val="000000"/>
                <w:sz w:val="22"/>
                <w:szCs w:val="22"/>
              </w:rPr>
            </w:pPr>
            <w:r w:rsidRPr="00ED0923">
              <w:rPr>
                <w:rFonts w:ascii="Times New Roman" w:hAnsi="Times New Roman" w:cs="Times New Roman"/>
                <w:color w:val="000000"/>
                <w:sz w:val="22"/>
                <w:szCs w:val="22"/>
              </w:rPr>
              <w:t>0.053</w:t>
            </w:r>
          </w:p>
        </w:tc>
        <w:tc>
          <w:tcPr>
            <w:tcW w:w="2396" w:type="dxa"/>
            <w:tcBorders>
              <w:top w:val="nil"/>
              <w:left w:val="nil"/>
              <w:bottom w:val="nil"/>
              <w:right w:val="nil"/>
            </w:tcBorders>
          </w:tcPr>
          <w:p w14:paraId="31EC850A" w14:textId="77777777" w:rsidR="002D6D33" w:rsidRPr="00ED0923" w:rsidRDefault="002D6D33" w:rsidP="00B05542">
            <w:pPr>
              <w:jc w:val="center"/>
              <w:rPr>
                <w:sz w:val="22"/>
                <w:szCs w:val="22"/>
              </w:rPr>
            </w:pPr>
            <w:r w:rsidRPr="00ED0923">
              <w:rPr>
                <w:sz w:val="22"/>
                <w:szCs w:val="22"/>
              </w:rPr>
              <w:t>1.02 (1.01, 1.04)</w:t>
            </w:r>
          </w:p>
        </w:tc>
        <w:tc>
          <w:tcPr>
            <w:tcW w:w="2397" w:type="dxa"/>
            <w:tcBorders>
              <w:top w:val="nil"/>
              <w:left w:val="nil"/>
              <w:bottom w:val="nil"/>
            </w:tcBorders>
          </w:tcPr>
          <w:p w14:paraId="59B8A141" w14:textId="77777777" w:rsidR="002D6D33" w:rsidRPr="00ED0923" w:rsidRDefault="002D6D33" w:rsidP="00B05542">
            <w:pPr>
              <w:jc w:val="center"/>
              <w:rPr>
                <w:sz w:val="22"/>
                <w:szCs w:val="22"/>
              </w:rPr>
            </w:pPr>
            <w:r w:rsidRPr="00ED0923">
              <w:rPr>
                <w:sz w:val="22"/>
                <w:szCs w:val="22"/>
              </w:rPr>
              <w:t>0.712</w:t>
            </w:r>
          </w:p>
        </w:tc>
      </w:tr>
      <w:tr w:rsidR="002D6D33" w:rsidRPr="00ED0923" w14:paraId="3FA96ACA" w14:textId="77777777" w:rsidTr="001C0EAD">
        <w:tc>
          <w:tcPr>
            <w:tcW w:w="1209" w:type="dxa"/>
            <w:tcBorders>
              <w:top w:val="nil"/>
              <w:right w:val="nil"/>
            </w:tcBorders>
          </w:tcPr>
          <w:p w14:paraId="2F1FDA54" w14:textId="77777777" w:rsidR="002D6D33" w:rsidRPr="00ED0923" w:rsidRDefault="002D6D33" w:rsidP="00517D14">
            <w:pPr>
              <w:jc w:val="both"/>
              <w:rPr>
                <w:sz w:val="22"/>
                <w:szCs w:val="22"/>
              </w:rPr>
            </w:pPr>
            <w:r w:rsidRPr="00ED0923">
              <w:rPr>
                <w:sz w:val="22"/>
                <w:szCs w:val="22"/>
              </w:rPr>
              <w:t>Male</w:t>
            </w:r>
          </w:p>
        </w:tc>
        <w:tc>
          <w:tcPr>
            <w:tcW w:w="2396" w:type="dxa"/>
            <w:tcBorders>
              <w:top w:val="nil"/>
              <w:left w:val="nil"/>
              <w:right w:val="nil"/>
            </w:tcBorders>
          </w:tcPr>
          <w:p w14:paraId="74078F05" w14:textId="77777777" w:rsidR="002D6D33" w:rsidRPr="00ED0923" w:rsidRDefault="002D6D33" w:rsidP="00B05542">
            <w:pPr>
              <w:jc w:val="center"/>
              <w:rPr>
                <w:sz w:val="22"/>
                <w:szCs w:val="22"/>
              </w:rPr>
            </w:pPr>
            <w:r w:rsidRPr="00ED0923">
              <w:rPr>
                <w:sz w:val="22"/>
                <w:szCs w:val="22"/>
              </w:rPr>
              <w:t>0.69 (0.38, 1.27)</w:t>
            </w:r>
          </w:p>
        </w:tc>
        <w:tc>
          <w:tcPr>
            <w:tcW w:w="2397" w:type="dxa"/>
            <w:tcBorders>
              <w:top w:val="nil"/>
              <w:left w:val="nil"/>
              <w:right w:val="nil"/>
            </w:tcBorders>
          </w:tcPr>
          <w:p w14:paraId="6106B018" w14:textId="77777777" w:rsidR="002D6D33" w:rsidRPr="00ED0923" w:rsidRDefault="002D6D33" w:rsidP="00B05542">
            <w:pPr>
              <w:jc w:val="center"/>
              <w:rPr>
                <w:sz w:val="22"/>
                <w:szCs w:val="22"/>
              </w:rPr>
            </w:pPr>
          </w:p>
        </w:tc>
        <w:tc>
          <w:tcPr>
            <w:tcW w:w="2396" w:type="dxa"/>
            <w:tcBorders>
              <w:top w:val="nil"/>
              <w:left w:val="nil"/>
              <w:right w:val="nil"/>
            </w:tcBorders>
          </w:tcPr>
          <w:p w14:paraId="589E7D88" w14:textId="77777777" w:rsidR="002D6D33" w:rsidRPr="00ED0923" w:rsidRDefault="002D6D33" w:rsidP="00B05542">
            <w:pPr>
              <w:jc w:val="center"/>
              <w:rPr>
                <w:sz w:val="22"/>
                <w:szCs w:val="22"/>
              </w:rPr>
            </w:pPr>
            <w:r w:rsidRPr="00ED0923">
              <w:rPr>
                <w:sz w:val="22"/>
                <w:szCs w:val="22"/>
              </w:rPr>
              <w:t>1.02 (0.97, 1.06)</w:t>
            </w:r>
          </w:p>
        </w:tc>
        <w:tc>
          <w:tcPr>
            <w:tcW w:w="2397" w:type="dxa"/>
            <w:tcBorders>
              <w:top w:val="nil"/>
              <w:left w:val="nil"/>
            </w:tcBorders>
          </w:tcPr>
          <w:p w14:paraId="5342AB10" w14:textId="77777777" w:rsidR="002D6D33" w:rsidRPr="00ED0923" w:rsidRDefault="002D6D33" w:rsidP="00B05542">
            <w:pPr>
              <w:jc w:val="center"/>
              <w:rPr>
                <w:sz w:val="22"/>
                <w:szCs w:val="22"/>
              </w:rPr>
            </w:pPr>
          </w:p>
        </w:tc>
      </w:tr>
      <w:tr w:rsidR="002D6D33" w:rsidRPr="00ED0923" w14:paraId="06D92B49" w14:textId="77777777" w:rsidTr="001C0EAD">
        <w:tc>
          <w:tcPr>
            <w:tcW w:w="10795" w:type="dxa"/>
            <w:gridSpan w:val="5"/>
            <w:tcBorders>
              <w:bottom w:val="single" w:sz="4" w:space="0" w:color="auto"/>
            </w:tcBorders>
          </w:tcPr>
          <w:p w14:paraId="6172A963" w14:textId="77777777" w:rsidR="002D6D33" w:rsidRPr="00ED0923" w:rsidRDefault="002D6D33" w:rsidP="00517D14">
            <w:pPr>
              <w:jc w:val="both"/>
              <w:rPr>
                <w:sz w:val="22"/>
                <w:szCs w:val="22"/>
              </w:rPr>
            </w:pPr>
            <w:r w:rsidRPr="00ED0923">
              <w:rPr>
                <w:sz w:val="22"/>
                <w:szCs w:val="22"/>
              </w:rPr>
              <w:t>Stratified Cox</w:t>
            </w:r>
          </w:p>
        </w:tc>
      </w:tr>
      <w:tr w:rsidR="002D6D33" w:rsidRPr="00ED0923" w14:paraId="6B449EB3" w14:textId="77777777" w:rsidTr="001C0EAD">
        <w:tc>
          <w:tcPr>
            <w:tcW w:w="1209" w:type="dxa"/>
            <w:tcBorders>
              <w:bottom w:val="nil"/>
              <w:right w:val="nil"/>
            </w:tcBorders>
          </w:tcPr>
          <w:p w14:paraId="545E4DB6" w14:textId="77777777" w:rsidR="002D6D33" w:rsidRPr="00ED0923" w:rsidRDefault="002D6D33" w:rsidP="00517D14">
            <w:pPr>
              <w:jc w:val="both"/>
              <w:rPr>
                <w:sz w:val="22"/>
                <w:szCs w:val="22"/>
              </w:rPr>
            </w:pPr>
          </w:p>
        </w:tc>
        <w:tc>
          <w:tcPr>
            <w:tcW w:w="2396" w:type="dxa"/>
            <w:tcBorders>
              <w:left w:val="nil"/>
              <w:bottom w:val="nil"/>
              <w:right w:val="nil"/>
            </w:tcBorders>
          </w:tcPr>
          <w:p w14:paraId="40D80FD1" w14:textId="77777777" w:rsidR="002D6D33" w:rsidRPr="00ED0923" w:rsidRDefault="002D6D33" w:rsidP="00B05542">
            <w:pPr>
              <w:jc w:val="center"/>
              <w:rPr>
                <w:sz w:val="22"/>
                <w:szCs w:val="22"/>
              </w:rPr>
            </w:pPr>
            <w:r w:rsidRPr="00ED0923">
              <w:rPr>
                <w:sz w:val="22"/>
                <w:szCs w:val="22"/>
              </w:rPr>
              <w:t>MV-adjusted</w:t>
            </w:r>
          </w:p>
        </w:tc>
        <w:tc>
          <w:tcPr>
            <w:tcW w:w="2397" w:type="dxa"/>
            <w:tcBorders>
              <w:left w:val="nil"/>
              <w:bottom w:val="nil"/>
              <w:right w:val="nil"/>
            </w:tcBorders>
          </w:tcPr>
          <w:p w14:paraId="3BE39074" w14:textId="77777777" w:rsidR="002D6D33" w:rsidRPr="00ED0923" w:rsidRDefault="002D6D33" w:rsidP="00B05542">
            <w:pPr>
              <w:jc w:val="center"/>
              <w:rPr>
                <w:sz w:val="22"/>
                <w:szCs w:val="22"/>
              </w:rPr>
            </w:pPr>
            <w:r w:rsidRPr="00ED0923">
              <w:rPr>
                <w:sz w:val="22"/>
                <w:szCs w:val="22"/>
              </w:rPr>
              <w:t>H</w:t>
            </w:r>
            <w:r w:rsidRPr="00ED0923">
              <w:rPr>
                <w:sz w:val="22"/>
                <w:szCs w:val="22"/>
                <w:vertAlign w:val="subscript"/>
              </w:rPr>
              <w:t>eterogeneity</w:t>
            </w:r>
          </w:p>
        </w:tc>
        <w:tc>
          <w:tcPr>
            <w:tcW w:w="2396" w:type="dxa"/>
            <w:tcBorders>
              <w:left w:val="nil"/>
              <w:bottom w:val="nil"/>
              <w:right w:val="nil"/>
            </w:tcBorders>
          </w:tcPr>
          <w:p w14:paraId="24298F94" w14:textId="77777777" w:rsidR="002D6D33" w:rsidRPr="00ED0923" w:rsidRDefault="002D6D33" w:rsidP="00B05542">
            <w:pPr>
              <w:jc w:val="center"/>
              <w:rPr>
                <w:sz w:val="22"/>
                <w:szCs w:val="22"/>
              </w:rPr>
            </w:pPr>
            <w:r w:rsidRPr="00ED0923">
              <w:rPr>
                <w:sz w:val="22"/>
                <w:szCs w:val="22"/>
              </w:rPr>
              <w:t>MV-adjusted</w:t>
            </w:r>
          </w:p>
        </w:tc>
        <w:tc>
          <w:tcPr>
            <w:tcW w:w="2397" w:type="dxa"/>
            <w:tcBorders>
              <w:left w:val="nil"/>
              <w:bottom w:val="nil"/>
            </w:tcBorders>
          </w:tcPr>
          <w:p w14:paraId="6975E7A5" w14:textId="77777777" w:rsidR="002D6D33" w:rsidRPr="00ED0923" w:rsidRDefault="002D6D33" w:rsidP="00B05542">
            <w:pPr>
              <w:jc w:val="center"/>
              <w:rPr>
                <w:sz w:val="22"/>
                <w:szCs w:val="22"/>
              </w:rPr>
            </w:pPr>
            <w:r w:rsidRPr="00ED0923">
              <w:rPr>
                <w:sz w:val="22"/>
                <w:szCs w:val="22"/>
              </w:rPr>
              <w:t>H</w:t>
            </w:r>
            <w:r w:rsidRPr="00ED0923">
              <w:rPr>
                <w:sz w:val="22"/>
                <w:szCs w:val="22"/>
                <w:vertAlign w:val="subscript"/>
              </w:rPr>
              <w:t>eterogeneity</w:t>
            </w:r>
          </w:p>
        </w:tc>
      </w:tr>
      <w:tr w:rsidR="002D6D33" w:rsidRPr="00ED0923" w14:paraId="5AF5AB93" w14:textId="77777777" w:rsidTr="001C0EAD">
        <w:tc>
          <w:tcPr>
            <w:tcW w:w="1209" w:type="dxa"/>
            <w:tcBorders>
              <w:top w:val="nil"/>
              <w:bottom w:val="nil"/>
              <w:right w:val="nil"/>
            </w:tcBorders>
          </w:tcPr>
          <w:p w14:paraId="4289193C" w14:textId="77777777" w:rsidR="002D6D33" w:rsidRPr="00ED0923" w:rsidRDefault="002D6D33" w:rsidP="00517D14">
            <w:pPr>
              <w:jc w:val="both"/>
              <w:rPr>
                <w:sz w:val="22"/>
                <w:szCs w:val="22"/>
              </w:rPr>
            </w:pPr>
            <w:r w:rsidRPr="00ED0923">
              <w:rPr>
                <w:sz w:val="22"/>
                <w:szCs w:val="22"/>
              </w:rPr>
              <w:t>Female</w:t>
            </w:r>
          </w:p>
        </w:tc>
        <w:tc>
          <w:tcPr>
            <w:tcW w:w="2396" w:type="dxa"/>
            <w:tcBorders>
              <w:top w:val="nil"/>
              <w:left w:val="nil"/>
              <w:bottom w:val="nil"/>
              <w:right w:val="nil"/>
            </w:tcBorders>
          </w:tcPr>
          <w:p w14:paraId="2099F554" w14:textId="77777777" w:rsidR="002D6D33" w:rsidRPr="00ED0923" w:rsidRDefault="002D6D33" w:rsidP="00B05542">
            <w:pPr>
              <w:jc w:val="center"/>
              <w:rPr>
                <w:sz w:val="22"/>
                <w:szCs w:val="22"/>
              </w:rPr>
            </w:pPr>
            <w:r w:rsidRPr="00ED0923">
              <w:rPr>
                <w:sz w:val="22"/>
                <w:szCs w:val="22"/>
              </w:rPr>
              <w:t>1.52 (1.06, 2.18)</w:t>
            </w:r>
          </w:p>
        </w:tc>
        <w:tc>
          <w:tcPr>
            <w:tcW w:w="2397" w:type="dxa"/>
            <w:tcBorders>
              <w:top w:val="nil"/>
              <w:left w:val="nil"/>
              <w:bottom w:val="nil"/>
              <w:right w:val="nil"/>
            </w:tcBorders>
          </w:tcPr>
          <w:p w14:paraId="4D656BE2" w14:textId="77777777" w:rsidR="002D6D33" w:rsidRPr="00ED0923" w:rsidRDefault="002D6D33" w:rsidP="00B05542">
            <w:pPr>
              <w:jc w:val="center"/>
              <w:rPr>
                <w:sz w:val="22"/>
                <w:szCs w:val="22"/>
              </w:rPr>
            </w:pPr>
            <w:r w:rsidRPr="00ED0923">
              <w:rPr>
                <w:sz w:val="22"/>
                <w:szCs w:val="22"/>
              </w:rPr>
              <w:t>0.122</w:t>
            </w:r>
          </w:p>
        </w:tc>
        <w:tc>
          <w:tcPr>
            <w:tcW w:w="2396" w:type="dxa"/>
            <w:tcBorders>
              <w:top w:val="nil"/>
              <w:left w:val="nil"/>
              <w:bottom w:val="nil"/>
              <w:right w:val="nil"/>
            </w:tcBorders>
          </w:tcPr>
          <w:p w14:paraId="46E8AB2C" w14:textId="77777777" w:rsidR="002D6D33" w:rsidRPr="00ED0923" w:rsidRDefault="002D6D33" w:rsidP="00B05542">
            <w:pPr>
              <w:jc w:val="center"/>
              <w:rPr>
                <w:sz w:val="22"/>
                <w:szCs w:val="22"/>
              </w:rPr>
            </w:pPr>
            <w:r w:rsidRPr="00ED0923">
              <w:rPr>
                <w:sz w:val="22"/>
                <w:szCs w:val="22"/>
              </w:rPr>
              <w:t>1.03 (0.99, 1.07)</w:t>
            </w:r>
          </w:p>
        </w:tc>
        <w:tc>
          <w:tcPr>
            <w:tcW w:w="2397" w:type="dxa"/>
            <w:tcBorders>
              <w:top w:val="nil"/>
              <w:left w:val="nil"/>
              <w:bottom w:val="nil"/>
            </w:tcBorders>
          </w:tcPr>
          <w:p w14:paraId="66FB8A4D" w14:textId="77777777" w:rsidR="002D6D33" w:rsidRPr="00ED0923" w:rsidRDefault="002D6D33" w:rsidP="00B05542">
            <w:pPr>
              <w:pStyle w:val="HTMLPreformatted"/>
              <w:shd w:val="clear" w:color="auto" w:fill="FFFFFF"/>
              <w:jc w:val="center"/>
              <w:rPr>
                <w:rFonts w:ascii="Times New Roman" w:hAnsi="Times New Roman" w:cs="Times New Roman"/>
                <w:color w:val="000000"/>
                <w:sz w:val="22"/>
                <w:szCs w:val="22"/>
              </w:rPr>
            </w:pPr>
            <w:r w:rsidRPr="00ED0923">
              <w:rPr>
                <w:rFonts w:ascii="Times New Roman" w:hAnsi="Times New Roman" w:cs="Times New Roman"/>
                <w:color w:val="000000"/>
                <w:sz w:val="22"/>
                <w:szCs w:val="22"/>
              </w:rPr>
              <w:t>0.868</w:t>
            </w:r>
          </w:p>
        </w:tc>
      </w:tr>
      <w:tr w:rsidR="002D6D33" w:rsidRPr="00ED0923" w14:paraId="20734747" w14:textId="77777777" w:rsidTr="001C0EAD">
        <w:tc>
          <w:tcPr>
            <w:tcW w:w="1209" w:type="dxa"/>
            <w:tcBorders>
              <w:top w:val="nil"/>
              <w:right w:val="nil"/>
            </w:tcBorders>
          </w:tcPr>
          <w:p w14:paraId="1DC40D0E" w14:textId="77777777" w:rsidR="002D6D33" w:rsidRPr="00ED0923" w:rsidRDefault="002D6D33" w:rsidP="00517D14">
            <w:pPr>
              <w:jc w:val="both"/>
              <w:rPr>
                <w:sz w:val="22"/>
                <w:szCs w:val="22"/>
              </w:rPr>
            </w:pPr>
            <w:r w:rsidRPr="00ED0923">
              <w:rPr>
                <w:sz w:val="22"/>
                <w:szCs w:val="22"/>
              </w:rPr>
              <w:t>Male</w:t>
            </w:r>
          </w:p>
        </w:tc>
        <w:tc>
          <w:tcPr>
            <w:tcW w:w="2396" w:type="dxa"/>
            <w:tcBorders>
              <w:top w:val="nil"/>
              <w:left w:val="nil"/>
              <w:right w:val="nil"/>
            </w:tcBorders>
          </w:tcPr>
          <w:p w14:paraId="0535A616" w14:textId="77777777" w:rsidR="002D6D33" w:rsidRPr="00ED0923" w:rsidRDefault="002D6D33" w:rsidP="00B05542">
            <w:pPr>
              <w:jc w:val="center"/>
              <w:rPr>
                <w:sz w:val="22"/>
                <w:szCs w:val="22"/>
              </w:rPr>
            </w:pPr>
            <w:r w:rsidRPr="00ED0923">
              <w:rPr>
                <w:sz w:val="22"/>
                <w:szCs w:val="22"/>
              </w:rPr>
              <w:t>1.08 (0.84, 1.40)</w:t>
            </w:r>
          </w:p>
        </w:tc>
        <w:tc>
          <w:tcPr>
            <w:tcW w:w="2397" w:type="dxa"/>
            <w:tcBorders>
              <w:top w:val="nil"/>
              <w:left w:val="nil"/>
              <w:right w:val="nil"/>
            </w:tcBorders>
          </w:tcPr>
          <w:p w14:paraId="76313EDB" w14:textId="77777777" w:rsidR="002D6D33" w:rsidRPr="00ED0923" w:rsidRDefault="002D6D33" w:rsidP="00B05542">
            <w:pPr>
              <w:jc w:val="center"/>
              <w:rPr>
                <w:sz w:val="22"/>
                <w:szCs w:val="22"/>
              </w:rPr>
            </w:pPr>
          </w:p>
        </w:tc>
        <w:tc>
          <w:tcPr>
            <w:tcW w:w="2396" w:type="dxa"/>
            <w:tcBorders>
              <w:top w:val="nil"/>
              <w:left w:val="nil"/>
              <w:right w:val="nil"/>
            </w:tcBorders>
          </w:tcPr>
          <w:p w14:paraId="5A453F7C" w14:textId="77777777" w:rsidR="002D6D33" w:rsidRPr="00ED0923" w:rsidRDefault="002D6D33" w:rsidP="00B05542">
            <w:pPr>
              <w:jc w:val="center"/>
              <w:rPr>
                <w:sz w:val="22"/>
                <w:szCs w:val="22"/>
              </w:rPr>
            </w:pPr>
            <w:r w:rsidRPr="00ED0923">
              <w:rPr>
                <w:sz w:val="22"/>
                <w:szCs w:val="22"/>
              </w:rPr>
              <w:t>1.02 (1.01, 1.04)</w:t>
            </w:r>
          </w:p>
        </w:tc>
        <w:tc>
          <w:tcPr>
            <w:tcW w:w="2397" w:type="dxa"/>
            <w:tcBorders>
              <w:top w:val="nil"/>
              <w:left w:val="nil"/>
            </w:tcBorders>
          </w:tcPr>
          <w:p w14:paraId="2DA14F7D" w14:textId="77777777" w:rsidR="002D6D33" w:rsidRPr="00ED0923" w:rsidRDefault="002D6D33" w:rsidP="00B05542">
            <w:pPr>
              <w:jc w:val="center"/>
              <w:rPr>
                <w:sz w:val="22"/>
                <w:szCs w:val="22"/>
              </w:rPr>
            </w:pPr>
          </w:p>
        </w:tc>
      </w:tr>
      <w:tr w:rsidR="002D6D33" w:rsidRPr="00ED0923" w14:paraId="7ADC268B" w14:textId="77777777" w:rsidTr="001C0EAD">
        <w:tc>
          <w:tcPr>
            <w:tcW w:w="10795" w:type="dxa"/>
            <w:gridSpan w:val="5"/>
            <w:tcBorders>
              <w:bottom w:val="single" w:sz="4" w:space="0" w:color="auto"/>
            </w:tcBorders>
          </w:tcPr>
          <w:p w14:paraId="0182329B" w14:textId="77777777" w:rsidR="002D6D33" w:rsidRPr="00ED0923" w:rsidRDefault="002D6D33" w:rsidP="00517D14">
            <w:pPr>
              <w:jc w:val="both"/>
              <w:rPr>
                <w:sz w:val="22"/>
                <w:szCs w:val="22"/>
              </w:rPr>
            </w:pPr>
            <w:r w:rsidRPr="00ED0923">
              <w:rPr>
                <w:sz w:val="22"/>
                <w:szCs w:val="22"/>
              </w:rPr>
              <w:t>Subgroup analysis</w:t>
            </w:r>
          </w:p>
        </w:tc>
      </w:tr>
      <w:tr w:rsidR="002D6D33" w:rsidRPr="00ED0923" w14:paraId="406BEF7F" w14:textId="77777777" w:rsidTr="001C0EAD">
        <w:tc>
          <w:tcPr>
            <w:tcW w:w="1209" w:type="dxa"/>
            <w:tcBorders>
              <w:bottom w:val="nil"/>
              <w:right w:val="nil"/>
            </w:tcBorders>
          </w:tcPr>
          <w:p w14:paraId="6ABF9237" w14:textId="77777777" w:rsidR="002D6D33" w:rsidRPr="00ED0923" w:rsidRDefault="002D6D33" w:rsidP="00517D14">
            <w:pPr>
              <w:jc w:val="both"/>
              <w:rPr>
                <w:sz w:val="22"/>
                <w:szCs w:val="22"/>
              </w:rPr>
            </w:pPr>
          </w:p>
        </w:tc>
        <w:tc>
          <w:tcPr>
            <w:tcW w:w="2396" w:type="dxa"/>
            <w:tcBorders>
              <w:left w:val="nil"/>
              <w:bottom w:val="nil"/>
              <w:right w:val="nil"/>
            </w:tcBorders>
          </w:tcPr>
          <w:p w14:paraId="525926C4" w14:textId="77777777" w:rsidR="002D6D33" w:rsidRPr="00ED0923" w:rsidRDefault="002D6D33" w:rsidP="00B05542">
            <w:pPr>
              <w:jc w:val="center"/>
              <w:rPr>
                <w:sz w:val="22"/>
                <w:szCs w:val="22"/>
              </w:rPr>
            </w:pPr>
            <w:r w:rsidRPr="00ED0923">
              <w:rPr>
                <w:sz w:val="22"/>
                <w:szCs w:val="22"/>
              </w:rPr>
              <w:t>MV-adjusted</w:t>
            </w:r>
          </w:p>
        </w:tc>
        <w:tc>
          <w:tcPr>
            <w:tcW w:w="2397" w:type="dxa"/>
            <w:tcBorders>
              <w:left w:val="nil"/>
              <w:bottom w:val="nil"/>
              <w:right w:val="nil"/>
            </w:tcBorders>
          </w:tcPr>
          <w:p w14:paraId="4130FE6D" w14:textId="77777777" w:rsidR="002D6D33" w:rsidRPr="00ED0923" w:rsidRDefault="002D6D33" w:rsidP="00B05542">
            <w:pPr>
              <w:jc w:val="center"/>
              <w:rPr>
                <w:sz w:val="22"/>
                <w:szCs w:val="22"/>
              </w:rPr>
            </w:pPr>
            <w:r w:rsidRPr="00ED0923">
              <w:rPr>
                <w:sz w:val="22"/>
                <w:szCs w:val="22"/>
              </w:rPr>
              <w:t>H</w:t>
            </w:r>
            <w:r w:rsidRPr="00ED0923">
              <w:rPr>
                <w:sz w:val="22"/>
                <w:szCs w:val="22"/>
                <w:vertAlign w:val="subscript"/>
              </w:rPr>
              <w:t>eterogeneity</w:t>
            </w:r>
          </w:p>
        </w:tc>
        <w:tc>
          <w:tcPr>
            <w:tcW w:w="2396" w:type="dxa"/>
            <w:tcBorders>
              <w:left w:val="nil"/>
              <w:bottom w:val="nil"/>
              <w:right w:val="nil"/>
            </w:tcBorders>
          </w:tcPr>
          <w:p w14:paraId="0F9D718B" w14:textId="77777777" w:rsidR="002D6D33" w:rsidRPr="00ED0923" w:rsidRDefault="002D6D33" w:rsidP="00B05542">
            <w:pPr>
              <w:jc w:val="center"/>
              <w:rPr>
                <w:sz w:val="22"/>
                <w:szCs w:val="22"/>
              </w:rPr>
            </w:pPr>
            <w:r w:rsidRPr="00ED0923">
              <w:rPr>
                <w:sz w:val="22"/>
                <w:szCs w:val="22"/>
              </w:rPr>
              <w:t>MV-adjusted</w:t>
            </w:r>
          </w:p>
        </w:tc>
        <w:tc>
          <w:tcPr>
            <w:tcW w:w="2397" w:type="dxa"/>
            <w:tcBorders>
              <w:left w:val="nil"/>
              <w:bottom w:val="nil"/>
            </w:tcBorders>
          </w:tcPr>
          <w:p w14:paraId="2619A216" w14:textId="77777777" w:rsidR="002D6D33" w:rsidRPr="00ED0923" w:rsidRDefault="002D6D33" w:rsidP="00B05542">
            <w:pPr>
              <w:jc w:val="center"/>
              <w:rPr>
                <w:sz w:val="22"/>
                <w:szCs w:val="22"/>
              </w:rPr>
            </w:pPr>
            <w:r w:rsidRPr="00ED0923">
              <w:rPr>
                <w:sz w:val="22"/>
                <w:szCs w:val="22"/>
              </w:rPr>
              <w:t>H</w:t>
            </w:r>
            <w:r w:rsidRPr="00ED0923">
              <w:rPr>
                <w:sz w:val="22"/>
                <w:szCs w:val="22"/>
                <w:vertAlign w:val="subscript"/>
              </w:rPr>
              <w:t>eterogeneity</w:t>
            </w:r>
          </w:p>
        </w:tc>
      </w:tr>
      <w:tr w:rsidR="002D6D33" w:rsidRPr="00ED0923" w14:paraId="0C398962" w14:textId="77777777" w:rsidTr="001C0EAD">
        <w:tc>
          <w:tcPr>
            <w:tcW w:w="1209" w:type="dxa"/>
            <w:tcBorders>
              <w:top w:val="nil"/>
              <w:bottom w:val="nil"/>
              <w:right w:val="nil"/>
            </w:tcBorders>
          </w:tcPr>
          <w:p w14:paraId="07CFBC3F" w14:textId="77777777" w:rsidR="002D6D33" w:rsidRPr="00ED0923" w:rsidRDefault="002D6D33" w:rsidP="00517D14">
            <w:pPr>
              <w:jc w:val="both"/>
              <w:rPr>
                <w:sz w:val="22"/>
                <w:szCs w:val="22"/>
              </w:rPr>
            </w:pPr>
            <w:r w:rsidRPr="00ED0923">
              <w:rPr>
                <w:sz w:val="22"/>
                <w:szCs w:val="22"/>
              </w:rPr>
              <w:t>Female</w:t>
            </w:r>
          </w:p>
        </w:tc>
        <w:tc>
          <w:tcPr>
            <w:tcW w:w="2396" w:type="dxa"/>
            <w:tcBorders>
              <w:top w:val="nil"/>
              <w:left w:val="nil"/>
              <w:bottom w:val="nil"/>
              <w:right w:val="nil"/>
            </w:tcBorders>
          </w:tcPr>
          <w:p w14:paraId="47757FF3" w14:textId="77777777" w:rsidR="002D6D33" w:rsidRPr="00ED0923" w:rsidRDefault="002D6D33" w:rsidP="00B05542">
            <w:pPr>
              <w:jc w:val="center"/>
              <w:rPr>
                <w:sz w:val="22"/>
                <w:szCs w:val="22"/>
              </w:rPr>
            </w:pPr>
            <w:r w:rsidRPr="00ED0923">
              <w:rPr>
                <w:sz w:val="22"/>
                <w:szCs w:val="22"/>
              </w:rPr>
              <w:t>1.35 (0.92-1.96)</w:t>
            </w:r>
          </w:p>
        </w:tc>
        <w:tc>
          <w:tcPr>
            <w:tcW w:w="2397" w:type="dxa"/>
            <w:tcBorders>
              <w:top w:val="nil"/>
              <w:left w:val="nil"/>
              <w:bottom w:val="nil"/>
              <w:right w:val="nil"/>
            </w:tcBorders>
          </w:tcPr>
          <w:p w14:paraId="01BA5690" w14:textId="77777777" w:rsidR="002D6D33" w:rsidRPr="00ED0923" w:rsidRDefault="002D6D33" w:rsidP="00B05542">
            <w:pPr>
              <w:jc w:val="center"/>
              <w:rPr>
                <w:sz w:val="22"/>
                <w:szCs w:val="22"/>
              </w:rPr>
            </w:pPr>
            <w:r w:rsidRPr="00ED0923">
              <w:rPr>
                <w:sz w:val="22"/>
                <w:szCs w:val="22"/>
              </w:rPr>
              <w:t>0.231</w:t>
            </w:r>
          </w:p>
        </w:tc>
        <w:tc>
          <w:tcPr>
            <w:tcW w:w="2396" w:type="dxa"/>
            <w:tcBorders>
              <w:top w:val="nil"/>
              <w:left w:val="nil"/>
              <w:bottom w:val="nil"/>
              <w:right w:val="nil"/>
            </w:tcBorders>
          </w:tcPr>
          <w:p w14:paraId="64977826" w14:textId="77777777" w:rsidR="002D6D33" w:rsidRPr="00ED0923" w:rsidRDefault="002D6D33" w:rsidP="00B05542">
            <w:pPr>
              <w:jc w:val="center"/>
              <w:rPr>
                <w:sz w:val="22"/>
                <w:szCs w:val="22"/>
              </w:rPr>
            </w:pPr>
            <w:r w:rsidRPr="00ED0923">
              <w:rPr>
                <w:sz w:val="22"/>
                <w:szCs w:val="22"/>
              </w:rPr>
              <w:t>1.02 (0.97-1.06)</w:t>
            </w:r>
          </w:p>
        </w:tc>
        <w:tc>
          <w:tcPr>
            <w:tcW w:w="2397" w:type="dxa"/>
            <w:tcBorders>
              <w:top w:val="nil"/>
              <w:left w:val="nil"/>
              <w:bottom w:val="nil"/>
            </w:tcBorders>
          </w:tcPr>
          <w:p w14:paraId="21E93F99" w14:textId="77777777" w:rsidR="002D6D33" w:rsidRPr="00ED0923" w:rsidRDefault="002D6D33" w:rsidP="00B05542">
            <w:pPr>
              <w:jc w:val="center"/>
              <w:rPr>
                <w:sz w:val="22"/>
                <w:szCs w:val="22"/>
              </w:rPr>
            </w:pPr>
            <w:r w:rsidRPr="00ED0923">
              <w:rPr>
                <w:sz w:val="22"/>
                <w:szCs w:val="22"/>
              </w:rPr>
              <w:t>0.293</w:t>
            </w:r>
          </w:p>
        </w:tc>
      </w:tr>
      <w:tr w:rsidR="002D6D33" w:rsidRPr="00ED0923" w14:paraId="4B4F286B" w14:textId="77777777" w:rsidTr="001C0EAD">
        <w:tc>
          <w:tcPr>
            <w:tcW w:w="1209" w:type="dxa"/>
            <w:tcBorders>
              <w:top w:val="nil"/>
              <w:right w:val="nil"/>
            </w:tcBorders>
          </w:tcPr>
          <w:p w14:paraId="16581BF1" w14:textId="77777777" w:rsidR="002D6D33" w:rsidRPr="00ED0923" w:rsidRDefault="002D6D33" w:rsidP="00517D14">
            <w:pPr>
              <w:jc w:val="both"/>
              <w:rPr>
                <w:sz w:val="22"/>
                <w:szCs w:val="22"/>
              </w:rPr>
            </w:pPr>
            <w:r w:rsidRPr="00ED0923">
              <w:rPr>
                <w:sz w:val="22"/>
                <w:szCs w:val="22"/>
              </w:rPr>
              <w:t>Male</w:t>
            </w:r>
          </w:p>
        </w:tc>
        <w:tc>
          <w:tcPr>
            <w:tcW w:w="2396" w:type="dxa"/>
            <w:tcBorders>
              <w:top w:val="nil"/>
              <w:left w:val="nil"/>
              <w:right w:val="nil"/>
            </w:tcBorders>
          </w:tcPr>
          <w:p w14:paraId="4D34ADE3" w14:textId="77777777" w:rsidR="002D6D33" w:rsidRPr="00ED0923" w:rsidRDefault="002D6D33" w:rsidP="00B05542">
            <w:pPr>
              <w:jc w:val="center"/>
              <w:rPr>
                <w:sz w:val="22"/>
                <w:szCs w:val="22"/>
              </w:rPr>
            </w:pPr>
            <w:r w:rsidRPr="00ED0923">
              <w:rPr>
                <w:sz w:val="22"/>
                <w:szCs w:val="22"/>
              </w:rPr>
              <w:t>1.13 (0.87-1.48)</w:t>
            </w:r>
          </w:p>
        </w:tc>
        <w:tc>
          <w:tcPr>
            <w:tcW w:w="2397" w:type="dxa"/>
            <w:tcBorders>
              <w:top w:val="nil"/>
              <w:left w:val="nil"/>
              <w:right w:val="nil"/>
            </w:tcBorders>
          </w:tcPr>
          <w:p w14:paraId="78FFC649" w14:textId="77777777" w:rsidR="002D6D33" w:rsidRPr="00ED0923" w:rsidRDefault="002D6D33" w:rsidP="00B05542">
            <w:pPr>
              <w:jc w:val="center"/>
              <w:rPr>
                <w:sz w:val="22"/>
                <w:szCs w:val="22"/>
              </w:rPr>
            </w:pPr>
          </w:p>
        </w:tc>
        <w:tc>
          <w:tcPr>
            <w:tcW w:w="2396" w:type="dxa"/>
            <w:tcBorders>
              <w:top w:val="nil"/>
              <w:left w:val="nil"/>
              <w:right w:val="nil"/>
            </w:tcBorders>
          </w:tcPr>
          <w:p w14:paraId="0766E325" w14:textId="77777777" w:rsidR="002D6D33" w:rsidRPr="00ED0923" w:rsidRDefault="002D6D33" w:rsidP="00B05542">
            <w:pPr>
              <w:jc w:val="center"/>
              <w:rPr>
                <w:sz w:val="22"/>
                <w:szCs w:val="22"/>
              </w:rPr>
            </w:pPr>
            <w:r w:rsidRPr="00ED0923">
              <w:rPr>
                <w:sz w:val="22"/>
                <w:szCs w:val="22"/>
              </w:rPr>
              <w:t>1.03 (1.01-1.04)</w:t>
            </w:r>
          </w:p>
        </w:tc>
        <w:tc>
          <w:tcPr>
            <w:tcW w:w="2397" w:type="dxa"/>
            <w:tcBorders>
              <w:top w:val="nil"/>
              <w:left w:val="nil"/>
            </w:tcBorders>
          </w:tcPr>
          <w:p w14:paraId="1124C967" w14:textId="77777777" w:rsidR="002D6D33" w:rsidRPr="00ED0923" w:rsidRDefault="002D6D33" w:rsidP="00B05542">
            <w:pPr>
              <w:jc w:val="center"/>
              <w:rPr>
                <w:sz w:val="22"/>
                <w:szCs w:val="22"/>
              </w:rPr>
            </w:pPr>
          </w:p>
        </w:tc>
      </w:tr>
      <w:tr w:rsidR="002D6D33" w:rsidRPr="00ED0923" w14:paraId="2836D5E9" w14:textId="77777777" w:rsidTr="00517D14">
        <w:tc>
          <w:tcPr>
            <w:tcW w:w="10795" w:type="dxa"/>
            <w:gridSpan w:val="5"/>
          </w:tcPr>
          <w:p w14:paraId="36CE6CF5" w14:textId="77777777" w:rsidR="002D6D33" w:rsidRPr="00ED0923" w:rsidRDefault="002D6D33" w:rsidP="00517D14">
            <w:pPr>
              <w:jc w:val="both"/>
              <w:rPr>
                <w:sz w:val="22"/>
                <w:szCs w:val="22"/>
              </w:rPr>
            </w:pPr>
            <w:r w:rsidRPr="00ED0923">
              <w:rPr>
                <w:sz w:val="22"/>
                <w:szCs w:val="22"/>
              </w:rPr>
              <w:t>Second approach, defining the exposure as prevalent alcohol intake at baseline, time scale as years since entry</w:t>
            </w:r>
          </w:p>
        </w:tc>
      </w:tr>
      <w:tr w:rsidR="002D6D33" w:rsidRPr="00ED0923" w14:paraId="0A86E73E" w14:textId="77777777" w:rsidTr="001C0EAD">
        <w:tc>
          <w:tcPr>
            <w:tcW w:w="10795" w:type="dxa"/>
            <w:gridSpan w:val="5"/>
            <w:tcBorders>
              <w:bottom w:val="single" w:sz="4" w:space="0" w:color="auto"/>
            </w:tcBorders>
          </w:tcPr>
          <w:p w14:paraId="5AB91C7E" w14:textId="77777777" w:rsidR="002D6D33" w:rsidRPr="00ED0923" w:rsidRDefault="002D6D33" w:rsidP="00517D14">
            <w:pPr>
              <w:jc w:val="both"/>
              <w:rPr>
                <w:sz w:val="22"/>
                <w:szCs w:val="22"/>
              </w:rPr>
            </w:pPr>
            <w:r w:rsidRPr="00ED0923">
              <w:rPr>
                <w:sz w:val="22"/>
                <w:szCs w:val="22"/>
              </w:rPr>
              <w:t>Adding interaction term</w:t>
            </w:r>
          </w:p>
        </w:tc>
      </w:tr>
      <w:tr w:rsidR="002D6D33" w:rsidRPr="00ED0923" w14:paraId="585875CE" w14:textId="77777777" w:rsidTr="001C0EAD">
        <w:tc>
          <w:tcPr>
            <w:tcW w:w="1209" w:type="dxa"/>
            <w:tcBorders>
              <w:bottom w:val="nil"/>
              <w:right w:val="nil"/>
            </w:tcBorders>
          </w:tcPr>
          <w:p w14:paraId="7461E45A" w14:textId="77777777" w:rsidR="002D6D33" w:rsidRPr="00ED0923" w:rsidRDefault="002D6D33" w:rsidP="00517D14">
            <w:pPr>
              <w:jc w:val="both"/>
              <w:rPr>
                <w:sz w:val="22"/>
                <w:szCs w:val="22"/>
              </w:rPr>
            </w:pPr>
          </w:p>
        </w:tc>
        <w:tc>
          <w:tcPr>
            <w:tcW w:w="2396" w:type="dxa"/>
            <w:tcBorders>
              <w:left w:val="nil"/>
              <w:bottom w:val="nil"/>
              <w:right w:val="nil"/>
            </w:tcBorders>
          </w:tcPr>
          <w:p w14:paraId="6A823EB0" w14:textId="77777777" w:rsidR="002D6D33" w:rsidRPr="00ED0923" w:rsidRDefault="002D6D33" w:rsidP="00B05542">
            <w:pPr>
              <w:jc w:val="center"/>
              <w:rPr>
                <w:sz w:val="22"/>
                <w:szCs w:val="22"/>
              </w:rPr>
            </w:pPr>
            <w:r w:rsidRPr="00ED0923">
              <w:rPr>
                <w:sz w:val="22"/>
                <w:szCs w:val="22"/>
              </w:rPr>
              <w:t>MV-adjusted</w:t>
            </w:r>
          </w:p>
        </w:tc>
        <w:tc>
          <w:tcPr>
            <w:tcW w:w="2397" w:type="dxa"/>
            <w:tcBorders>
              <w:left w:val="nil"/>
              <w:bottom w:val="nil"/>
              <w:right w:val="nil"/>
            </w:tcBorders>
          </w:tcPr>
          <w:p w14:paraId="21ABD8A8" w14:textId="77777777" w:rsidR="002D6D33" w:rsidRPr="00ED0923" w:rsidRDefault="002D6D33" w:rsidP="00B05542">
            <w:pPr>
              <w:jc w:val="center"/>
              <w:rPr>
                <w:sz w:val="22"/>
                <w:szCs w:val="22"/>
                <w:vertAlign w:val="subscript"/>
              </w:rPr>
            </w:pPr>
            <w:r w:rsidRPr="00ED0923">
              <w:rPr>
                <w:sz w:val="22"/>
                <w:szCs w:val="22"/>
              </w:rPr>
              <w:t>H</w:t>
            </w:r>
            <w:r w:rsidRPr="00ED0923">
              <w:rPr>
                <w:sz w:val="22"/>
                <w:szCs w:val="22"/>
                <w:vertAlign w:val="subscript"/>
              </w:rPr>
              <w:t>eterogeneity</w:t>
            </w:r>
          </w:p>
        </w:tc>
        <w:tc>
          <w:tcPr>
            <w:tcW w:w="2396" w:type="dxa"/>
            <w:tcBorders>
              <w:left w:val="nil"/>
              <w:bottom w:val="nil"/>
              <w:right w:val="nil"/>
            </w:tcBorders>
          </w:tcPr>
          <w:p w14:paraId="58A35C07" w14:textId="77777777" w:rsidR="002D6D33" w:rsidRPr="00ED0923" w:rsidRDefault="002D6D33" w:rsidP="00B05542">
            <w:pPr>
              <w:jc w:val="center"/>
              <w:rPr>
                <w:sz w:val="22"/>
                <w:szCs w:val="22"/>
              </w:rPr>
            </w:pPr>
            <w:r w:rsidRPr="00ED0923">
              <w:rPr>
                <w:sz w:val="22"/>
                <w:szCs w:val="22"/>
              </w:rPr>
              <w:t>MV-adjusted</w:t>
            </w:r>
          </w:p>
        </w:tc>
        <w:tc>
          <w:tcPr>
            <w:tcW w:w="2397" w:type="dxa"/>
            <w:tcBorders>
              <w:left w:val="nil"/>
              <w:bottom w:val="nil"/>
            </w:tcBorders>
          </w:tcPr>
          <w:p w14:paraId="0E0E5ED3" w14:textId="77777777" w:rsidR="002D6D33" w:rsidRPr="00ED0923" w:rsidRDefault="002D6D33" w:rsidP="00B05542">
            <w:pPr>
              <w:jc w:val="center"/>
              <w:rPr>
                <w:sz w:val="22"/>
                <w:szCs w:val="22"/>
              </w:rPr>
            </w:pPr>
            <w:r w:rsidRPr="00ED0923">
              <w:rPr>
                <w:sz w:val="22"/>
                <w:szCs w:val="22"/>
              </w:rPr>
              <w:t>H</w:t>
            </w:r>
            <w:r w:rsidRPr="00ED0923">
              <w:rPr>
                <w:sz w:val="22"/>
                <w:szCs w:val="22"/>
                <w:vertAlign w:val="subscript"/>
              </w:rPr>
              <w:t>eterogeneity</w:t>
            </w:r>
          </w:p>
        </w:tc>
      </w:tr>
      <w:tr w:rsidR="002D6D33" w:rsidRPr="00ED0923" w14:paraId="69F9B892" w14:textId="77777777" w:rsidTr="001C0EAD">
        <w:tc>
          <w:tcPr>
            <w:tcW w:w="1209" w:type="dxa"/>
            <w:tcBorders>
              <w:top w:val="nil"/>
              <w:bottom w:val="nil"/>
              <w:right w:val="nil"/>
            </w:tcBorders>
          </w:tcPr>
          <w:p w14:paraId="54AC3FAB" w14:textId="77777777" w:rsidR="002D6D33" w:rsidRPr="00ED0923" w:rsidRDefault="002D6D33" w:rsidP="00517D14">
            <w:pPr>
              <w:jc w:val="both"/>
              <w:rPr>
                <w:sz w:val="22"/>
                <w:szCs w:val="22"/>
              </w:rPr>
            </w:pPr>
            <w:r w:rsidRPr="00ED0923">
              <w:rPr>
                <w:sz w:val="22"/>
                <w:szCs w:val="22"/>
              </w:rPr>
              <w:t>Female</w:t>
            </w:r>
          </w:p>
        </w:tc>
        <w:tc>
          <w:tcPr>
            <w:tcW w:w="2396" w:type="dxa"/>
            <w:tcBorders>
              <w:top w:val="nil"/>
              <w:left w:val="nil"/>
              <w:bottom w:val="nil"/>
              <w:right w:val="nil"/>
            </w:tcBorders>
          </w:tcPr>
          <w:p w14:paraId="6F13692C" w14:textId="77777777" w:rsidR="002D6D33" w:rsidRPr="00ED0923" w:rsidRDefault="002D6D33" w:rsidP="00B05542">
            <w:pPr>
              <w:jc w:val="center"/>
              <w:rPr>
                <w:sz w:val="22"/>
                <w:szCs w:val="22"/>
              </w:rPr>
            </w:pPr>
            <w:r w:rsidRPr="00ED0923">
              <w:rPr>
                <w:sz w:val="22"/>
                <w:szCs w:val="22"/>
              </w:rPr>
              <w:t>1.59 (1.11-2.28)</w:t>
            </w:r>
          </w:p>
        </w:tc>
        <w:tc>
          <w:tcPr>
            <w:tcW w:w="2397" w:type="dxa"/>
            <w:tcBorders>
              <w:top w:val="nil"/>
              <w:left w:val="nil"/>
              <w:bottom w:val="nil"/>
              <w:right w:val="nil"/>
            </w:tcBorders>
          </w:tcPr>
          <w:p w14:paraId="56B6A5F5" w14:textId="77777777" w:rsidR="002D6D33" w:rsidRPr="00ED0923" w:rsidRDefault="002D6D33" w:rsidP="00B05542">
            <w:pPr>
              <w:jc w:val="center"/>
              <w:rPr>
                <w:sz w:val="22"/>
                <w:szCs w:val="22"/>
              </w:rPr>
            </w:pPr>
            <w:r w:rsidRPr="00ED0923">
              <w:rPr>
                <w:sz w:val="22"/>
                <w:szCs w:val="22"/>
              </w:rPr>
              <w:t>0.063</w:t>
            </w:r>
          </w:p>
        </w:tc>
        <w:tc>
          <w:tcPr>
            <w:tcW w:w="2396" w:type="dxa"/>
            <w:tcBorders>
              <w:top w:val="nil"/>
              <w:left w:val="nil"/>
              <w:bottom w:val="nil"/>
              <w:right w:val="nil"/>
            </w:tcBorders>
          </w:tcPr>
          <w:p w14:paraId="38099447" w14:textId="77777777" w:rsidR="002D6D33" w:rsidRPr="00ED0923" w:rsidRDefault="002D6D33" w:rsidP="00B05542">
            <w:pPr>
              <w:jc w:val="center"/>
              <w:rPr>
                <w:sz w:val="22"/>
                <w:szCs w:val="22"/>
              </w:rPr>
            </w:pPr>
            <w:r w:rsidRPr="00ED0923">
              <w:rPr>
                <w:sz w:val="22"/>
                <w:szCs w:val="22"/>
              </w:rPr>
              <w:t>1.03 (0.99-1.07)</w:t>
            </w:r>
          </w:p>
        </w:tc>
        <w:tc>
          <w:tcPr>
            <w:tcW w:w="2397" w:type="dxa"/>
            <w:tcBorders>
              <w:top w:val="nil"/>
              <w:left w:val="nil"/>
              <w:bottom w:val="nil"/>
            </w:tcBorders>
          </w:tcPr>
          <w:p w14:paraId="628A2D53" w14:textId="77777777" w:rsidR="002D6D33" w:rsidRPr="00ED0923" w:rsidRDefault="002D6D33" w:rsidP="00B05542">
            <w:pPr>
              <w:jc w:val="center"/>
              <w:rPr>
                <w:sz w:val="22"/>
                <w:szCs w:val="22"/>
              </w:rPr>
            </w:pPr>
            <w:r w:rsidRPr="00ED0923">
              <w:rPr>
                <w:sz w:val="22"/>
                <w:szCs w:val="22"/>
              </w:rPr>
              <w:t>0.758</w:t>
            </w:r>
          </w:p>
        </w:tc>
      </w:tr>
      <w:tr w:rsidR="002D6D33" w:rsidRPr="00ED0923" w14:paraId="66F07F88" w14:textId="77777777" w:rsidTr="001C0EAD">
        <w:tc>
          <w:tcPr>
            <w:tcW w:w="1209" w:type="dxa"/>
            <w:tcBorders>
              <w:top w:val="nil"/>
              <w:right w:val="nil"/>
            </w:tcBorders>
          </w:tcPr>
          <w:p w14:paraId="2C2A96B3" w14:textId="77777777" w:rsidR="002D6D33" w:rsidRPr="00ED0923" w:rsidRDefault="002D6D33" w:rsidP="00517D14">
            <w:pPr>
              <w:jc w:val="both"/>
              <w:rPr>
                <w:sz w:val="22"/>
                <w:szCs w:val="22"/>
              </w:rPr>
            </w:pPr>
            <w:r w:rsidRPr="00ED0923">
              <w:rPr>
                <w:sz w:val="22"/>
                <w:szCs w:val="22"/>
              </w:rPr>
              <w:t>Male</w:t>
            </w:r>
          </w:p>
        </w:tc>
        <w:tc>
          <w:tcPr>
            <w:tcW w:w="2396" w:type="dxa"/>
            <w:tcBorders>
              <w:top w:val="nil"/>
              <w:left w:val="nil"/>
              <w:right w:val="nil"/>
            </w:tcBorders>
          </w:tcPr>
          <w:p w14:paraId="78E42CD0" w14:textId="77777777" w:rsidR="002D6D33" w:rsidRPr="00ED0923" w:rsidRDefault="002D6D33" w:rsidP="00B05542">
            <w:pPr>
              <w:jc w:val="center"/>
              <w:rPr>
                <w:sz w:val="22"/>
                <w:szCs w:val="22"/>
              </w:rPr>
            </w:pPr>
            <w:r w:rsidRPr="00ED0923">
              <w:rPr>
                <w:sz w:val="22"/>
                <w:szCs w:val="22"/>
              </w:rPr>
              <w:t>1.06 (0.82-1.37)</w:t>
            </w:r>
          </w:p>
        </w:tc>
        <w:tc>
          <w:tcPr>
            <w:tcW w:w="2397" w:type="dxa"/>
            <w:tcBorders>
              <w:top w:val="nil"/>
              <w:left w:val="nil"/>
              <w:right w:val="nil"/>
            </w:tcBorders>
          </w:tcPr>
          <w:p w14:paraId="649814F5" w14:textId="77777777" w:rsidR="002D6D33" w:rsidRPr="00ED0923" w:rsidRDefault="002D6D33" w:rsidP="00B05542">
            <w:pPr>
              <w:jc w:val="center"/>
              <w:rPr>
                <w:sz w:val="22"/>
                <w:szCs w:val="22"/>
              </w:rPr>
            </w:pPr>
          </w:p>
        </w:tc>
        <w:tc>
          <w:tcPr>
            <w:tcW w:w="2396" w:type="dxa"/>
            <w:tcBorders>
              <w:top w:val="nil"/>
              <w:left w:val="nil"/>
              <w:right w:val="nil"/>
            </w:tcBorders>
          </w:tcPr>
          <w:p w14:paraId="3968DC56" w14:textId="77777777" w:rsidR="002D6D33" w:rsidRPr="00ED0923" w:rsidRDefault="002D6D33" w:rsidP="00B05542">
            <w:pPr>
              <w:jc w:val="center"/>
              <w:rPr>
                <w:sz w:val="22"/>
                <w:szCs w:val="22"/>
              </w:rPr>
            </w:pPr>
            <w:r w:rsidRPr="00ED0923">
              <w:rPr>
                <w:sz w:val="22"/>
                <w:szCs w:val="22"/>
              </w:rPr>
              <w:t>1.02 (1.01-1.04)</w:t>
            </w:r>
          </w:p>
        </w:tc>
        <w:tc>
          <w:tcPr>
            <w:tcW w:w="2397" w:type="dxa"/>
            <w:tcBorders>
              <w:top w:val="nil"/>
              <w:left w:val="nil"/>
            </w:tcBorders>
          </w:tcPr>
          <w:p w14:paraId="06D9A736" w14:textId="77777777" w:rsidR="002D6D33" w:rsidRPr="00ED0923" w:rsidRDefault="002D6D33" w:rsidP="00B05542">
            <w:pPr>
              <w:jc w:val="center"/>
              <w:rPr>
                <w:sz w:val="22"/>
                <w:szCs w:val="22"/>
              </w:rPr>
            </w:pPr>
          </w:p>
        </w:tc>
      </w:tr>
      <w:tr w:rsidR="002D6D33" w:rsidRPr="00ED0923" w14:paraId="0A611BF2" w14:textId="77777777" w:rsidTr="001C0EAD">
        <w:tc>
          <w:tcPr>
            <w:tcW w:w="10795" w:type="dxa"/>
            <w:gridSpan w:val="5"/>
            <w:tcBorders>
              <w:bottom w:val="single" w:sz="4" w:space="0" w:color="auto"/>
            </w:tcBorders>
          </w:tcPr>
          <w:p w14:paraId="33597819" w14:textId="77777777" w:rsidR="002D6D33" w:rsidRPr="00ED0923" w:rsidRDefault="002D6D33" w:rsidP="00517D14">
            <w:pPr>
              <w:jc w:val="both"/>
              <w:rPr>
                <w:sz w:val="22"/>
                <w:szCs w:val="22"/>
              </w:rPr>
            </w:pPr>
            <w:r w:rsidRPr="00ED0923">
              <w:rPr>
                <w:sz w:val="22"/>
                <w:szCs w:val="22"/>
              </w:rPr>
              <w:t>Stratified Cox</w:t>
            </w:r>
          </w:p>
        </w:tc>
      </w:tr>
      <w:tr w:rsidR="002D6D33" w:rsidRPr="00ED0923" w14:paraId="02FA640C" w14:textId="77777777" w:rsidTr="001C0EAD">
        <w:tc>
          <w:tcPr>
            <w:tcW w:w="1209" w:type="dxa"/>
            <w:tcBorders>
              <w:bottom w:val="nil"/>
              <w:right w:val="nil"/>
            </w:tcBorders>
          </w:tcPr>
          <w:p w14:paraId="4A79C39E" w14:textId="77777777" w:rsidR="002D6D33" w:rsidRPr="00ED0923" w:rsidRDefault="002D6D33" w:rsidP="00517D14">
            <w:pPr>
              <w:jc w:val="both"/>
              <w:rPr>
                <w:sz w:val="22"/>
                <w:szCs w:val="22"/>
              </w:rPr>
            </w:pPr>
          </w:p>
        </w:tc>
        <w:tc>
          <w:tcPr>
            <w:tcW w:w="2396" w:type="dxa"/>
            <w:tcBorders>
              <w:left w:val="nil"/>
              <w:bottom w:val="nil"/>
              <w:right w:val="nil"/>
            </w:tcBorders>
          </w:tcPr>
          <w:p w14:paraId="3C5260C9" w14:textId="77777777" w:rsidR="002D6D33" w:rsidRPr="00ED0923" w:rsidRDefault="002D6D33" w:rsidP="00B05542">
            <w:pPr>
              <w:jc w:val="center"/>
              <w:rPr>
                <w:sz w:val="22"/>
                <w:szCs w:val="22"/>
              </w:rPr>
            </w:pPr>
            <w:r w:rsidRPr="00ED0923">
              <w:rPr>
                <w:sz w:val="22"/>
                <w:szCs w:val="22"/>
              </w:rPr>
              <w:t>MV-adjusted</w:t>
            </w:r>
          </w:p>
        </w:tc>
        <w:tc>
          <w:tcPr>
            <w:tcW w:w="2397" w:type="dxa"/>
            <w:tcBorders>
              <w:left w:val="nil"/>
              <w:bottom w:val="nil"/>
              <w:right w:val="nil"/>
            </w:tcBorders>
          </w:tcPr>
          <w:p w14:paraId="3F57D76F" w14:textId="77777777" w:rsidR="002D6D33" w:rsidRPr="00ED0923" w:rsidRDefault="002D6D33" w:rsidP="00B05542">
            <w:pPr>
              <w:jc w:val="center"/>
              <w:rPr>
                <w:sz w:val="22"/>
                <w:szCs w:val="22"/>
              </w:rPr>
            </w:pPr>
            <w:r w:rsidRPr="00ED0923">
              <w:rPr>
                <w:sz w:val="22"/>
                <w:szCs w:val="22"/>
              </w:rPr>
              <w:t>H</w:t>
            </w:r>
            <w:r w:rsidRPr="00ED0923">
              <w:rPr>
                <w:sz w:val="22"/>
                <w:szCs w:val="22"/>
                <w:vertAlign w:val="subscript"/>
              </w:rPr>
              <w:t>eterogeneity</w:t>
            </w:r>
          </w:p>
        </w:tc>
        <w:tc>
          <w:tcPr>
            <w:tcW w:w="2396" w:type="dxa"/>
            <w:tcBorders>
              <w:left w:val="nil"/>
              <w:bottom w:val="nil"/>
              <w:right w:val="nil"/>
            </w:tcBorders>
          </w:tcPr>
          <w:p w14:paraId="27F0A40D" w14:textId="77777777" w:rsidR="002D6D33" w:rsidRPr="00ED0923" w:rsidRDefault="002D6D33" w:rsidP="00B05542">
            <w:pPr>
              <w:jc w:val="center"/>
              <w:rPr>
                <w:sz w:val="22"/>
                <w:szCs w:val="22"/>
              </w:rPr>
            </w:pPr>
            <w:r w:rsidRPr="00ED0923">
              <w:rPr>
                <w:sz w:val="22"/>
                <w:szCs w:val="22"/>
              </w:rPr>
              <w:t>MV-adjusted</w:t>
            </w:r>
          </w:p>
        </w:tc>
        <w:tc>
          <w:tcPr>
            <w:tcW w:w="2397" w:type="dxa"/>
            <w:tcBorders>
              <w:left w:val="nil"/>
              <w:bottom w:val="nil"/>
            </w:tcBorders>
          </w:tcPr>
          <w:p w14:paraId="55D261AF" w14:textId="77777777" w:rsidR="002D6D33" w:rsidRPr="00ED0923" w:rsidRDefault="002D6D33" w:rsidP="00B05542">
            <w:pPr>
              <w:jc w:val="center"/>
              <w:rPr>
                <w:sz w:val="22"/>
                <w:szCs w:val="22"/>
              </w:rPr>
            </w:pPr>
            <w:r w:rsidRPr="00ED0923">
              <w:rPr>
                <w:sz w:val="22"/>
                <w:szCs w:val="22"/>
              </w:rPr>
              <w:t>H</w:t>
            </w:r>
            <w:r w:rsidRPr="00ED0923">
              <w:rPr>
                <w:sz w:val="22"/>
                <w:szCs w:val="22"/>
                <w:vertAlign w:val="subscript"/>
              </w:rPr>
              <w:t>eterogeneity</w:t>
            </w:r>
          </w:p>
        </w:tc>
      </w:tr>
      <w:tr w:rsidR="002D6D33" w:rsidRPr="00ED0923" w14:paraId="026DD951" w14:textId="77777777" w:rsidTr="001C0EAD">
        <w:tc>
          <w:tcPr>
            <w:tcW w:w="1209" w:type="dxa"/>
            <w:tcBorders>
              <w:top w:val="nil"/>
              <w:bottom w:val="nil"/>
              <w:right w:val="nil"/>
            </w:tcBorders>
          </w:tcPr>
          <w:p w14:paraId="5ADCE24C" w14:textId="77777777" w:rsidR="002D6D33" w:rsidRPr="00ED0923" w:rsidRDefault="002D6D33" w:rsidP="00517D14">
            <w:pPr>
              <w:jc w:val="both"/>
              <w:rPr>
                <w:sz w:val="22"/>
                <w:szCs w:val="22"/>
              </w:rPr>
            </w:pPr>
            <w:r w:rsidRPr="00ED0923">
              <w:rPr>
                <w:sz w:val="22"/>
                <w:szCs w:val="22"/>
              </w:rPr>
              <w:t>Female</w:t>
            </w:r>
          </w:p>
        </w:tc>
        <w:tc>
          <w:tcPr>
            <w:tcW w:w="2396" w:type="dxa"/>
            <w:tcBorders>
              <w:top w:val="nil"/>
              <w:left w:val="nil"/>
              <w:bottom w:val="nil"/>
              <w:right w:val="nil"/>
            </w:tcBorders>
          </w:tcPr>
          <w:p w14:paraId="66E25174" w14:textId="77777777" w:rsidR="002D6D33" w:rsidRPr="00ED0923" w:rsidRDefault="002D6D33" w:rsidP="00B05542">
            <w:pPr>
              <w:jc w:val="center"/>
              <w:rPr>
                <w:sz w:val="22"/>
                <w:szCs w:val="22"/>
              </w:rPr>
            </w:pPr>
            <w:r w:rsidRPr="00ED0923">
              <w:rPr>
                <w:sz w:val="22"/>
                <w:szCs w:val="22"/>
              </w:rPr>
              <w:t>1.58 (1.10-2.27)</w:t>
            </w:r>
          </w:p>
        </w:tc>
        <w:tc>
          <w:tcPr>
            <w:tcW w:w="2397" w:type="dxa"/>
            <w:tcBorders>
              <w:top w:val="nil"/>
              <w:left w:val="nil"/>
              <w:bottom w:val="nil"/>
              <w:right w:val="nil"/>
            </w:tcBorders>
          </w:tcPr>
          <w:p w14:paraId="135BC9CD" w14:textId="77777777" w:rsidR="002D6D33" w:rsidRPr="00ED0923" w:rsidRDefault="002D6D33" w:rsidP="00B05542">
            <w:pPr>
              <w:jc w:val="center"/>
              <w:rPr>
                <w:sz w:val="22"/>
                <w:szCs w:val="22"/>
              </w:rPr>
            </w:pPr>
            <w:r w:rsidRPr="00ED0923">
              <w:rPr>
                <w:sz w:val="22"/>
                <w:szCs w:val="22"/>
              </w:rPr>
              <w:t>0.067</w:t>
            </w:r>
          </w:p>
        </w:tc>
        <w:tc>
          <w:tcPr>
            <w:tcW w:w="2396" w:type="dxa"/>
            <w:tcBorders>
              <w:top w:val="nil"/>
              <w:left w:val="nil"/>
              <w:bottom w:val="nil"/>
              <w:right w:val="nil"/>
            </w:tcBorders>
          </w:tcPr>
          <w:p w14:paraId="43597E36" w14:textId="77777777" w:rsidR="002D6D33" w:rsidRPr="00ED0923" w:rsidRDefault="002D6D33" w:rsidP="00B05542">
            <w:pPr>
              <w:jc w:val="center"/>
              <w:rPr>
                <w:sz w:val="22"/>
                <w:szCs w:val="22"/>
              </w:rPr>
            </w:pPr>
            <w:r w:rsidRPr="00ED0923">
              <w:rPr>
                <w:sz w:val="22"/>
                <w:szCs w:val="22"/>
              </w:rPr>
              <w:t>1.03 (0.99-1.07)</w:t>
            </w:r>
          </w:p>
        </w:tc>
        <w:tc>
          <w:tcPr>
            <w:tcW w:w="2397" w:type="dxa"/>
            <w:tcBorders>
              <w:top w:val="nil"/>
              <w:left w:val="nil"/>
              <w:bottom w:val="nil"/>
            </w:tcBorders>
          </w:tcPr>
          <w:p w14:paraId="5B4BB50F" w14:textId="77777777" w:rsidR="002D6D33" w:rsidRPr="00ED0923" w:rsidRDefault="002D6D33" w:rsidP="00B05542">
            <w:pPr>
              <w:jc w:val="center"/>
              <w:rPr>
                <w:sz w:val="22"/>
                <w:szCs w:val="22"/>
              </w:rPr>
            </w:pPr>
            <w:r w:rsidRPr="00ED0923">
              <w:rPr>
                <w:sz w:val="22"/>
                <w:szCs w:val="22"/>
              </w:rPr>
              <w:t>0.772</w:t>
            </w:r>
          </w:p>
        </w:tc>
      </w:tr>
      <w:tr w:rsidR="002D6D33" w:rsidRPr="00ED0923" w14:paraId="3ED4C596" w14:textId="77777777" w:rsidTr="001C0EAD">
        <w:tc>
          <w:tcPr>
            <w:tcW w:w="1209" w:type="dxa"/>
            <w:tcBorders>
              <w:top w:val="nil"/>
              <w:right w:val="nil"/>
            </w:tcBorders>
          </w:tcPr>
          <w:p w14:paraId="4B36BC3C" w14:textId="77777777" w:rsidR="002D6D33" w:rsidRPr="00ED0923" w:rsidRDefault="002D6D33" w:rsidP="00517D14">
            <w:pPr>
              <w:jc w:val="both"/>
              <w:rPr>
                <w:sz w:val="22"/>
                <w:szCs w:val="22"/>
              </w:rPr>
            </w:pPr>
            <w:r w:rsidRPr="00ED0923">
              <w:rPr>
                <w:sz w:val="22"/>
                <w:szCs w:val="22"/>
              </w:rPr>
              <w:t>Male</w:t>
            </w:r>
          </w:p>
        </w:tc>
        <w:tc>
          <w:tcPr>
            <w:tcW w:w="2396" w:type="dxa"/>
            <w:tcBorders>
              <w:top w:val="nil"/>
              <w:left w:val="nil"/>
              <w:right w:val="nil"/>
            </w:tcBorders>
          </w:tcPr>
          <w:p w14:paraId="0DE03267" w14:textId="77777777" w:rsidR="002D6D33" w:rsidRPr="00ED0923" w:rsidRDefault="002D6D33" w:rsidP="00B05542">
            <w:pPr>
              <w:jc w:val="center"/>
              <w:rPr>
                <w:sz w:val="22"/>
                <w:szCs w:val="22"/>
              </w:rPr>
            </w:pPr>
            <w:r w:rsidRPr="00ED0923">
              <w:rPr>
                <w:sz w:val="22"/>
                <w:szCs w:val="22"/>
              </w:rPr>
              <w:t>1.06 (0.82-1.38)</w:t>
            </w:r>
          </w:p>
        </w:tc>
        <w:tc>
          <w:tcPr>
            <w:tcW w:w="2397" w:type="dxa"/>
            <w:tcBorders>
              <w:top w:val="nil"/>
              <w:left w:val="nil"/>
              <w:right w:val="nil"/>
            </w:tcBorders>
          </w:tcPr>
          <w:p w14:paraId="6CFA5369" w14:textId="77777777" w:rsidR="002D6D33" w:rsidRPr="00ED0923" w:rsidRDefault="002D6D33" w:rsidP="00B05542">
            <w:pPr>
              <w:jc w:val="center"/>
              <w:rPr>
                <w:sz w:val="22"/>
                <w:szCs w:val="22"/>
              </w:rPr>
            </w:pPr>
          </w:p>
        </w:tc>
        <w:tc>
          <w:tcPr>
            <w:tcW w:w="2396" w:type="dxa"/>
            <w:tcBorders>
              <w:top w:val="nil"/>
              <w:left w:val="nil"/>
              <w:right w:val="nil"/>
            </w:tcBorders>
          </w:tcPr>
          <w:p w14:paraId="5A5ED39C" w14:textId="77777777" w:rsidR="002D6D33" w:rsidRPr="00ED0923" w:rsidRDefault="002D6D33" w:rsidP="00B05542">
            <w:pPr>
              <w:jc w:val="center"/>
              <w:rPr>
                <w:sz w:val="22"/>
                <w:szCs w:val="22"/>
              </w:rPr>
            </w:pPr>
            <w:r w:rsidRPr="00ED0923">
              <w:rPr>
                <w:sz w:val="22"/>
                <w:szCs w:val="22"/>
              </w:rPr>
              <w:t>1.02 (1.01-1.04)</w:t>
            </w:r>
          </w:p>
        </w:tc>
        <w:tc>
          <w:tcPr>
            <w:tcW w:w="2397" w:type="dxa"/>
            <w:tcBorders>
              <w:top w:val="nil"/>
              <w:left w:val="nil"/>
            </w:tcBorders>
          </w:tcPr>
          <w:p w14:paraId="02E8FA3E" w14:textId="77777777" w:rsidR="002D6D33" w:rsidRPr="00ED0923" w:rsidRDefault="002D6D33" w:rsidP="00B05542">
            <w:pPr>
              <w:jc w:val="center"/>
              <w:rPr>
                <w:sz w:val="22"/>
                <w:szCs w:val="22"/>
              </w:rPr>
            </w:pPr>
          </w:p>
        </w:tc>
      </w:tr>
      <w:tr w:rsidR="002D6D33" w:rsidRPr="00ED0923" w14:paraId="18407514" w14:textId="77777777" w:rsidTr="001C0EAD">
        <w:tc>
          <w:tcPr>
            <w:tcW w:w="10795" w:type="dxa"/>
            <w:gridSpan w:val="5"/>
            <w:tcBorders>
              <w:bottom w:val="single" w:sz="4" w:space="0" w:color="auto"/>
            </w:tcBorders>
          </w:tcPr>
          <w:p w14:paraId="03ACD3A8" w14:textId="77777777" w:rsidR="002D6D33" w:rsidRPr="00ED0923" w:rsidRDefault="002D6D33" w:rsidP="00517D14">
            <w:pPr>
              <w:jc w:val="both"/>
              <w:rPr>
                <w:sz w:val="22"/>
                <w:szCs w:val="22"/>
              </w:rPr>
            </w:pPr>
            <w:r w:rsidRPr="00ED0923">
              <w:rPr>
                <w:sz w:val="22"/>
                <w:szCs w:val="22"/>
              </w:rPr>
              <w:t>Subgroup analysis</w:t>
            </w:r>
          </w:p>
        </w:tc>
      </w:tr>
      <w:tr w:rsidR="002D6D33" w:rsidRPr="00ED0923" w14:paraId="341F8E26" w14:textId="77777777" w:rsidTr="001C0EAD">
        <w:tc>
          <w:tcPr>
            <w:tcW w:w="1209" w:type="dxa"/>
            <w:tcBorders>
              <w:bottom w:val="nil"/>
              <w:right w:val="nil"/>
            </w:tcBorders>
          </w:tcPr>
          <w:p w14:paraId="7BD837B6" w14:textId="77777777" w:rsidR="002D6D33" w:rsidRPr="00ED0923" w:rsidRDefault="002D6D33" w:rsidP="00517D14">
            <w:pPr>
              <w:jc w:val="both"/>
              <w:rPr>
                <w:sz w:val="22"/>
                <w:szCs w:val="22"/>
              </w:rPr>
            </w:pPr>
          </w:p>
        </w:tc>
        <w:tc>
          <w:tcPr>
            <w:tcW w:w="2396" w:type="dxa"/>
            <w:tcBorders>
              <w:left w:val="nil"/>
              <w:bottom w:val="nil"/>
              <w:right w:val="nil"/>
            </w:tcBorders>
          </w:tcPr>
          <w:p w14:paraId="30DE2AD8" w14:textId="77777777" w:rsidR="002D6D33" w:rsidRPr="00ED0923" w:rsidRDefault="002D6D33" w:rsidP="006A73C2">
            <w:pPr>
              <w:jc w:val="center"/>
              <w:rPr>
                <w:sz w:val="22"/>
                <w:szCs w:val="22"/>
              </w:rPr>
            </w:pPr>
            <w:r w:rsidRPr="00ED0923">
              <w:rPr>
                <w:sz w:val="22"/>
                <w:szCs w:val="22"/>
              </w:rPr>
              <w:t>MV-adjusted</w:t>
            </w:r>
          </w:p>
        </w:tc>
        <w:tc>
          <w:tcPr>
            <w:tcW w:w="2397" w:type="dxa"/>
            <w:tcBorders>
              <w:left w:val="nil"/>
              <w:bottom w:val="nil"/>
              <w:right w:val="nil"/>
            </w:tcBorders>
          </w:tcPr>
          <w:p w14:paraId="561E5F55" w14:textId="77777777" w:rsidR="002D6D33" w:rsidRPr="00ED0923" w:rsidRDefault="002D6D33" w:rsidP="006A73C2">
            <w:pPr>
              <w:jc w:val="center"/>
              <w:rPr>
                <w:sz w:val="22"/>
                <w:szCs w:val="22"/>
              </w:rPr>
            </w:pPr>
            <w:r w:rsidRPr="00ED0923">
              <w:rPr>
                <w:sz w:val="22"/>
                <w:szCs w:val="22"/>
              </w:rPr>
              <w:t>H</w:t>
            </w:r>
            <w:r w:rsidRPr="00ED0923">
              <w:rPr>
                <w:sz w:val="22"/>
                <w:szCs w:val="22"/>
                <w:vertAlign w:val="subscript"/>
              </w:rPr>
              <w:t>eterogeneity</w:t>
            </w:r>
          </w:p>
        </w:tc>
        <w:tc>
          <w:tcPr>
            <w:tcW w:w="2396" w:type="dxa"/>
            <w:tcBorders>
              <w:left w:val="nil"/>
              <w:bottom w:val="nil"/>
              <w:right w:val="nil"/>
            </w:tcBorders>
          </w:tcPr>
          <w:p w14:paraId="663C28ED" w14:textId="77777777" w:rsidR="002D6D33" w:rsidRPr="00ED0923" w:rsidRDefault="002D6D33" w:rsidP="006A73C2">
            <w:pPr>
              <w:jc w:val="center"/>
              <w:rPr>
                <w:sz w:val="22"/>
                <w:szCs w:val="22"/>
              </w:rPr>
            </w:pPr>
            <w:r w:rsidRPr="00ED0923">
              <w:rPr>
                <w:sz w:val="22"/>
                <w:szCs w:val="22"/>
              </w:rPr>
              <w:t>MV-adjusted</w:t>
            </w:r>
          </w:p>
        </w:tc>
        <w:tc>
          <w:tcPr>
            <w:tcW w:w="2397" w:type="dxa"/>
            <w:tcBorders>
              <w:left w:val="nil"/>
              <w:bottom w:val="nil"/>
            </w:tcBorders>
          </w:tcPr>
          <w:p w14:paraId="2CFAFF44" w14:textId="77777777" w:rsidR="002D6D33" w:rsidRPr="00ED0923" w:rsidRDefault="002D6D33" w:rsidP="006A73C2">
            <w:pPr>
              <w:jc w:val="center"/>
              <w:rPr>
                <w:sz w:val="22"/>
                <w:szCs w:val="22"/>
              </w:rPr>
            </w:pPr>
            <w:r w:rsidRPr="00ED0923">
              <w:rPr>
                <w:sz w:val="22"/>
                <w:szCs w:val="22"/>
              </w:rPr>
              <w:t>H</w:t>
            </w:r>
            <w:r w:rsidRPr="00ED0923">
              <w:rPr>
                <w:sz w:val="22"/>
                <w:szCs w:val="22"/>
                <w:vertAlign w:val="subscript"/>
              </w:rPr>
              <w:t>eterogeneity</w:t>
            </w:r>
          </w:p>
        </w:tc>
      </w:tr>
      <w:tr w:rsidR="002D6D33" w:rsidRPr="00ED0923" w14:paraId="7A2C6A19" w14:textId="77777777" w:rsidTr="001C0EAD">
        <w:tc>
          <w:tcPr>
            <w:tcW w:w="1209" w:type="dxa"/>
            <w:tcBorders>
              <w:top w:val="nil"/>
              <w:bottom w:val="nil"/>
              <w:right w:val="nil"/>
            </w:tcBorders>
          </w:tcPr>
          <w:p w14:paraId="399D155B" w14:textId="77777777" w:rsidR="002D6D33" w:rsidRPr="00ED0923" w:rsidRDefault="002D6D33" w:rsidP="00517D14">
            <w:pPr>
              <w:jc w:val="both"/>
              <w:rPr>
                <w:sz w:val="22"/>
                <w:szCs w:val="22"/>
              </w:rPr>
            </w:pPr>
            <w:r w:rsidRPr="00ED0923">
              <w:rPr>
                <w:sz w:val="22"/>
                <w:szCs w:val="22"/>
              </w:rPr>
              <w:t>Female</w:t>
            </w:r>
          </w:p>
        </w:tc>
        <w:tc>
          <w:tcPr>
            <w:tcW w:w="2396" w:type="dxa"/>
            <w:tcBorders>
              <w:top w:val="nil"/>
              <w:left w:val="nil"/>
              <w:bottom w:val="nil"/>
              <w:right w:val="nil"/>
            </w:tcBorders>
          </w:tcPr>
          <w:p w14:paraId="5A491DD2" w14:textId="77777777" w:rsidR="002D6D33" w:rsidRPr="00ED0923" w:rsidRDefault="002D6D33" w:rsidP="006A73C2">
            <w:pPr>
              <w:jc w:val="center"/>
              <w:rPr>
                <w:sz w:val="22"/>
                <w:szCs w:val="22"/>
              </w:rPr>
            </w:pPr>
            <w:r w:rsidRPr="00ED0923">
              <w:rPr>
                <w:sz w:val="22"/>
                <w:szCs w:val="22"/>
              </w:rPr>
              <w:t>1.35 (0.93-1.98)</w:t>
            </w:r>
          </w:p>
        </w:tc>
        <w:tc>
          <w:tcPr>
            <w:tcW w:w="2397" w:type="dxa"/>
            <w:tcBorders>
              <w:top w:val="nil"/>
              <w:left w:val="nil"/>
              <w:bottom w:val="nil"/>
              <w:right w:val="nil"/>
            </w:tcBorders>
          </w:tcPr>
          <w:p w14:paraId="4209F25B" w14:textId="77777777" w:rsidR="002D6D33" w:rsidRPr="00ED0923" w:rsidRDefault="002D6D33" w:rsidP="006A73C2">
            <w:pPr>
              <w:jc w:val="center"/>
              <w:rPr>
                <w:sz w:val="22"/>
                <w:szCs w:val="22"/>
              </w:rPr>
            </w:pPr>
            <w:r w:rsidRPr="00ED0923">
              <w:rPr>
                <w:sz w:val="22"/>
                <w:szCs w:val="22"/>
              </w:rPr>
              <w:t>0.240</w:t>
            </w:r>
          </w:p>
        </w:tc>
        <w:tc>
          <w:tcPr>
            <w:tcW w:w="2396" w:type="dxa"/>
            <w:tcBorders>
              <w:top w:val="nil"/>
              <w:left w:val="nil"/>
              <w:bottom w:val="nil"/>
              <w:right w:val="nil"/>
            </w:tcBorders>
          </w:tcPr>
          <w:p w14:paraId="12A36A92" w14:textId="77777777" w:rsidR="002D6D33" w:rsidRPr="00ED0923" w:rsidRDefault="002D6D33" w:rsidP="006A73C2">
            <w:pPr>
              <w:jc w:val="center"/>
              <w:rPr>
                <w:sz w:val="22"/>
                <w:szCs w:val="22"/>
              </w:rPr>
            </w:pPr>
            <w:r w:rsidRPr="00ED0923">
              <w:rPr>
                <w:sz w:val="22"/>
                <w:szCs w:val="22"/>
              </w:rPr>
              <w:t>1.01 (0.97-1.06)</w:t>
            </w:r>
          </w:p>
        </w:tc>
        <w:tc>
          <w:tcPr>
            <w:tcW w:w="2397" w:type="dxa"/>
            <w:tcBorders>
              <w:top w:val="nil"/>
              <w:left w:val="nil"/>
              <w:bottom w:val="nil"/>
            </w:tcBorders>
          </w:tcPr>
          <w:p w14:paraId="223C30E4" w14:textId="77777777" w:rsidR="002D6D33" w:rsidRPr="00ED0923" w:rsidRDefault="002D6D33" w:rsidP="006A73C2">
            <w:pPr>
              <w:jc w:val="center"/>
              <w:rPr>
                <w:sz w:val="22"/>
                <w:szCs w:val="22"/>
              </w:rPr>
            </w:pPr>
            <w:r w:rsidRPr="00ED0923">
              <w:rPr>
                <w:sz w:val="22"/>
                <w:szCs w:val="22"/>
              </w:rPr>
              <w:t>0.717</w:t>
            </w:r>
          </w:p>
        </w:tc>
      </w:tr>
      <w:tr w:rsidR="002D6D33" w:rsidRPr="00ED0923" w14:paraId="55FF5EAF" w14:textId="77777777" w:rsidTr="001C0EAD">
        <w:tc>
          <w:tcPr>
            <w:tcW w:w="1209" w:type="dxa"/>
            <w:tcBorders>
              <w:top w:val="nil"/>
              <w:right w:val="nil"/>
            </w:tcBorders>
          </w:tcPr>
          <w:p w14:paraId="14EF4808" w14:textId="77777777" w:rsidR="002D6D33" w:rsidRPr="00ED0923" w:rsidRDefault="002D6D33" w:rsidP="00517D14">
            <w:pPr>
              <w:jc w:val="both"/>
              <w:rPr>
                <w:sz w:val="22"/>
                <w:szCs w:val="22"/>
              </w:rPr>
            </w:pPr>
            <w:r w:rsidRPr="00ED0923">
              <w:rPr>
                <w:sz w:val="22"/>
                <w:szCs w:val="22"/>
              </w:rPr>
              <w:t>Male</w:t>
            </w:r>
          </w:p>
        </w:tc>
        <w:tc>
          <w:tcPr>
            <w:tcW w:w="2396" w:type="dxa"/>
            <w:tcBorders>
              <w:top w:val="nil"/>
              <w:left w:val="nil"/>
              <w:right w:val="nil"/>
            </w:tcBorders>
          </w:tcPr>
          <w:p w14:paraId="3AAB13A1" w14:textId="77777777" w:rsidR="002D6D33" w:rsidRPr="00ED0923" w:rsidRDefault="002D6D33" w:rsidP="006A73C2">
            <w:pPr>
              <w:jc w:val="center"/>
              <w:rPr>
                <w:sz w:val="22"/>
                <w:szCs w:val="22"/>
              </w:rPr>
            </w:pPr>
            <w:r w:rsidRPr="00ED0923">
              <w:rPr>
                <w:sz w:val="22"/>
                <w:szCs w:val="22"/>
              </w:rPr>
              <w:t>1.15 (0.88-1.49)</w:t>
            </w:r>
          </w:p>
        </w:tc>
        <w:tc>
          <w:tcPr>
            <w:tcW w:w="2397" w:type="dxa"/>
            <w:tcBorders>
              <w:top w:val="nil"/>
              <w:left w:val="nil"/>
              <w:right w:val="nil"/>
            </w:tcBorders>
          </w:tcPr>
          <w:p w14:paraId="501CCE38" w14:textId="77777777" w:rsidR="002D6D33" w:rsidRPr="00ED0923" w:rsidRDefault="002D6D33" w:rsidP="006A73C2">
            <w:pPr>
              <w:jc w:val="center"/>
              <w:rPr>
                <w:sz w:val="22"/>
                <w:szCs w:val="22"/>
              </w:rPr>
            </w:pPr>
          </w:p>
        </w:tc>
        <w:tc>
          <w:tcPr>
            <w:tcW w:w="2396" w:type="dxa"/>
            <w:tcBorders>
              <w:top w:val="nil"/>
              <w:left w:val="nil"/>
              <w:right w:val="nil"/>
            </w:tcBorders>
          </w:tcPr>
          <w:p w14:paraId="7C20262A" w14:textId="77777777" w:rsidR="002D6D33" w:rsidRPr="00ED0923" w:rsidRDefault="002D6D33" w:rsidP="006A73C2">
            <w:pPr>
              <w:jc w:val="center"/>
              <w:rPr>
                <w:sz w:val="22"/>
                <w:szCs w:val="22"/>
              </w:rPr>
            </w:pPr>
            <w:r w:rsidRPr="00ED0923">
              <w:rPr>
                <w:sz w:val="22"/>
                <w:szCs w:val="22"/>
              </w:rPr>
              <w:t>1.03 (1.01-1.04)</w:t>
            </w:r>
          </w:p>
        </w:tc>
        <w:tc>
          <w:tcPr>
            <w:tcW w:w="2397" w:type="dxa"/>
            <w:tcBorders>
              <w:top w:val="nil"/>
              <w:left w:val="nil"/>
            </w:tcBorders>
          </w:tcPr>
          <w:p w14:paraId="786501B4" w14:textId="77777777" w:rsidR="002D6D33" w:rsidRPr="00ED0923" w:rsidRDefault="002D6D33" w:rsidP="006A73C2">
            <w:pPr>
              <w:jc w:val="center"/>
              <w:rPr>
                <w:sz w:val="22"/>
                <w:szCs w:val="22"/>
              </w:rPr>
            </w:pPr>
          </w:p>
        </w:tc>
      </w:tr>
    </w:tbl>
    <w:p w14:paraId="5A329C85" w14:textId="62AB926D" w:rsidR="001972FB" w:rsidRPr="00ED0923" w:rsidRDefault="001972FB" w:rsidP="00230879">
      <w:pPr>
        <w:jc w:val="both"/>
        <w:rPr>
          <w:sz w:val="22"/>
          <w:szCs w:val="22"/>
        </w:rPr>
      </w:pPr>
    </w:p>
    <w:p w14:paraId="5C2B641B" w14:textId="77777777" w:rsidR="001972FB" w:rsidRPr="00ED0923" w:rsidRDefault="001972FB" w:rsidP="001972FB">
      <w:pPr>
        <w:jc w:val="both"/>
        <w:rPr>
          <w:b/>
          <w:bCs/>
          <w:sz w:val="22"/>
          <w:szCs w:val="22"/>
        </w:rPr>
      </w:pPr>
      <w:r w:rsidRPr="00ED0923">
        <w:rPr>
          <w:b/>
          <w:bCs/>
          <w:sz w:val="22"/>
          <w:szCs w:val="22"/>
        </w:rPr>
        <w:t>Results</w:t>
      </w:r>
    </w:p>
    <w:p w14:paraId="5BEEF84A" w14:textId="5C163114" w:rsidR="00230879" w:rsidRPr="00ED0923" w:rsidRDefault="005510E7" w:rsidP="005570A1">
      <w:pPr>
        <w:rPr>
          <w:sz w:val="22"/>
          <w:szCs w:val="22"/>
        </w:rPr>
      </w:pPr>
      <w:r w:rsidRPr="00ED0923">
        <w:rPr>
          <w:sz w:val="22"/>
          <w:szCs w:val="22"/>
        </w:rPr>
        <w:t>Table 1</w:t>
      </w:r>
      <w:r>
        <w:rPr>
          <w:sz w:val="22"/>
          <w:szCs w:val="22"/>
        </w:rPr>
        <w:t xml:space="preserve"> </w:t>
      </w:r>
      <w:r>
        <w:rPr>
          <w:rFonts w:hint="eastAsia"/>
          <w:sz w:val="22"/>
          <w:szCs w:val="22"/>
        </w:rPr>
        <w:t>shows</w:t>
      </w:r>
      <w:r>
        <w:rPr>
          <w:sz w:val="22"/>
          <w:szCs w:val="22"/>
        </w:rPr>
        <w:t xml:space="preserve"> t</w:t>
      </w:r>
      <w:r w:rsidR="003B1C42" w:rsidRPr="00ED0923">
        <w:rPr>
          <w:sz w:val="22"/>
          <w:szCs w:val="22"/>
        </w:rPr>
        <w:t xml:space="preserve">he baseline </w:t>
      </w:r>
      <w:r w:rsidR="003B1C42">
        <w:rPr>
          <w:sz w:val="22"/>
          <w:szCs w:val="22"/>
        </w:rPr>
        <w:t>c</w:t>
      </w:r>
      <w:r w:rsidR="001972FB" w:rsidRPr="00ED0923">
        <w:rPr>
          <w:sz w:val="22"/>
          <w:szCs w:val="22"/>
        </w:rPr>
        <w:t xml:space="preserve">haracteristics of the </w:t>
      </w:r>
      <w:r w:rsidR="00173639">
        <w:rPr>
          <w:sz w:val="22"/>
          <w:szCs w:val="22"/>
        </w:rPr>
        <w:t>complete case data</w:t>
      </w:r>
      <w:r w:rsidR="001972FB" w:rsidRPr="00ED0923">
        <w:rPr>
          <w:sz w:val="22"/>
          <w:szCs w:val="22"/>
        </w:rPr>
        <w:t>.</w:t>
      </w:r>
      <w:r w:rsidR="00230879" w:rsidRPr="00ED0923">
        <w:rPr>
          <w:sz w:val="22"/>
          <w:szCs w:val="22"/>
        </w:rPr>
        <w:t xml:space="preserve"> The number and percentages for categorical variables and mean and standard deviation for continuous variables are reported. Through these descriptive statistics, we measured the unbalanced distribution for the covariates between alcohol consumption groups and thus, explored potential confounding in the association between alcohol assumption and cancer mortality.</w:t>
      </w:r>
      <w:r w:rsidR="004F3AD0" w:rsidRPr="00ED0923">
        <w:rPr>
          <w:sz w:val="22"/>
          <w:szCs w:val="22"/>
        </w:rPr>
        <w:t xml:space="preserve"> </w:t>
      </w:r>
      <w:r w:rsidR="004F3AD0" w:rsidRPr="00D17D41">
        <w:rPr>
          <w:rFonts w:ascii="Helvetica Neue" w:eastAsiaTheme="minorEastAsia" w:hAnsi="Helvetica Neue" w:cs="Helvetica Neue"/>
          <w:color w:val="000000"/>
          <w:sz w:val="22"/>
          <w:szCs w:val="22"/>
          <w:highlight w:val="cyan"/>
        </w:rPr>
        <w:t>Highlight any observations from Table 1?</w:t>
      </w:r>
    </w:p>
    <w:p w14:paraId="545C6630" w14:textId="77777777" w:rsidR="00230879" w:rsidRPr="00ED0923" w:rsidRDefault="00230879" w:rsidP="007806F0">
      <w:pPr>
        <w:jc w:val="both"/>
        <w:rPr>
          <w:sz w:val="22"/>
          <w:szCs w:val="22"/>
        </w:rPr>
      </w:pPr>
    </w:p>
    <w:p w14:paraId="3CCA1C0D" w14:textId="2FC692A0" w:rsidR="00DB639B" w:rsidRPr="00ED0923" w:rsidRDefault="00377EF9" w:rsidP="00D94A3D">
      <w:pPr>
        <w:rPr>
          <w:sz w:val="22"/>
          <w:szCs w:val="22"/>
        </w:rPr>
      </w:pPr>
      <w:r>
        <w:rPr>
          <w:sz w:val="22"/>
          <w:szCs w:val="22"/>
        </w:rPr>
        <w:t xml:space="preserve">First, we assume that the contributions of each </w:t>
      </w:r>
      <w:r w:rsidR="00F6547D">
        <w:rPr>
          <w:sz w:val="22"/>
          <w:szCs w:val="22"/>
        </w:rPr>
        <w:t>covariate</w:t>
      </w:r>
      <w:r>
        <w:rPr>
          <w:sz w:val="22"/>
          <w:szCs w:val="22"/>
        </w:rPr>
        <w:t xml:space="preserve"> to the</w:t>
      </w:r>
      <w:r w:rsidR="00E359F5">
        <w:rPr>
          <w:sz w:val="22"/>
          <w:szCs w:val="22"/>
        </w:rPr>
        <w:t xml:space="preserve"> log</w:t>
      </w:r>
      <w:r>
        <w:rPr>
          <w:sz w:val="22"/>
          <w:szCs w:val="22"/>
        </w:rPr>
        <w:t xml:space="preserve"> hazard rate of cancer death are additive. </w:t>
      </w:r>
      <w:r w:rsidR="008153A3">
        <w:rPr>
          <w:sz w:val="22"/>
          <w:szCs w:val="22"/>
        </w:rPr>
        <w:t xml:space="preserve">Table 2 presents </w:t>
      </w:r>
      <w:r w:rsidR="002F6F3F">
        <w:rPr>
          <w:sz w:val="22"/>
          <w:szCs w:val="22"/>
        </w:rPr>
        <w:t>results</w:t>
      </w:r>
      <w:r w:rsidR="002F6F3F">
        <w:rPr>
          <w:sz w:val="22"/>
          <w:szCs w:val="22"/>
        </w:rPr>
        <w:t xml:space="preserve"> of five</w:t>
      </w:r>
      <w:r w:rsidR="008153A3">
        <w:rPr>
          <w:sz w:val="22"/>
          <w:szCs w:val="22"/>
        </w:rPr>
        <w:t xml:space="preserve"> Cox regression</w:t>
      </w:r>
      <w:r w:rsidR="002F6F3F">
        <w:rPr>
          <w:sz w:val="22"/>
          <w:szCs w:val="22"/>
        </w:rPr>
        <w:t xml:space="preserve"> </w:t>
      </w:r>
      <w:r w:rsidR="002F6F3F" w:rsidRPr="00ED0923">
        <w:rPr>
          <w:sz w:val="22"/>
          <w:szCs w:val="22"/>
        </w:rPr>
        <w:t>models</w:t>
      </w:r>
      <w:r w:rsidR="008153A3">
        <w:rPr>
          <w:sz w:val="22"/>
          <w:szCs w:val="22"/>
        </w:rPr>
        <w:t xml:space="preserve"> </w:t>
      </w:r>
      <w:r w:rsidR="008153A3" w:rsidRPr="00ED0923">
        <w:rPr>
          <w:sz w:val="22"/>
          <w:szCs w:val="22"/>
        </w:rPr>
        <w:t xml:space="preserve">through two </w:t>
      </w:r>
      <w:r w:rsidR="002F6F3F">
        <w:rPr>
          <w:sz w:val="22"/>
          <w:szCs w:val="22"/>
        </w:rPr>
        <w:t>setting</w:t>
      </w:r>
      <w:r w:rsidR="002F6F3F">
        <w:rPr>
          <w:sz w:val="22"/>
          <w:szCs w:val="22"/>
        </w:rPr>
        <w:t>s</w:t>
      </w:r>
      <w:r w:rsidR="008153A3" w:rsidRPr="00ED0923">
        <w:rPr>
          <w:sz w:val="22"/>
          <w:szCs w:val="22"/>
        </w:rPr>
        <w:t>.</w:t>
      </w:r>
      <w:r w:rsidR="009B69E4">
        <w:rPr>
          <w:sz w:val="22"/>
          <w:szCs w:val="22"/>
        </w:rPr>
        <w:t xml:space="preserve"> </w:t>
      </w:r>
      <w:r w:rsidR="00390E6B">
        <w:rPr>
          <w:sz w:val="22"/>
          <w:szCs w:val="22"/>
        </w:rPr>
        <w:t xml:space="preserve">Considering </w:t>
      </w:r>
      <w:r w:rsidR="00390E6B" w:rsidRPr="00ED0923">
        <w:rPr>
          <w:sz w:val="22"/>
          <w:szCs w:val="22"/>
        </w:rPr>
        <w:t>alcohol consumption</w:t>
      </w:r>
      <w:r w:rsidR="00390E6B">
        <w:rPr>
          <w:sz w:val="22"/>
          <w:szCs w:val="22"/>
        </w:rPr>
        <w:t xml:space="preserve"> as a categorical variable, w</w:t>
      </w:r>
      <w:r w:rsidR="008153A3">
        <w:rPr>
          <w:sz w:val="22"/>
          <w:szCs w:val="22"/>
        </w:rPr>
        <w:t xml:space="preserve">e observe that there </w:t>
      </w:r>
      <w:r w:rsidR="00390E6B">
        <w:rPr>
          <w:sz w:val="22"/>
          <w:szCs w:val="22"/>
        </w:rPr>
        <w:t>are</w:t>
      </w:r>
      <w:r w:rsidR="00207C1E" w:rsidRPr="00ED0923">
        <w:rPr>
          <w:sz w:val="22"/>
          <w:szCs w:val="22"/>
        </w:rPr>
        <w:t xml:space="preserve"> no significant associations for alcohol consumption</w:t>
      </w:r>
      <w:r w:rsidR="00C503FB" w:rsidRPr="00ED0923">
        <w:rPr>
          <w:sz w:val="22"/>
          <w:szCs w:val="22"/>
        </w:rPr>
        <w:t xml:space="preserve"> of</w:t>
      </w:r>
      <w:r w:rsidR="00207C1E" w:rsidRPr="00ED0923">
        <w:rPr>
          <w:sz w:val="22"/>
          <w:szCs w:val="22"/>
        </w:rPr>
        <w:t xml:space="preserve"> 0-0.5 drinks per week</w:t>
      </w:r>
      <w:r w:rsidR="00C503FB" w:rsidRPr="00ED0923">
        <w:rPr>
          <w:sz w:val="22"/>
          <w:szCs w:val="22"/>
        </w:rPr>
        <w:t xml:space="preserve"> and</w:t>
      </w:r>
      <w:r w:rsidR="00207C1E" w:rsidRPr="00ED0923">
        <w:rPr>
          <w:sz w:val="22"/>
          <w:szCs w:val="22"/>
        </w:rPr>
        <w:t xml:space="preserve"> 0.5-2 drinks per week compared to 0 drinks per week. For the category &gt;2 drinks per week, the first approach yields </w:t>
      </w:r>
      <w:r w:rsidR="00C503FB" w:rsidRPr="00ED0923">
        <w:rPr>
          <w:sz w:val="22"/>
          <w:szCs w:val="22"/>
        </w:rPr>
        <w:t>an</w:t>
      </w:r>
      <w:r w:rsidR="00207C1E" w:rsidRPr="00ED0923">
        <w:rPr>
          <w:sz w:val="22"/>
          <w:szCs w:val="22"/>
        </w:rPr>
        <w:t xml:space="preserve"> HR of 1.57 (95% CI, 1.29, 1.91) in the crude model and 1.25 (95% CI, 1.00, 1.54) in the </w:t>
      </w:r>
      <w:r w:rsidR="000F2EB3">
        <w:rPr>
          <w:sz w:val="22"/>
          <w:szCs w:val="22"/>
        </w:rPr>
        <w:t>MV</w:t>
      </w:r>
      <w:r w:rsidR="00207C1E" w:rsidRPr="00ED0923">
        <w:rPr>
          <w:sz w:val="22"/>
          <w:szCs w:val="22"/>
        </w:rPr>
        <w:t xml:space="preserve">-adjusted model. Following the second approach, the estimated HR is 1.15 (95% CI, 0.94, 1.39) in the crude model and is 1.24 (95% CI, 1.00, 1.55) in the </w:t>
      </w:r>
      <w:r w:rsidR="000F2EB3">
        <w:rPr>
          <w:sz w:val="22"/>
          <w:szCs w:val="22"/>
        </w:rPr>
        <w:t>MV</w:t>
      </w:r>
      <w:r w:rsidR="00207C1E" w:rsidRPr="00ED0923">
        <w:rPr>
          <w:sz w:val="22"/>
          <w:szCs w:val="22"/>
        </w:rPr>
        <w:t>-adjusted model.</w:t>
      </w:r>
      <w:r w:rsidR="00C503FB" w:rsidRPr="00ED0923">
        <w:rPr>
          <w:sz w:val="22"/>
          <w:szCs w:val="22"/>
        </w:rPr>
        <w:t xml:space="preserve"> </w:t>
      </w:r>
      <w:r w:rsidR="009B69E4">
        <w:rPr>
          <w:sz w:val="22"/>
          <w:szCs w:val="22"/>
        </w:rPr>
        <w:t xml:space="preserve">So consuming &gt;2 drinks per week has detrimental effect on the cancer death than consuming no drink. </w:t>
      </w:r>
      <w:r w:rsidR="00D96F47" w:rsidRPr="00ED0923">
        <w:rPr>
          <w:sz w:val="22"/>
          <w:szCs w:val="22"/>
        </w:rPr>
        <w:t>All the five models yield similar results for the association between continuous alcohol consumption and the hazard of cancer death</w:t>
      </w:r>
      <w:r w:rsidR="00390E6B">
        <w:rPr>
          <w:sz w:val="22"/>
          <w:szCs w:val="22"/>
        </w:rPr>
        <w:t>:</w:t>
      </w:r>
      <w:r w:rsidR="00D96F47" w:rsidRPr="00ED0923">
        <w:rPr>
          <w:sz w:val="22"/>
          <w:szCs w:val="22"/>
        </w:rPr>
        <w:t xml:space="preserve"> </w:t>
      </w:r>
      <w:r w:rsidR="00390E6B">
        <w:rPr>
          <w:sz w:val="22"/>
          <w:szCs w:val="22"/>
        </w:rPr>
        <w:t>t</w:t>
      </w:r>
      <w:r w:rsidR="00207C1E" w:rsidRPr="00ED0923">
        <w:rPr>
          <w:sz w:val="22"/>
          <w:szCs w:val="22"/>
        </w:rPr>
        <w:t xml:space="preserve">he point estimates are around 1.03 and are of marginal significance. </w:t>
      </w:r>
      <w:r w:rsidR="007C0E91">
        <w:rPr>
          <w:sz w:val="22"/>
          <w:szCs w:val="22"/>
        </w:rPr>
        <w:t>So,</w:t>
      </w:r>
      <w:r w:rsidR="009B69E4">
        <w:rPr>
          <w:sz w:val="22"/>
          <w:szCs w:val="22"/>
        </w:rPr>
        <w:t xml:space="preserve"> </w:t>
      </w:r>
      <w:r w:rsidR="00DB052A">
        <w:rPr>
          <w:sz w:val="22"/>
          <w:szCs w:val="22"/>
        </w:rPr>
        <w:t>1-unit increasing in</w:t>
      </w:r>
      <w:r w:rsidR="009B69E4">
        <w:rPr>
          <w:sz w:val="22"/>
          <w:szCs w:val="22"/>
        </w:rPr>
        <w:t xml:space="preserve"> alcohol intake per week </w:t>
      </w:r>
      <w:r w:rsidR="00D94A3D">
        <w:rPr>
          <w:sz w:val="22"/>
          <w:szCs w:val="22"/>
        </w:rPr>
        <w:t>increases the</w:t>
      </w:r>
      <w:r w:rsidR="009B69E4">
        <w:rPr>
          <w:sz w:val="22"/>
          <w:szCs w:val="22"/>
        </w:rPr>
        <w:t xml:space="preserve"> </w:t>
      </w:r>
      <w:r w:rsidR="009B69E4" w:rsidRPr="00ED0923">
        <w:rPr>
          <w:sz w:val="22"/>
          <w:szCs w:val="22"/>
        </w:rPr>
        <w:t>hazard</w:t>
      </w:r>
      <w:r w:rsidR="009B69E4">
        <w:rPr>
          <w:sz w:val="22"/>
          <w:szCs w:val="22"/>
        </w:rPr>
        <w:t xml:space="preserve"> rate</w:t>
      </w:r>
      <w:r w:rsidR="009B69E4" w:rsidRPr="00ED0923">
        <w:rPr>
          <w:sz w:val="22"/>
          <w:szCs w:val="22"/>
        </w:rPr>
        <w:t xml:space="preserve"> of cancer death</w:t>
      </w:r>
      <w:r w:rsidR="00D94A3D">
        <w:rPr>
          <w:sz w:val="22"/>
          <w:szCs w:val="22"/>
        </w:rPr>
        <w:t xml:space="preserve"> by </w:t>
      </w:r>
      <w:r w:rsidR="00F62B23">
        <w:rPr>
          <w:sz w:val="22"/>
          <w:szCs w:val="22"/>
        </w:rPr>
        <w:t xml:space="preserve">about </w:t>
      </w:r>
      <w:r w:rsidR="00D94A3D">
        <w:rPr>
          <w:sz w:val="22"/>
          <w:szCs w:val="22"/>
        </w:rPr>
        <w:t>3%</w:t>
      </w:r>
      <w:r w:rsidR="00DB052A">
        <w:rPr>
          <w:sz w:val="22"/>
          <w:szCs w:val="22"/>
        </w:rPr>
        <w:t>, holding other covariates constant</w:t>
      </w:r>
      <w:r w:rsidR="009B69E4">
        <w:rPr>
          <w:sz w:val="22"/>
          <w:szCs w:val="22"/>
        </w:rPr>
        <w:t>.</w:t>
      </w:r>
    </w:p>
    <w:p w14:paraId="3A978785" w14:textId="77777777" w:rsidR="00CD03DB" w:rsidRDefault="00CD03DB" w:rsidP="007806F0">
      <w:pPr>
        <w:jc w:val="both"/>
        <w:rPr>
          <w:sz w:val="22"/>
          <w:szCs w:val="22"/>
        </w:rPr>
      </w:pPr>
    </w:p>
    <w:p w14:paraId="0C060B71" w14:textId="377C2242" w:rsidR="00377EF9" w:rsidRDefault="00CD03DB" w:rsidP="00E359F5">
      <w:pPr>
        <w:rPr>
          <w:sz w:val="22"/>
          <w:szCs w:val="22"/>
        </w:rPr>
      </w:pPr>
      <w:r w:rsidRPr="00ED0923">
        <w:rPr>
          <w:sz w:val="22"/>
          <w:szCs w:val="22"/>
        </w:rPr>
        <w:t>To test the sensitivity of the findings to the model specification</w:t>
      </w:r>
      <w:r>
        <w:rPr>
          <w:sz w:val="22"/>
          <w:szCs w:val="22"/>
        </w:rPr>
        <w:t xml:space="preserve">, </w:t>
      </w:r>
      <w:r w:rsidRPr="00ED0923">
        <w:rPr>
          <w:sz w:val="22"/>
          <w:szCs w:val="22"/>
        </w:rPr>
        <w:t>we conducted logistic and Poisson regression</w:t>
      </w:r>
      <w:r w:rsidRPr="00ED0923">
        <w:rPr>
          <w:sz w:val="22"/>
          <w:szCs w:val="22"/>
        </w:rPr>
        <w:t xml:space="preserve"> </w:t>
      </w:r>
      <w:r>
        <w:rPr>
          <w:sz w:val="22"/>
          <w:szCs w:val="22"/>
        </w:rPr>
        <w:t>with</w:t>
      </w:r>
      <w:r w:rsidRPr="00ED0923">
        <w:rPr>
          <w:sz w:val="22"/>
          <w:szCs w:val="22"/>
        </w:rPr>
        <w:t xml:space="preserve"> time since baseline as the time scale</w:t>
      </w:r>
      <w:r>
        <w:rPr>
          <w:sz w:val="22"/>
          <w:szCs w:val="22"/>
        </w:rPr>
        <w:t xml:space="preserve"> (</w:t>
      </w:r>
      <w:r w:rsidRPr="00ED0923">
        <w:rPr>
          <w:sz w:val="22"/>
          <w:szCs w:val="22"/>
        </w:rPr>
        <w:t>A</w:t>
      </w:r>
      <w:r w:rsidRPr="00ED0923">
        <w:rPr>
          <w:rFonts w:hint="eastAsia"/>
          <w:sz w:val="22"/>
          <w:szCs w:val="22"/>
        </w:rPr>
        <w:t>ppen</w:t>
      </w:r>
      <w:r w:rsidRPr="00ED0923">
        <w:rPr>
          <w:sz w:val="22"/>
          <w:szCs w:val="22"/>
        </w:rPr>
        <w:t>dix 2</w:t>
      </w:r>
      <w:r>
        <w:rPr>
          <w:sz w:val="22"/>
          <w:szCs w:val="22"/>
        </w:rPr>
        <w:t>)</w:t>
      </w:r>
      <w:r w:rsidRPr="00ED0923">
        <w:rPr>
          <w:sz w:val="22"/>
          <w:szCs w:val="22"/>
        </w:rPr>
        <w:t>.</w:t>
      </w:r>
      <w:r w:rsidR="00912281">
        <w:rPr>
          <w:sz w:val="22"/>
          <w:szCs w:val="22"/>
        </w:rPr>
        <w:t xml:space="preserve"> </w:t>
      </w:r>
      <w:r w:rsidR="00207C1E" w:rsidRPr="00ED0923">
        <w:rPr>
          <w:sz w:val="22"/>
          <w:szCs w:val="22"/>
        </w:rPr>
        <w:t xml:space="preserve">The </w:t>
      </w:r>
      <w:r w:rsidR="008F39EE" w:rsidRPr="00ED0923">
        <w:rPr>
          <w:sz w:val="22"/>
          <w:szCs w:val="22"/>
        </w:rPr>
        <w:t xml:space="preserve">results </w:t>
      </w:r>
      <w:r w:rsidR="00207C1E" w:rsidRPr="00ED0923">
        <w:rPr>
          <w:sz w:val="22"/>
          <w:szCs w:val="22"/>
        </w:rPr>
        <w:t>are consistent with the Cox regressions</w:t>
      </w:r>
      <w:r w:rsidR="00912281">
        <w:rPr>
          <w:sz w:val="22"/>
          <w:szCs w:val="22"/>
        </w:rPr>
        <w:t xml:space="preserve"> </w:t>
      </w:r>
      <w:r w:rsidR="0055687E">
        <w:rPr>
          <w:sz w:val="22"/>
          <w:szCs w:val="22"/>
        </w:rPr>
        <w:t>results</w:t>
      </w:r>
      <w:r w:rsidR="00207C1E" w:rsidRPr="00ED0923">
        <w:rPr>
          <w:sz w:val="22"/>
          <w:szCs w:val="22"/>
        </w:rPr>
        <w:t xml:space="preserve">. Only </w:t>
      </w:r>
      <w:r w:rsidR="008F39EE" w:rsidRPr="00ED0923">
        <w:rPr>
          <w:sz w:val="22"/>
          <w:szCs w:val="22"/>
        </w:rPr>
        <w:t xml:space="preserve">the </w:t>
      </w:r>
      <w:r w:rsidR="00207C1E" w:rsidRPr="00ED0923">
        <w:rPr>
          <w:sz w:val="22"/>
          <w:szCs w:val="22"/>
        </w:rPr>
        <w:t xml:space="preserve">group with &gt;2 drinks per week </w:t>
      </w:r>
      <w:r w:rsidR="00DD527C">
        <w:rPr>
          <w:sz w:val="22"/>
          <w:szCs w:val="22"/>
        </w:rPr>
        <w:t>has</w:t>
      </w:r>
      <w:r w:rsidR="00207C1E" w:rsidRPr="00ED0923">
        <w:rPr>
          <w:sz w:val="22"/>
          <w:szCs w:val="22"/>
        </w:rPr>
        <w:t xml:space="preserve"> </w:t>
      </w:r>
      <w:r w:rsidR="008F39EE" w:rsidRPr="00ED0923">
        <w:rPr>
          <w:sz w:val="22"/>
          <w:szCs w:val="22"/>
        </w:rPr>
        <w:t xml:space="preserve">a </w:t>
      </w:r>
      <w:r w:rsidR="00207C1E" w:rsidRPr="00ED0923">
        <w:rPr>
          <w:sz w:val="22"/>
          <w:szCs w:val="22"/>
        </w:rPr>
        <w:t xml:space="preserve">statistically significant association with death from cancer. The odds ratio from the </w:t>
      </w:r>
      <w:r w:rsidR="000F2EB3">
        <w:rPr>
          <w:sz w:val="22"/>
          <w:szCs w:val="22"/>
        </w:rPr>
        <w:t>MV</w:t>
      </w:r>
      <w:r w:rsidR="00207C1E" w:rsidRPr="00ED0923">
        <w:rPr>
          <w:sz w:val="22"/>
          <w:szCs w:val="22"/>
        </w:rPr>
        <w:t xml:space="preserve">-adjusted logistic regression is </w:t>
      </w:r>
      <w:r w:rsidR="00207C1E" w:rsidRPr="00ED0923">
        <w:rPr>
          <w:sz w:val="22"/>
          <w:szCs w:val="22"/>
          <w:highlight w:val="yellow"/>
        </w:rPr>
        <w:t>1.29 (95% CI, 1.02, 1.63</w:t>
      </w:r>
      <w:r w:rsidR="00207C1E" w:rsidRPr="00ED0923">
        <w:rPr>
          <w:sz w:val="22"/>
          <w:szCs w:val="22"/>
        </w:rPr>
        <w:t>)</w:t>
      </w:r>
      <w:r w:rsidR="008F39EE" w:rsidRPr="00ED0923">
        <w:rPr>
          <w:sz w:val="22"/>
          <w:szCs w:val="22"/>
        </w:rPr>
        <w:t>,</w:t>
      </w:r>
      <w:r w:rsidR="00207C1E" w:rsidRPr="00ED0923">
        <w:rPr>
          <w:sz w:val="22"/>
          <w:szCs w:val="22"/>
        </w:rPr>
        <w:t xml:space="preserve"> and the incidence rate ratio from the </w:t>
      </w:r>
      <w:r w:rsidR="000F2EB3">
        <w:rPr>
          <w:sz w:val="22"/>
          <w:szCs w:val="22"/>
        </w:rPr>
        <w:t>MV</w:t>
      </w:r>
      <w:r w:rsidR="00207C1E" w:rsidRPr="00ED0923">
        <w:rPr>
          <w:sz w:val="22"/>
          <w:szCs w:val="22"/>
        </w:rPr>
        <w:t xml:space="preserve">-adjusted Poisson regression is 1.24 (95% CI 1.00, 1.55). </w:t>
      </w:r>
      <w:r w:rsidR="00397962">
        <w:rPr>
          <w:sz w:val="22"/>
          <w:szCs w:val="22"/>
        </w:rPr>
        <w:t>Consistent with</w:t>
      </w:r>
      <w:r w:rsidR="00207C1E" w:rsidRPr="00ED0923">
        <w:rPr>
          <w:sz w:val="22"/>
          <w:szCs w:val="22"/>
        </w:rPr>
        <w:t xml:space="preserve"> the beforementioned Cox regressions, </w:t>
      </w:r>
      <w:r w:rsidR="00DB639B" w:rsidRPr="00ED0923">
        <w:rPr>
          <w:sz w:val="22"/>
          <w:szCs w:val="22"/>
        </w:rPr>
        <w:t>t</w:t>
      </w:r>
      <w:r w:rsidR="00207C1E" w:rsidRPr="00ED0923">
        <w:rPr>
          <w:sz w:val="22"/>
          <w:szCs w:val="22"/>
        </w:rPr>
        <w:t xml:space="preserve">he continuous alcohol consumption demonstrated </w:t>
      </w:r>
      <w:r w:rsidR="0061730D" w:rsidRPr="00ED0923">
        <w:rPr>
          <w:sz w:val="22"/>
          <w:szCs w:val="22"/>
        </w:rPr>
        <w:t xml:space="preserve">statistically significant </w:t>
      </w:r>
      <w:r w:rsidR="0061730D">
        <w:rPr>
          <w:sz w:val="22"/>
          <w:szCs w:val="22"/>
        </w:rPr>
        <w:t xml:space="preserve">and </w:t>
      </w:r>
      <w:r w:rsidR="001E2FE6">
        <w:rPr>
          <w:sz w:val="22"/>
          <w:szCs w:val="22"/>
        </w:rPr>
        <w:t>w</w:t>
      </w:r>
      <w:r w:rsidR="00207C1E" w:rsidRPr="00ED0923">
        <w:rPr>
          <w:sz w:val="22"/>
          <w:szCs w:val="22"/>
        </w:rPr>
        <w:t xml:space="preserve">eak association with </w:t>
      </w:r>
      <w:r w:rsidR="00CC4243">
        <w:rPr>
          <w:sz w:val="22"/>
          <w:szCs w:val="22"/>
        </w:rPr>
        <w:t xml:space="preserve">cancer </w:t>
      </w:r>
      <w:r w:rsidR="00207C1E" w:rsidRPr="00ED0923">
        <w:rPr>
          <w:sz w:val="22"/>
          <w:szCs w:val="22"/>
        </w:rPr>
        <w:t xml:space="preserve">death in the </w:t>
      </w:r>
      <w:r w:rsidR="000F2EB3">
        <w:rPr>
          <w:sz w:val="22"/>
          <w:szCs w:val="22"/>
        </w:rPr>
        <w:t>MV</w:t>
      </w:r>
      <w:r w:rsidR="00207C1E" w:rsidRPr="00ED0923">
        <w:rPr>
          <w:sz w:val="22"/>
          <w:szCs w:val="22"/>
        </w:rPr>
        <w:t xml:space="preserve">-adjusted logistic regression (OR = </w:t>
      </w:r>
      <w:r w:rsidR="00207C1E" w:rsidRPr="00ED0923">
        <w:rPr>
          <w:sz w:val="22"/>
          <w:szCs w:val="22"/>
          <w:highlight w:val="yellow"/>
        </w:rPr>
        <w:t>1.03, 95% CI, 1.01, 1.04</w:t>
      </w:r>
      <w:r w:rsidR="00207C1E" w:rsidRPr="00ED0923">
        <w:rPr>
          <w:sz w:val="22"/>
          <w:szCs w:val="22"/>
        </w:rPr>
        <w:t xml:space="preserve">) and </w:t>
      </w:r>
      <w:r w:rsidR="001A6812">
        <w:rPr>
          <w:sz w:val="22"/>
          <w:szCs w:val="22"/>
        </w:rPr>
        <w:t>MV</w:t>
      </w:r>
      <w:r w:rsidR="00207C1E" w:rsidRPr="00ED0923">
        <w:rPr>
          <w:sz w:val="22"/>
          <w:szCs w:val="22"/>
        </w:rPr>
        <w:t>-adjusted Poisson regression (IRR = 1.02, 95% CI, 1.01, 1.09).</w:t>
      </w:r>
    </w:p>
    <w:p w14:paraId="32F913AB" w14:textId="77777777" w:rsidR="00E359F5" w:rsidRPr="00ED0923" w:rsidRDefault="00E359F5" w:rsidP="00E359F5">
      <w:pPr>
        <w:rPr>
          <w:sz w:val="22"/>
          <w:szCs w:val="22"/>
        </w:rPr>
      </w:pPr>
    </w:p>
    <w:p w14:paraId="3F96E789" w14:textId="6F3ECF3F" w:rsidR="00F6547D" w:rsidRDefault="00377EF9" w:rsidP="00377EF9">
      <w:pPr>
        <w:jc w:val="both"/>
        <w:rPr>
          <w:sz w:val="22"/>
          <w:szCs w:val="22"/>
        </w:rPr>
      </w:pPr>
      <w:r w:rsidRPr="00ED0923">
        <w:rPr>
          <w:sz w:val="22"/>
          <w:szCs w:val="22"/>
        </w:rPr>
        <w:lastRenderedPageBreak/>
        <w:t xml:space="preserve">Using Scofield’s residuals, we checked the proportional hazard assumption in the </w:t>
      </w:r>
      <w:r w:rsidR="00581797">
        <w:rPr>
          <w:sz w:val="22"/>
          <w:szCs w:val="22"/>
        </w:rPr>
        <w:t>MV</w:t>
      </w:r>
      <w:r w:rsidRPr="00ED0923">
        <w:rPr>
          <w:sz w:val="22"/>
          <w:szCs w:val="22"/>
        </w:rPr>
        <w:t>-adjusted Cox models</w:t>
      </w:r>
      <w:r w:rsidR="008A4C4D">
        <w:rPr>
          <w:sz w:val="22"/>
          <w:szCs w:val="22"/>
        </w:rPr>
        <w:t xml:space="preserve"> (</w:t>
      </w:r>
      <w:r w:rsidR="008A4C4D" w:rsidRPr="00ED0923">
        <w:rPr>
          <w:sz w:val="22"/>
          <w:szCs w:val="22"/>
        </w:rPr>
        <w:t>A</w:t>
      </w:r>
      <w:r w:rsidR="008A4C4D" w:rsidRPr="00ED0923">
        <w:rPr>
          <w:rFonts w:hint="eastAsia"/>
          <w:sz w:val="22"/>
          <w:szCs w:val="22"/>
        </w:rPr>
        <w:t>ppen</w:t>
      </w:r>
      <w:r w:rsidR="008A4C4D" w:rsidRPr="00ED0923">
        <w:rPr>
          <w:sz w:val="22"/>
          <w:szCs w:val="22"/>
        </w:rPr>
        <w:t>dix 3</w:t>
      </w:r>
      <w:r w:rsidR="008A4C4D">
        <w:rPr>
          <w:sz w:val="22"/>
          <w:szCs w:val="22"/>
        </w:rPr>
        <w:t>)</w:t>
      </w:r>
      <w:r w:rsidRPr="00ED0923">
        <w:rPr>
          <w:sz w:val="22"/>
          <w:szCs w:val="22"/>
        </w:rPr>
        <w:t xml:space="preserve">. </w:t>
      </w:r>
      <w:r w:rsidR="00F6547D">
        <w:rPr>
          <w:sz w:val="22"/>
          <w:szCs w:val="22"/>
        </w:rPr>
        <w:t xml:space="preserve">Based on the </w:t>
      </w:r>
      <w:r w:rsidR="00F6547D" w:rsidRPr="00ED0923">
        <w:rPr>
          <w:sz w:val="22"/>
          <w:szCs w:val="22"/>
        </w:rPr>
        <w:t>corresponding chi-squared statistics and p-values for the exposure and for the whole model</w:t>
      </w:r>
      <w:r w:rsidR="00F6547D">
        <w:rPr>
          <w:sz w:val="22"/>
          <w:szCs w:val="22"/>
        </w:rPr>
        <w:t>, we conclude that t</w:t>
      </w:r>
      <w:r w:rsidRPr="00ED0923">
        <w:rPr>
          <w:sz w:val="22"/>
          <w:szCs w:val="22"/>
        </w:rPr>
        <w:t xml:space="preserve">he assumption satisfied the alcohol consumption in all </w:t>
      </w:r>
      <w:r w:rsidR="00C36F2B">
        <w:rPr>
          <w:sz w:val="22"/>
          <w:szCs w:val="22"/>
        </w:rPr>
        <w:t>MV</w:t>
      </w:r>
      <w:r w:rsidR="00C36F2B" w:rsidRPr="00ED0923">
        <w:rPr>
          <w:sz w:val="22"/>
          <w:szCs w:val="22"/>
        </w:rPr>
        <w:t>-adjusted Cox models</w:t>
      </w:r>
      <w:r w:rsidRPr="00ED0923">
        <w:rPr>
          <w:sz w:val="22"/>
          <w:szCs w:val="22"/>
        </w:rPr>
        <w:t xml:space="preserve">. </w:t>
      </w:r>
    </w:p>
    <w:p w14:paraId="17410A69" w14:textId="77777777" w:rsidR="00F6547D" w:rsidRDefault="00F6547D" w:rsidP="00377EF9">
      <w:pPr>
        <w:jc w:val="both"/>
        <w:rPr>
          <w:sz w:val="22"/>
          <w:szCs w:val="22"/>
        </w:rPr>
      </w:pPr>
    </w:p>
    <w:p w14:paraId="5EF1A75F" w14:textId="3CD28B52" w:rsidR="00377EF9" w:rsidRPr="00ED0923" w:rsidRDefault="00E359F5" w:rsidP="005570A1">
      <w:pPr>
        <w:rPr>
          <w:sz w:val="22"/>
          <w:szCs w:val="22"/>
        </w:rPr>
      </w:pPr>
      <w:r>
        <w:rPr>
          <w:sz w:val="22"/>
          <w:szCs w:val="22"/>
        </w:rPr>
        <w:t xml:space="preserve">In the Cox models in Table 2, we also assumed that the relationships between continuous variables and the log hazard rate of cancer death are linear, conditional on the other covariates. </w:t>
      </w:r>
      <w:commentRangeStart w:id="5"/>
      <w:r w:rsidR="008B2711" w:rsidRPr="00ED0923">
        <w:rPr>
          <w:sz w:val="22"/>
          <w:szCs w:val="22"/>
        </w:rPr>
        <w:t>Based on the results from the primary analysis</w:t>
      </w:r>
      <w:commentRangeEnd w:id="5"/>
      <w:r w:rsidR="008B2711">
        <w:rPr>
          <w:rStyle w:val="CommentReference"/>
          <w:rFonts w:asciiTheme="minorHAnsi" w:eastAsiaTheme="minorEastAsia" w:hAnsiTheme="minorHAnsi" w:cstheme="minorBidi"/>
        </w:rPr>
        <w:commentReference w:id="5"/>
      </w:r>
      <w:r w:rsidR="008B2711" w:rsidRPr="00ED0923">
        <w:rPr>
          <w:sz w:val="22"/>
          <w:szCs w:val="22"/>
        </w:rPr>
        <w:t xml:space="preserve">, the non-linear relationship analysis was conducted </w:t>
      </w:r>
      <w:r w:rsidR="008B2711">
        <w:rPr>
          <w:sz w:val="22"/>
          <w:szCs w:val="22"/>
        </w:rPr>
        <w:t>for</w:t>
      </w:r>
      <w:r w:rsidR="008B2711" w:rsidRPr="00ED0923">
        <w:rPr>
          <w:sz w:val="22"/>
          <w:szCs w:val="22"/>
        </w:rPr>
        <w:t xml:space="preserve"> the </w:t>
      </w:r>
      <w:r w:rsidR="008B2711">
        <w:rPr>
          <w:sz w:val="22"/>
          <w:szCs w:val="22"/>
        </w:rPr>
        <w:t>MV</w:t>
      </w:r>
      <w:r w:rsidR="008B2711" w:rsidRPr="00ED0923">
        <w:rPr>
          <w:sz w:val="22"/>
          <w:szCs w:val="22"/>
        </w:rPr>
        <w:t>-adjusted model following the second approach.</w:t>
      </w:r>
      <w:r w:rsidR="008B2711">
        <w:rPr>
          <w:sz w:val="22"/>
          <w:szCs w:val="22"/>
        </w:rPr>
        <w:t xml:space="preserve"> </w:t>
      </w:r>
      <w:r w:rsidR="00377EF9" w:rsidRPr="00ED0923">
        <w:rPr>
          <w:sz w:val="22"/>
          <w:szCs w:val="22"/>
        </w:rPr>
        <w:t xml:space="preserve">We </w:t>
      </w:r>
      <w:r w:rsidR="008B2711">
        <w:rPr>
          <w:sz w:val="22"/>
          <w:szCs w:val="22"/>
        </w:rPr>
        <w:t>compared</w:t>
      </w:r>
      <w:r w:rsidR="006A100C" w:rsidRPr="00ED0923">
        <w:rPr>
          <w:sz w:val="22"/>
          <w:szCs w:val="22"/>
        </w:rPr>
        <w:t xml:space="preserve"> the </w:t>
      </w:r>
      <w:commentRangeStart w:id="6"/>
      <w:r w:rsidR="006A100C" w:rsidRPr="00ED0923">
        <w:rPr>
          <w:sz w:val="22"/>
          <w:szCs w:val="22"/>
        </w:rPr>
        <w:t>category-specific hazard ratio</w:t>
      </w:r>
      <w:commentRangeEnd w:id="6"/>
      <w:r w:rsidR="00C9239F">
        <w:rPr>
          <w:rStyle w:val="CommentReference"/>
          <w:rFonts w:asciiTheme="minorHAnsi" w:eastAsiaTheme="minorEastAsia" w:hAnsiTheme="minorHAnsi" w:cstheme="minorBidi"/>
        </w:rPr>
        <w:commentReference w:id="6"/>
      </w:r>
      <w:r w:rsidR="006A100C">
        <w:rPr>
          <w:sz w:val="22"/>
          <w:szCs w:val="22"/>
        </w:rPr>
        <w:t xml:space="preserve">, and we found that </w:t>
      </w:r>
      <w:r w:rsidR="006A100C" w:rsidRPr="006A100C">
        <w:rPr>
          <w:sz w:val="22"/>
          <w:szCs w:val="22"/>
          <w:highlight w:val="cyan"/>
        </w:rPr>
        <w:t>xxx</w:t>
      </w:r>
      <w:r w:rsidR="006A100C" w:rsidRPr="00ED0923">
        <w:rPr>
          <w:sz w:val="22"/>
          <w:szCs w:val="22"/>
        </w:rPr>
        <w:t xml:space="preserve">. </w:t>
      </w:r>
      <w:r w:rsidR="006A100C">
        <w:rPr>
          <w:sz w:val="22"/>
          <w:szCs w:val="22"/>
        </w:rPr>
        <w:t xml:space="preserve">Additionally, we </w:t>
      </w:r>
      <w:r w:rsidR="00C9239F">
        <w:rPr>
          <w:sz w:val="22"/>
          <w:szCs w:val="22"/>
        </w:rPr>
        <w:t>fit</w:t>
      </w:r>
      <w:r w:rsidR="00377EF9" w:rsidRPr="00ED0923">
        <w:rPr>
          <w:sz w:val="22"/>
          <w:szCs w:val="22"/>
        </w:rPr>
        <w:t xml:space="preserve"> a natural cubic spline with 3 degrees of freedom</w:t>
      </w:r>
      <w:r w:rsidR="00F07FEE">
        <w:rPr>
          <w:sz w:val="22"/>
          <w:szCs w:val="22"/>
        </w:rPr>
        <w:t>,</w:t>
      </w:r>
      <w:r w:rsidR="00377EF9" w:rsidRPr="00ED0923">
        <w:rPr>
          <w:sz w:val="22"/>
          <w:szCs w:val="22"/>
        </w:rPr>
        <w:t xml:space="preserve"> and we found no clear curvature pattern. The estimated 95% CI for hazard ratio covers 1 before alcohol consumption of </w:t>
      </w:r>
      <w:commentRangeStart w:id="7"/>
      <w:r w:rsidR="00377EF9" w:rsidRPr="00ED0923">
        <w:rPr>
          <w:sz w:val="22"/>
          <w:szCs w:val="22"/>
        </w:rPr>
        <w:t>5 drinks per week</w:t>
      </w:r>
      <w:commentRangeEnd w:id="7"/>
      <w:r w:rsidR="00377EF9" w:rsidRPr="00ED0923">
        <w:rPr>
          <w:rStyle w:val="CommentReference"/>
          <w:sz w:val="22"/>
          <w:szCs w:val="22"/>
        </w:rPr>
        <w:commentReference w:id="7"/>
      </w:r>
      <w:r w:rsidR="00377EF9" w:rsidRPr="00ED0923">
        <w:rPr>
          <w:sz w:val="22"/>
          <w:szCs w:val="22"/>
        </w:rPr>
        <w:t>. This finding can partially explain why we found non-significance for the results</w:t>
      </w:r>
      <w:r w:rsidR="00377EF9" w:rsidRPr="00ED0923" w:rsidDel="007A6221">
        <w:rPr>
          <w:sz w:val="22"/>
          <w:szCs w:val="22"/>
        </w:rPr>
        <w:t xml:space="preserve"> </w:t>
      </w:r>
      <w:r w:rsidR="00377EF9" w:rsidRPr="00ED0923">
        <w:rPr>
          <w:sz w:val="22"/>
          <w:szCs w:val="22"/>
        </w:rPr>
        <w:t>from groups 0-0.5 and 0.5-2 drinks per week, but the significant association for the group &gt;2 drinks per week.</w:t>
      </w:r>
    </w:p>
    <w:p w14:paraId="58FEBED0" w14:textId="77777777" w:rsidR="002D6D33" w:rsidRPr="00ED0923" w:rsidRDefault="002D6D33" w:rsidP="007806F0">
      <w:pPr>
        <w:jc w:val="both"/>
        <w:rPr>
          <w:sz w:val="22"/>
          <w:szCs w:val="22"/>
        </w:rPr>
      </w:pPr>
    </w:p>
    <w:p w14:paraId="6ACD9C6B" w14:textId="3FE05AEA" w:rsidR="00F7154B" w:rsidRPr="00ED0923" w:rsidRDefault="00207C1E" w:rsidP="005570A1">
      <w:pPr>
        <w:rPr>
          <w:sz w:val="22"/>
          <w:szCs w:val="22"/>
        </w:rPr>
      </w:pPr>
      <w:r w:rsidRPr="00ED0923">
        <w:rPr>
          <w:sz w:val="22"/>
          <w:szCs w:val="22"/>
        </w:rPr>
        <w:t xml:space="preserve">With the findings from the </w:t>
      </w:r>
      <w:r w:rsidR="006028DF" w:rsidRPr="00ED0923">
        <w:rPr>
          <w:sz w:val="22"/>
          <w:szCs w:val="22"/>
        </w:rPr>
        <w:t xml:space="preserve">primary </w:t>
      </w:r>
      <w:r w:rsidRPr="00ED0923">
        <w:rPr>
          <w:sz w:val="22"/>
          <w:szCs w:val="22"/>
        </w:rPr>
        <w:t xml:space="preserve">analysis, we </w:t>
      </w:r>
      <w:r w:rsidR="009A4C25">
        <w:rPr>
          <w:sz w:val="22"/>
          <w:szCs w:val="22"/>
        </w:rPr>
        <w:t>examined</w:t>
      </w:r>
      <w:r w:rsidRPr="00ED0923">
        <w:rPr>
          <w:sz w:val="22"/>
          <w:szCs w:val="22"/>
        </w:rPr>
        <w:t xml:space="preserve"> the potential modification of sex</w:t>
      </w:r>
      <w:r w:rsidR="00C71077">
        <w:rPr>
          <w:sz w:val="22"/>
          <w:szCs w:val="22"/>
        </w:rPr>
        <w:t xml:space="preserve"> </w:t>
      </w:r>
      <w:r w:rsidR="00C31EC9">
        <w:rPr>
          <w:sz w:val="22"/>
          <w:szCs w:val="22"/>
        </w:rPr>
        <w:t>in</w:t>
      </w:r>
      <w:r w:rsidR="008978D4">
        <w:rPr>
          <w:sz w:val="22"/>
          <w:szCs w:val="22"/>
        </w:rPr>
        <w:t xml:space="preserve"> MV-adjusted</w:t>
      </w:r>
      <w:r w:rsidR="00C71077">
        <w:rPr>
          <w:sz w:val="22"/>
          <w:szCs w:val="22"/>
        </w:rPr>
        <w:t xml:space="preserve"> Cox models</w:t>
      </w:r>
      <w:r w:rsidR="00FF03A9">
        <w:rPr>
          <w:sz w:val="22"/>
          <w:szCs w:val="22"/>
        </w:rPr>
        <w:t xml:space="preserve"> (</w:t>
      </w:r>
      <w:r w:rsidR="00FF03A9">
        <w:rPr>
          <w:sz w:val="22"/>
          <w:szCs w:val="22"/>
        </w:rPr>
        <w:t xml:space="preserve">Table </w:t>
      </w:r>
      <w:r w:rsidR="00FF03A9">
        <w:rPr>
          <w:sz w:val="22"/>
          <w:szCs w:val="22"/>
        </w:rPr>
        <w:t>3)</w:t>
      </w:r>
      <w:r w:rsidRPr="00ED0923">
        <w:rPr>
          <w:sz w:val="22"/>
          <w:szCs w:val="22"/>
        </w:rPr>
        <w:t xml:space="preserve">. First, we compared the estimated </w:t>
      </w:r>
      <w:r w:rsidR="00933A40">
        <w:rPr>
          <w:sz w:val="22"/>
          <w:szCs w:val="22"/>
        </w:rPr>
        <w:t>hazard rate (</w:t>
      </w:r>
      <w:r w:rsidRPr="00ED0923">
        <w:rPr>
          <w:sz w:val="22"/>
          <w:szCs w:val="22"/>
        </w:rPr>
        <w:t>HR</w:t>
      </w:r>
      <w:r w:rsidR="00933A40">
        <w:rPr>
          <w:sz w:val="22"/>
          <w:szCs w:val="22"/>
        </w:rPr>
        <w:t>)</w:t>
      </w:r>
      <w:r w:rsidRPr="00ED0923">
        <w:rPr>
          <w:sz w:val="22"/>
          <w:szCs w:val="22"/>
        </w:rPr>
        <w:t xml:space="preserve"> comparing &gt;2 drinks per week to 0 drinks per week across males and females. The HRs estimated in the females are greater than in the males in all the models, indicating </w:t>
      </w:r>
      <w:r w:rsidR="00A045F8" w:rsidRPr="00ED0923">
        <w:rPr>
          <w:sz w:val="22"/>
          <w:szCs w:val="22"/>
        </w:rPr>
        <w:t>that</w:t>
      </w:r>
      <w:r w:rsidRPr="00ED0923">
        <w:rPr>
          <w:sz w:val="22"/>
          <w:szCs w:val="22"/>
        </w:rPr>
        <w:t xml:space="preserve"> alcohol consumption’s harmful effects are more pronounced in the females than in the males. However, the differences are not statistical</w:t>
      </w:r>
      <w:r w:rsidR="000951A0" w:rsidRPr="00ED0923">
        <w:rPr>
          <w:sz w:val="22"/>
          <w:szCs w:val="22"/>
        </w:rPr>
        <w:t>ly</w:t>
      </w:r>
      <w:r w:rsidRPr="00ED0923">
        <w:rPr>
          <w:sz w:val="22"/>
          <w:szCs w:val="22"/>
        </w:rPr>
        <w:t xml:space="preserve"> significan</w:t>
      </w:r>
      <w:r w:rsidR="000951A0" w:rsidRPr="00ED0923">
        <w:rPr>
          <w:sz w:val="22"/>
          <w:szCs w:val="22"/>
        </w:rPr>
        <w:t>t</w:t>
      </w:r>
      <w:r w:rsidRPr="00ED0923">
        <w:rPr>
          <w:sz w:val="22"/>
          <w:szCs w:val="22"/>
        </w:rPr>
        <w:t xml:space="preserve"> across all the six models.</w:t>
      </w:r>
      <w:r w:rsidR="00474159">
        <w:rPr>
          <w:sz w:val="22"/>
          <w:szCs w:val="22"/>
        </w:rPr>
        <w:t xml:space="preserve"> </w:t>
      </w:r>
      <w:r w:rsidR="00474159" w:rsidRPr="00474159">
        <w:rPr>
          <w:sz w:val="22"/>
          <w:szCs w:val="22"/>
          <w:highlight w:val="cyan"/>
        </w:rPr>
        <w:t>For other alcohol intake categories, why don’t</w:t>
      </w:r>
      <w:r w:rsidR="00E06B4A">
        <w:rPr>
          <w:sz w:val="22"/>
          <w:szCs w:val="22"/>
          <w:highlight w:val="cyan"/>
        </w:rPr>
        <w:t xml:space="preserve"> we</w:t>
      </w:r>
      <w:r w:rsidR="00474159" w:rsidRPr="00474159">
        <w:rPr>
          <w:sz w:val="22"/>
          <w:szCs w:val="22"/>
          <w:highlight w:val="cyan"/>
        </w:rPr>
        <w:t xml:space="preserve"> present the result/what is the conclusion?</w:t>
      </w:r>
      <w:r w:rsidRPr="00ED0923">
        <w:rPr>
          <w:sz w:val="22"/>
          <w:szCs w:val="22"/>
        </w:rPr>
        <w:t xml:space="preserve"> Then we treated alcohol consumption as a continuous variable. All the six models yield similar </w:t>
      </w:r>
      <w:r w:rsidR="00E06B4A">
        <w:rPr>
          <w:sz w:val="22"/>
          <w:szCs w:val="22"/>
        </w:rPr>
        <w:t>HR</w:t>
      </w:r>
      <w:r w:rsidRPr="00ED0923">
        <w:rPr>
          <w:sz w:val="22"/>
          <w:szCs w:val="22"/>
        </w:rPr>
        <w:t xml:space="preserve"> for males and females, </w:t>
      </w:r>
      <w:r w:rsidR="00A045F8" w:rsidRPr="00ED0923">
        <w:rPr>
          <w:sz w:val="22"/>
          <w:szCs w:val="22"/>
        </w:rPr>
        <w:t xml:space="preserve">which </w:t>
      </w:r>
      <w:r w:rsidRPr="00ED0923">
        <w:rPr>
          <w:sz w:val="22"/>
          <w:szCs w:val="22"/>
        </w:rPr>
        <w:t>are very close to the estimates in the overall sample analysis</w:t>
      </w:r>
      <w:r w:rsidR="00A045F8" w:rsidRPr="00ED0923">
        <w:rPr>
          <w:sz w:val="22"/>
          <w:szCs w:val="22"/>
        </w:rPr>
        <w:t xml:space="preserve"> in Table 2</w:t>
      </w:r>
      <w:r w:rsidR="00B84AAD">
        <w:rPr>
          <w:sz w:val="22"/>
          <w:szCs w:val="22"/>
        </w:rPr>
        <w:t>, and</w:t>
      </w:r>
      <w:r w:rsidRPr="00ED0923">
        <w:rPr>
          <w:sz w:val="22"/>
          <w:szCs w:val="22"/>
        </w:rPr>
        <w:t xml:space="preserve"> </w:t>
      </w:r>
      <w:r w:rsidR="00B84AAD">
        <w:rPr>
          <w:sz w:val="22"/>
          <w:szCs w:val="22"/>
        </w:rPr>
        <w:t>t</w:t>
      </w:r>
      <w:r w:rsidRPr="00ED0923">
        <w:rPr>
          <w:sz w:val="22"/>
          <w:szCs w:val="22"/>
        </w:rPr>
        <w:t>he difference</w:t>
      </w:r>
      <w:r w:rsidR="00B84AAD">
        <w:rPr>
          <w:sz w:val="22"/>
          <w:szCs w:val="22"/>
        </w:rPr>
        <w:t xml:space="preserve"> in HR by sex</w:t>
      </w:r>
      <w:r w:rsidRPr="00ED0923">
        <w:rPr>
          <w:sz w:val="22"/>
          <w:szCs w:val="22"/>
        </w:rPr>
        <w:t xml:space="preserve"> are of no statistical significance. Overall, no matter focusing on categorical or continuous alcohol consumption, we detected no statistically significant effect modification by sex.</w:t>
      </w:r>
    </w:p>
    <w:p w14:paraId="775D4E47" w14:textId="77777777" w:rsidR="002D6D33" w:rsidRPr="00ED0923" w:rsidRDefault="002D6D33" w:rsidP="007806F0">
      <w:pPr>
        <w:jc w:val="both"/>
        <w:rPr>
          <w:sz w:val="22"/>
          <w:szCs w:val="22"/>
        </w:rPr>
      </w:pPr>
    </w:p>
    <w:p w14:paraId="2B9E85D1" w14:textId="66D37FE5" w:rsidR="00207C1E" w:rsidRPr="00ED0923" w:rsidRDefault="00CB34AD" w:rsidP="007806F0">
      <w:pPr>
        <w:jc w:val="both"/>
        <w:rPr>
          <w:b/>
          <w:bCs/>
          <w:sz w:val="22"/>
          <w:szCs w:val="22"/>
        </w:rPr>
      </w:pPr>
      <w:r w:rsidRPr="00ED0923">
        <w:rPr>
          <w:b/>
          <w:bCs/>
          <w:sz w:val="22"/>
          <w:szCs w:val="22"/>
        </w:rPr>
        <w:t>Discussion</w:t>
      </w:r>
    </w:p>
    <w:p w14:paraId="69C0F11D" w14:textId="050BED1C" w:rsidR="0059246D" w:rsidRDefault="00CB34AD" w:rsidP="005570A1">
      <w:pPr>
        <w:rPr>
          <w:sz w:val="22"/>
          <w:szCs w:val="22"/>
        </w:rPr>
      </w:pPr>
      <w:r w:rsidRPr="00ED0923">
        <w:rPr>
          <w:sz w:val="22"/>
          <w:szCs w:val="22"/>
        </w:rPr>
        <w:t xml:space="preserve">In this study with a cross-sectional dataset from NHANES II, we found a </w:t>
      </w:r>
      <w:r w:rsidR="00736D81" w:rsidRPr="00A709C3">
        <w:rPr>
          <w:sz w:val="22"/>
          <w:szCs w:val="22"/>
          <w:shd w:val="pct15" w:color="auto" w:fill="FFFFFF"/>
        </w:rPr>
        <w:t xml:space="preserve">significant </w:t>
      </w:r>
      <w:r w:rsidRPr="00A709C3">
        <w:rPr>
          <w:sz w:val="22"/>
          <w:szCs w:val="22"/>
          <w:shd w:val="pct15" w:color="auto" w:fill="FFFFFF"/>
        </w:rPr>
        <w:t xml:space="preserve">harmful </w:t>
      </w:r>
      <w:r w:rsidR="00B956BC" w:rsidRPr="00A709C3">
        <w:rPr>
          <w:sz w:val="22"/>
          <w:szCs w:val="22"/>
          <w:shd w:val="pct15" w:color="auto" w:fill="FFFFFF"/>
        </w:rPr>
        <w:t>association</w:t>
      </w:r>
      <w:r w:rsidRPr="00ED0923">
        <w:rPr>
          <w:sz w:val="22"/>
          <w:szCs w:val="22"/>
        </w:rPr>
        <w:t xml:space="preserve"> for alcohol consumption and the </w:t>
      </w:r>
      <w:commentRangeStart w:id="8"/>
      <w:r w:rsidRPr="00ED0923">
        <w:rPr>
          <w:sz w:val="22"/>
          <w:szCs w:val="22"/>
        </w:rPr>
        <w:t xml:space="preserve">risk </w:t>
      </w:r>
      <w:commentRangeEnd w:id="8"/>
      <w:r w:rsidR="005E4F31">
        <w:rPr>
          <w:rStyle w:val="CommentReference"/>
          <w:rFonts w:asciiTheme="minorHAnsi" w:eastAsiaTheme="minorEastAsia" w:hAnsiTheme="minorHAnsi" w:cstheme="minorBidi"/>
        </w:rPr>
        <w:commentReference w:id="8"/>
      </w:r>
      <w:r w:rsidRPr="00ED0923">
        <w:rPr>
          <w:sz w:val="22"/>
          <w:szCs w:val="22"/>
        </w:rPr>
        <w:t xml:space="preserve">of death from cancer. </w:t>
      </w:r>
      <w:r w:rsidR="003E10EB" w:rsidRPr="00ED0923">
        <w:rPr>
          <w:rFonts w:hint="eastAsia"/>
          <w:sz w:val="22"/>
          <w:szCs w:val="22"/>
        </w:rPr>
        <w:t>T</w:t>
      </w:r>
      <w:r w:rsidR="003E10EB" w:rsidRPr="00ED0923">
        <w:rPr>
          <w:sz w:val="22"/>
          <w:szCs w:val="22"/>
        </w:rPr>
        <w:t xml:space="preserve">aking alcohol less than 2 drinks per week </w:t>
      </w:r>
      <w:r w:rsidR="007372B0">
        <w:rPr>
          <w:sz w:val="22"/>
          <w:szCs w:val="22"/>
        </w:rPr>
        <w:t>does</w:t>
      </w:r>
      <w:r w:rsidR="003E10EB" w:rsidRPr="00ED0923">
        <w:rPr>
          <w:sz w:val="22"/>
          <w:szCs w:val="22"/>
        </w:rPr>
        <w:t xml:space="preserve"> not significantly increase the </w:t>
      </w:r>
      <w:r w:rsidR="003E10EB" w:rsidRPr="00736D81">
        <w:rPr>
          <w:sz w:val="22"/>
          <w:szCs w:val="22"/>
          <w:shd w:val="pct15" w:color="auto" w:fill="FFFFFF"/>
        </w:rPr>
        <w:t>risk</w:t>
      </w:r>
      <w:r w:rsidR="003E10EB" w:rsidRPr="00ED0923">
        <w:rPr>
          <w:sz w:val="22"/>
          <w:szCs w:val="22"/>
        </w:rPr>
        <w:t xml:space="preserve">. </w:t>
      </w:r>
      <w:r w:rsidRPr="00ED0923">
        <w:rPr>
          <w:sz w:val="22"/>
          <w:szCs w:val="22"/>
        </w:rPr>
        <w:t xml:space="preserve">The exploratory non-linear analysis demonstrates that such </w:t>
      </w:r>
      <w:r w:rsidR="004B7743" w:rsidRPr="00ED0923">
        <w:rPr>
          <w:sz w:val="22"/>
          <w:szCs w:val="22"/>
        </w:rPr>
        <w:t xml:space="preserve">a </w:t>
      </w:r>
      <w:r w:rsidRPr="00ED0923">
        <w:rPr>
          <w:sz w:val="22"/>
          <w:szCs w:val="22"/>
        </w:rPr>
        <w:t xml:space="preserve">relationship is </w:t>
      </w:r>
      <w:r w:rsidRPr="00417EBE">
        <w:rPr>
          <w:sz w:val="22"/>
          <w:szCs w:val="22"/>
          <w:shd w:val="pct15" w:color="auto" w:fill="FFFFFF"/>
        </w:rPr>
        <w:t>close to linear</w:t>
      </w:r>
      <w:r w:rsidR="003E10EB" w:rsidRPr="00417EBE">
        <w:rPr>
          <w:sz w:val="22"/>
          <w:szCs w:val="22"/>
          <w:shd w:val="pct15" w:color="auto" w:fill="FFFFFF"/>
        </w:rPr>
        <w:t xml:space="preserve"> with a significant harmful effect only after 5 drinks per wee</w:t>
      </w:r>
      <w:r w:rsidR="003E10EB" w:rsidRPr="00ED0923">
        <w:rPr>
          <w:sz w:val="22"/>
          <w:szCs w:val="22"/>
        </w:rPr>
        <w:t>k. No significant sex difference is found in the relationship.</w:t>
      </w:r>
    </w:p>
    <w:p w14:paraId="172268FF" w14:textId="77777777" w:rsidR="0059246D" w:rsidRDefault="0059246D" w:rsidP="007806F0">
      <w:pPr>
        <w:jc w:val="both"/>
        <w:rPr>
          <w:sz w:val="22"/>
          <w:szCs w:val="22"/>
        </w:rPr>
      </w:pPr>
    </w:p>
    <w:p w14:paraId="6C9F7C3A" w14:textId="229737E9" w:rsidR="006C4BC1" w:rsidRDefault="003E10EB" w:rsidP="005570A1">
      <w:pPr>
        <w:rPr>
          <w:sz w:val="22"/>
          <w:szCs w:val="22"/>
        </w:rPr>
      </w:pPr>
      <w:r w:rsidRPr="00ED0923">
        <w:rPr>
          <w:sz w:val="22"/>
          <w:szCs w:val="22"/>
        </w:rPr>
        <w:t xml:space="preserve">In the </w:t>
      </w:r>
      <w:r w:rsidR="006028DF" w:rsidRPr="00ED0923">
        <w:rPr>
          <w:sz w:val="22"/>
          <w:szCs w:val="22"/>
        </w:rPr>
        <w:t xml:space="preserve">primary </w:t>
      </w:r>
      <w:r w:rsidRPr="00ED0923">
        <w:rPr>
          <w:sz w:val="22"/>
          <w:szCs w:val="22"/>
        </w:rPr>
        <w:t>analysis, we employed two different approaches to assess the</w:t>
      </w:r>
      <w:r w:rsidR="00572270" w:rsidRPr="00ED0923">
        <w:rPr>
          <w:sz w:val="22"/>
          <w:szCs w:val="22"/>
        </w:rPr>
        <w:t xml:space="preserve"> association of</w:t>
      </w:r>
      <w:r w:rsidRPr="00ED0923">
        <w:rPr>
          <w:sz w:val="22"/>
          <w:szCs w:val="22"/>
        </w:rPr>
        <w:t xml:space="preserve"> alcohol consumption on hazard </w:t>
      </w:r>
      <w:r w:rsidR="00572270" w:rsidRPr="00ED0923">
        <w:rPr>
          <w:sz w:val="22"/>
          <w:szCs w:val="22"/>
        </w:rPr>
        <w:t xml:space="preserve">of </w:t>
      </w:r>
      <w:r w:rsidRPr="00ED0923">
        <w:rPr>
          <w:sz w:val="22"/>
          <w:szCs w:val="22"/>
        </w:rPr>
        <w:t xml:space="preserve">cancer-specific death. </w:t>
      </w:r>
      <w:r w:rsidR="006C4BC1" w:rsidRPr="00ED0923">
        <w:rPr>
          <w:sz w:val="22"/>
          <w:szCs w:val="22"/>
        </w:rPr>
        <w:t xml:space="preserve">The first </w:t>
      </w:r>
      <w:r w:rsidRPr="00ED0923">
        <w:rPr>
          <w:sz w:val="22"/>
          <w:szCs w:val="22"/>
        </w:rPr>
        <w:t xml:space="preserve">approach </w:t>
      </w:r>
      <w:r w:rsidR="006C4BC1" w:rsidRPr="00ED0923">
        <w:rPr>
          <w:sz w:val="22"/>
          <w:szCs w:val="22"/>
        </w:rPr>
        <w:t>takes</w:t>
      </w:r>
      <w:r w:rsidRPr="00ED0923">
        <w:rPr>
          <w:sz w:val="22"/>
          <w:szCs w:val="22"/>
        </w:rPr>
        <w:t xml:space="preserve"> the age as the time scale and takes the temptation into account, </w:t>
      </w:r>
      <w:r w:rsidRPr="00736D81">
        <w:rPr>
          <w:sz w:val="22"/>
          <w:szCs w:val="22"/>
          <w:shd w:val="pct15" w:color="auto" w:fill="FFFFFF"/>
        </w:rPr>
        <w:t>which has a more reasonable causal structure and explicit causal assumption</w:t>
      </w:r>
      <w:r w:rsidRPr="00ED0923">
        <w:rPr>
          <w:sz w:val="22"/>
          <w:szCs w:val="22"/>
        </w:rPr>
        <w:t xml:space="preserve">. However, </w:t>
      </w:r>
      <w:r w:rsidR="006C4BC1" w:rsidRPr="00ED0923">
        <w:rPr>
          <w:sz w:val="22"/>
          <w:szCs w:val="22"/>
        </w:rPr>
        <w:t xml:space="preserve">the second </w:t>
      </w:r>
      <w:r w:rsidRPr="00ED0923">
        <w:rPr>
          <w:sz w:val="22"/>
          <w:szCs w:val="22"/>
        </w:rPr>
        <w:t xml:space="preserve">approach takes the whole dataset singly as a cross-sectional study and utilizes the time from entry as the time scale. The two approaches yield different results in the crude model but get similar results in the </w:t>
      </w:r>
      <w:r w:rsidR="00736D81">
        <w:rPr>
          <w:sz w:val="22"/>
          <w:szCs w:val="22"/>
        </w:rPr>
        <w:t>MV</w:t>
      </w:r>
      <w:r w:rsidRPr="00ED0923">
        <w:rPr>
          <w:sz w:val="22"/>
          <w:szCs w:val="22"/>
        </w:rPr>
        <w:t xml:space="preserve">-adjusted model. </w:t>
      </w:r>
    </w:p>
    <w:p w14:paraId="33ECB626" w14:textId="77777777" w:rsidR="0059246D" w:rsidRPr="00ED0923" w:rsidRDefault="0059246D" w:rsidP="007806F0">
      <w:pPr>
        <w:jc w:val="both"/>
        <w:rPr>
          <w:sz w:val="22"/>
          <w:szCs w:val="22"/>
        </w:rPr>
      </w:pPr>
    </w:p>
    <w:p w14:paraId="3A33E11F" w14:textId="1A807E26" w:rsidR="003E10EB" w:rsidRDefault="003E10EB" w:rsidP="005570A1">
      <w:pPr>
        <w:rPr>
          <w:sz w:val="22"/>
          <w:szCs w:val="22"/>
        </w:rPr>
      </w:pPr>
      <w:r w:rsidRPr="00ED0923">
        <w:rPr>
          <w:sz w:val="22"/>
          <w:szCs w:val="22"/>
        </w:rPr>
        <w:t>Given the data at hand, there are some explanations for the very similar findings</w:t>
      </w:r>
      <w:r w:rsidR="001B00B0">
        <w:rPr>
          <w:sz w:val="22"/>
          <w:szCs w:val="22"/>
        </w:rPr>
        <w:t xml:space="preserve"> in the two </w:t>
      </w:r>
      <w:r w:rsidR="00E44221" w:rsidRPr="00ED0923">
        <w:rPr>
          <w:sz w:val="22"/>
          <w:szCs w:val="22"/>
        </w:rPr>
        <w:t>approaches</w:t>
      </w:r>
      <w:r w:rsidR="00BE2FFA" w:rsidRPr="00ED0923">
        <w:rPr>
          <w:sz w:val="22"/>
          <w:szCs w:val="22"/>
        </w:rPr>
        <w:t xml:space="preserve">. </w:t>
      </w:r>
      <w:r w:rsidR="00A12649">
        <w:rPr>
          <w:sz w:val="22"/>
          <w:szCs w:val="22"/>
        </w:rPr>
        <w:t>Since</w:t>
      </w:r>
      <w:r w:rsidR="00BE2FFA" w:rsidRPr="00ED0923">
        <w:rPr>
          <w:sz w:val="22"/>
          <w:szCs w:val="22"/>
        </w:rPr>
        <w:t xml:space="preserve"> the </w:t>
      </w:r>
      <w:r w:rsidR="00312EB3" w:rsidRPr="00ED0923">
        <w:rPr>
          <w:sz w:val="22"/>
          <w:szCs w:val="22"/>
        </w:rPr>
        <w:t>estimated</w:t>
      </w:r>
      <w:r w:rsidR="00BE2FFA" w:rsidRPr="00ED0923">
        <w:rPr>
          <w:sz w:val="22"/>
          <w:szCs w:val="22"/>
        </w:rPr>
        <w:t xml:space="preserve"> association for </w:t>
      </w:r>
      <w:r w:rsidR="005E4F31" w:rsidRPr="00ED0923">
        <w:rPr>
          <w:sz w:val="22"/>
          <w:szCs w:val="22"/>
        </w:rPr>
        <w:t xml:space="preserve">alcohol </w:t>
      </w:r>
      <w:r w:rsidR="005E4F31">
        <w:rPr>
          <w:sz w:val="22"/>
          <w:szCs w:val="22"/>
        </w:rPr>
        <w:t xml:space="preserve">intake and </w:t>
      </w:r>
      <w:r w:rsidR="00BE2FFA" w:rsidRPr="00ED0923">
        <w:rPr>
          <w:sz w:val="22"/>
          <w:szCs w:val="22"/>
        </w:rPr>
        <w:t>cancer-specific death (about 1.0</w:t>
      </w:r>
      <w:r w:rsidR="00A12649">
        <w:rPr>
          <w:sz w:val="22"/>
          <w:szCs w:val="22"/>
        </w:rPr>
        <w:t>3</w:t>
      </w:r>
      <w:r w:rsidR="00BE2FFA" w:rsidRPr="00ED0923">
        <w:rPr>
          <w:sz w:val="22"/>
          <w:szCs w:val="22"/>
        </w:rPr>
        <w:t xml:space="preserve"> HR per 1 drink/week increment) is very </w:t>
      </w:r>
      <w:r w:rsidR="00A12649">
        <w:rPr>
          <w:sz w:val="22"/>
          <w:szCs w:val="22"/>
        </w:rPr>
        <w:t>small</w:t>
      </w:r>
      <w:r w:rsidR="00572270" w:rsidRPr="00ED0923">
        <w:rPr>
          <w:sz w:val="22"/>
          <w:szCs w:val="22"/>
        </w:rPr>
        <w:t>,</w:t>
      </w:r>
      <w:r w:rsidR="00BE2FFA" w:rsidRPr="00ED0923">
        <w:rPr>
          <w:sz w:val="22"/>
          <w:szCs w:val="22"/>
        </w:rPr>
        <w:t xml:space="preserve"> </w:t>
      </w:r>
      <w:r w:rsidR="00A12649">
        <w:rPr>
          <w:sz w:val="22"/>
          <w:szCs w:val="22"/>
        </w:rPr>
        <w:t>i</w:t>
      </w:r>
      <w:r w:rsidR="00BE2FFA" w:rsidRPr="00ED0923">
        <w:rPr>
          <w:sz w:val="22"/>
          <w:szCs w:val="22"/>
        </w:rPr>
        <w:t>t suggests both approaches</w:t>
      </w:r>
      <w:r w:rsidR="006C4BC1" w:rsidRPr="00ED0923">
        <w:rPr>
          <w:sz w:val="22"/>
          <w:szCs w:val="22"/>
        </w:rPr>
        <w:t>,</w:t>
      </w:r>
      <w:r w:rsidR="00BE2FFA" w:rsidRPr="00ED0923">
        <w:rPr>
          <w:sz w:val="22"/>
          <w:szCs w:val="22"/>
        </w:rPr>
        <w:t xml:space="preserve"> even including the logistic and Poisson regression</w:t>
      </w:r>
      <w:r w:rsidR="006C4BC1" w:rsidRPr="00ED0923">
        <w:rPr>
          <w:sz w:val="22"/>
          <w:szCs w:val="22"/>
        </w:rPr>
        <w:t>,</w:t>
      </w:r>
      <w:r w:rsidR="00BE2FFA" w:rsidRPr="00ED0923">
        <w:rPr>
          <w:sz w:val="22"/>
          <w:szCs w:val="22"/>
        </w:rPr>
        <w:t xml:space="preserve"> don’t adjust for enough confounding. </w:t>
      </w:r>
      <w:r w:rsidR="00A12649">
        <w:rPr>
          <w:sz w:val="22"/>
          <w:szCs w:val="22"/>
        </w:rPr>
        <w:t>So</w:t>
      </w:r>
      <w:r w:rsidR="00B573EB">
        <w:rPr>
          <w:sz w:val="22"/>
          <w:szCs w:val="22"/>
        </w:rPr>
        <w:t>,</w:t>
      </w:r>
      <w:r w:rsidR="00A12649">
        <w:rPr>
          <w:sz w:val="22"/>
          <w:szCs w:val="22"/>
        </w:rPr>
        <w:t xml:space="preserve"> there could be </w:t>
      </w:r>
      <w:r w:rsidR="00A12649" w:rsidRPr="00ED0923">
        <w:rPr>
          <w:sz w:val="22"/>
          <w:szCs w:val="22"/>
        </w:rPr>
        <w:t>residual confounding or other unknown confounders</w:t>
      </w:r>
      <w:r w:rsidR="00EB306F">
        <w:rPr>
          <w:sz w:val="22"/>
          <w:szCs w:val="22"/>
        </w:rPr>
        <w:t xml:space="preserve">. </w:t>
      </w:r>
      <w:r w:rsidR="00BB7C98">
        <w:rPr>
          <w:sz w:val="22"/>
          <w:szCs w:val="22"/>
        </w:rPr>
        <w:t>Another</w:t>
      </w:r>
      <w:r w:rsidR="009458D8">
        <w:rPr>
          <w:sz w:val="22"/>
          <w:szCs w:val="22"/>
        </w:rPr>
        <w:t xml:space="preserve"> possible</w:t>
      </w:r>
      <w:r w:rsidR="00BE2FFA" w:rsidRPr="00ED0923">
        <w:rPr>
          <w:sz w:val="22"/>
          <w:szCs w:val="22"/>
        </w:rPr>
        <w:t xml:space="preserve"> explanation</w:t>
      </w:r>
      <w:r w:rsidR="00572270" w:rsidRPr="00ED0923">
        <w:rPr>
          <w:sz w:val="22"/>
          <w:szCs w:val="22"/>
        </w:rPr>
        <w:t xml:space="preserve"> is that</w:t>
      </w:r>
      <w:r w:rsidR="007E4AFA">
        <w:rPr>
          <w:sz w:val="22"/>
          <w:szCs w:val="22"/>
        </w:rPr>
        <w:t xml:space="preserve"> as</w:t>
      </w:r>
      <w:r w:rsidR="00BE2FFA" w:rsidRPr="00ED0923">
        <w:rPr>
          <w:sz w:val="22"/>
          <w:szCs w:val="22"/>
        </w:rPr>
        <w:t xml:space="preserve"> the </w:t>
      </w:r>
      <w:commentRangeStart w:id="9"/>
      <w:commentRangeStart w:id="10"/>
      <w:r w:rsidR="00BE2FFA" w:rsidRPr="00ED0923">
        <w:rPr>
          <w:sz w:val="22"/>
          <w:szCs w:val="22"/>
        </w:rPr>
        <w:t xml:space="preserve">diseases’ </w:t>
      </w:r>
      <w:commentRangeEnd w:id="9"/>
      <w:r w:rsidR="00572270" w:rsidRPr="0059246D">
        <w:commentReference w:id="9"/>
      </w:r>
      <w:commentRangeEnd w:id="10"/>
      <w:r w:rsidR="007E4AFA">
        <w:rPr>
          <w:rStyle w:val="CommentReference"/>
          <w:rFonts w:asciiTheme="minorHAnsi" w:eastAsiaTheme="minorEastAsia" w:hAnsiTheme="minorHAnsi" w:cstheme="minorBidi"/>
        </w:rPr>
        <w:commentReference w:id="10"/>
      </w:r>
      <w:r w:rsidR="00BE2FFA" w:rsidRPr="00ED0923">
        <w:rPr>
          <w:sz w:val="22"/>
          <w:szCs w:val="22"/>
        </w:rPr>
        <w:t xml:space="preserve">distribution </w:t>
      </w:r>
      <w:r w:rsidR="007E4AFA" w:rsidRPr="00ED0923">
        <w:rPr>
          <w:sz w:val="22"/>
          <w:szCs w:val="22"/>
        </w:rPr>
        <w:t>is</w:t>
      </w:r>
      <w:r w:rsidR="00BE2FFA" w:rsidRPr="00ED0923">
        <w:rPr>
          <w:sz w:val="22"/>
          <w:szCs w:val="22"/>
        </w:rPr>
        <w:t xml:space="preserve"> </w:t>
      </w:r>
      <w:proofErr w:type="gramStart"/>
      <w:r w:rsidR="00BE2FFA" w:rsidRPr="007E4AFA">
        <w:rPr>
          <w:sz w:val="22"/>
          <w:szCs w:val="22"/>
          <w:shd w:val="pct15" w:color="auto" w:fill="FFFFFF"/>
        </w:rPr>
        <w:t>pretty</w:t>
      </w:r>
      <w:r w:rsidR="00BE2FFA" w:rsidRPr="00ED0923">
        <w:rPr>
          <w:sz w:val="22"/>
          <w:szCs w:val="22"/>
        </w:rPr>
        <w:t xml:space="preserve"> balanced</w:t>
      </w:r>
      <w:proofErr w:type="gramEnd"/>
      <w:r w:rsidR="00BE2FFA" w:rsidRPr="00ED0923">
        <w:rPr>
          <w:sz w:val="22"/>
          <w:szCs w:val="22"/>
        </w:rPr>
        <w:t xml:space="preserve"> across alcohol consumption groups</w:t>
      </w:r>
      <w:r w:rsidR="007E4AFA">
        <w:rPr>
          <w:sz w:val="22"/>
          <w:szCs w:val="22"/>
        </w:rPr>
        <w:t>,</w:t>
      </w:r>
      <w:r w:rsidR="00BE2FFA" w:rsidRPr="00ED0923">
        <w:rPr>
          <w:sz w:val="22"/>
          <w:szCs w:val="22"/>
        </w:rPr>
        <w:t xml:space="preserve"> additional adjusting for these diseases and biomarkers such as baseline hypertension </w:t>
      </w:r>
      <w:r w:rsidR="007E4AFA">
        <w:rPr>
          <w:sz w:val="22"/>
          <w:szCs w:val="22"/>
        </w:rPr>
        <w:t>would</w:t>
      </w:r>
      <w:r w:rsidR="00BE2FFA" w:rsidRPr="00ED0923">
        <w:rPr>
          <w:sz w:val="22"/>
          <w:szCs w:val="22"/>
        </w:rPr>
        <w:t xml:space="preserve"> not </w:t>
      </w:r>
      <w:r w:rsidR="00312EB3" w:rsidRPr="00ED0923">
        <w:rPr>
          <w:sz w:val="22"/>
          <w:szCs w:val="22"/>
        </w:rPr>
        <w:t>substantially influence the estimates. Last</w:t>
      </w:r>
      <w:r w:rsidR="009458D8">
        <w:rPr>
          <w:sz w:val="22"/>
          <w:szCs w:val="22"/>
        </w:rPr>
        <w:t>ly</w:t>
      </w:r>
      <w:r w:rsidR="00312EB3" w:rsidRPr="00ED0923">
        <w:rPr>
          <w:sz w:val="22"/>
          <w:szCs w:val="22"/>
        </w:rPr>
        <w:t>,</w:t>
      </w:r>
      <w:r w:rsidR="00572270" w:rsidRPr="00ED0923">
        <w:rPr>
          <w:sz w:val="22"/>
          <w:szCs w:val="22"/>
        </w:rPr>
        <w:t xml:space="preserve"> it also could be the case that</w:t>
      </w:r>
      <w:r w:rsidR="00312EB3" w:rsidRPr="00ED0923">
        <w:rPr>
          <w:sz w:val="22"/>
          <w:szCs w:val="22"/>
        </w:rPr>
        <w:t xml:space="preserve"> the true </w:t>
      </w:r>
      <w:r w:rsidR="009458D8">
        <w:rPr>
          <w:sz w:val="22"/>
          <w:szCs w:val="22"/>
        </w:rPr>
        <w:t>association</w:t>
      </w:r>
      <w:r w:rsidR="00312EB3" w:rsidRPr="00ED0923">
        <w:rPr>
          <w:sz w:val="22"/>
          <w:szCs w:val="22"/>
        </w:rPr>
        <w:t xml:space="preserve"> is weak</w:t>
      </w:r>
      <w:r w:rsidR="00572270" w:rsidRPr="00ED0923">
        <w:rPr>
          <w:sz w:val="22"/>
          <w:szCs w:val="22"/>
        </w:rPr>
        <w:t>,</w:t>
      </w:r>
      <w:r w:rsidR="00312EB3" w:rsidRPr="00ED0923">
        <w:rPr>
          <w:sz w:val="22"/>
          <w:szCs w:val="22"/>
        </w:rPr>
        <w:t xml:space="preserve"> and both </w:t>
      </w:r>
      <w:r w:rsidR="00E44221" w:rsidRPr="00ED0923">
        <w:rPr>
          <w:sz w:val="22"/>
          <w:szCs w:val="22"/>
        </w:rPr>
        <w:t xml:space="preserve">approaches </w:t>
      </w:r>
      <w:r w:rsidR="00E44221">
        <w:rPr>
          <w:sz w:val="22"/>
          <w:szCs w:val="22"/>
        </w:rPr>
        <w:t>output</w:t>
      </w:r>
      <w:r w:rsidR="00312EB3" w:rsidRPr="00ED0923">
        <w:rPr>
          <w:sz w:val="22"/>
          <w:szCs w:val="22"/>
        </w:rPr>
        <w:t xml:space="preserve"> the correct </w:t>
      </w:r>
      <w:proofErr w:type="spellStart"/>
      <w:r w:rsidR="00312EB3" w:rsidRPr="00ED0923">
        <w:rPr>
          <w:sz w:val="22"/>
          <w:szCs w:val="22"/>
        </w:rPr>
        <w:t>estimand</w:t>
      </w:r>
      <w:proofErr w:type="spellEnd"/>
      <w:r w:rsidR="00312EB3" w:rsidRPr="00ED0923">
        <w:rPr>
          <w:sz w:val="22"/>
          <w:szCs w:val="22"/>
        </w:rPr>
        <w:t>.</w:t>
      </w:r>
    </w:p>
    <w:p w14:paraId="006FAB21" w14:textId="77777777" w:rsidR="0059246D" w:rsidRPr="00ED0923" w:rsidRDefault="0059246D" w:rsidP="007806F0">
      <w:pPr>
        <w:jc w:val="both"/>
        <w:rPr>
          <w:sz w:val="22"/>
          <w:szCs w:val="22"/>
        </w:rPr>
      </w:pPr>
    </w:p>
    <w:p w14:paraId="7C760C84" w14:textId="747D9FF3" w:rsidR="00312EB3" w:rsidRDefault="00312EB3" w:rsidP="005570A1">
      <w:pPr>
        <w:rPr>
          <w:sz w:val="22"/>
          <w:szCs w:val="22"/>
        </w:rPr>
      </w:pPr>
      <w:r w:rsidRPr="00ED0923">
        <w:rPr>
          <w:sz w:val="22"/>
          <w:szCs w:val="22"/>
        </w:rPr>
        <w:t>In this study, we didn’t detect significant effect modification by sex</w:t>
      </w:r>
      <w:r w:rsidR="00E2589A" w:rsidRPr="00ED0923">
        <w:rPr>
          <w:sz w:val="22"/>
          <w:szCs w:val="22"/>
        </w:rPr>
        <w:t>,</w:t>
      </w:r>
      <w:r w:rsidRPr="00ED0923">
        <w:rPr>
          <w:sz w:val="22"/>
          <w:szCs w:val="22"/>
        </w:rPr>
        <w:t xml:space="preserve"> though the point estimates for the &gt;2 drinks per week group show a more harmful effect among women than men. However, we cannot totally exclude the presence of potential effect modification since the model is of </w:t>
      </w:r>
      <w:commentRangeStart w:id="11"/>
      <w:r w:rsidRPr="00ED0923">
        <w:rPr>
          <w:sz w:val="22"/>
          <w:szCs w:val="22"/>
        </w:rPr>
        <w:t xml:space="preserve">low power </w:t>
      </w:r>
      <w:commentRangeEnd w:id="11"/>
      <w:r w:rsidR="007B6B8A">
        <w:rPr>
          <w:rStyle w:val="CommentReference"/>
          <w:rFonts w:asciiTheme="minorHAnsi" w:eastAsiaTheme="minorEastAsia" w:hAnsiTheme="minorHAnsi" w:cstheme="minorBidi"/>
        </w:rPr>
        <w:commentReference w:id="11"/>
      </w:r>
      <w:r w:rsidRPr="00ED0923">
        <w:rPr>
          <w:sz w:val="22"/>
          <w:szCs w:val="22"/>
        </w:rPr>
        <w:t>to detect such difference</w:t>
      </w:r>
      <w:r w:rsidR="00E2589A" w:rsidRPr="00ED0923">
        <w:rPr>
          <w:sz w:val="22"/>
          <w:szCs w:val="22"/>
        </w:rPr>
        <w:t>s</w:t>
      </w:r>
      <w:r w:rsidRPr="00ED0923">
        <w:rPr>
          <w:sz w:val="22"/>
          <w:szCs w:val="22"/>
        </w:rPr>
        <w:t>.</w:t>
      </w:r>
      <w:r w:rsidRPr="00ED0923">
        <w:rPr>
          <w:rFonts w:hint="eastAsia"/>
          <w:sz w:val="22"/>
          <w:szCs w:val="22"/>
        </w:rPr>
        <w:t xml:space="preserve"> </w:t>
      </w:r>
      <w:commentRangeStart w:id="12"/>
      <w:r w:rsidRPr="00ED0923">
        <w:rPr>
          <w:rFonts w:hint="eastAsia"/>
          <w:sz w:val="22"/>
          <w:szCs w:val="22"/>
        </w:rPr>
        <w:t>We</w:t>
      </w:r>
      <w:r w:rsidRPr="00ED0923">
        <w:rPr>
          <w:sz w:val="22"/>
          <w:szCs w:val="22"/>
        </w:rPr>
        <w:t xml:space="preserve"> also explore</w:t>
      </w:r>
      <w:r w:rsidR="007B6B8A">
        <w:rPr>
          <w:sz w:val="22"/>
          <w:szCs w:val="22"/>
        </w:rPr>
        <w:t>d</w:t>
      </w:r>
      <w:r w:rsidR="00E2589A" w:rsidRPr="00ED0923">
        <w:rPr>
          <w:sz w:val="22"/>
          <w:szCs w:val="22"/>
        </w:rPr>
        <w:t xml:space="preserve"> some</w:t>
      </w:r>
      <w:r w:rsidRPr="00ED0923">
        <w:rPr>
          <w:sz w:val="22"/>
          <w:szCs w:val="22"/>
        </w:rPr>
        <w:t xml:space="preserve"> potential non-linear dose-response relationship, and we find the curve is </w:t>
      </w:r>
      <w:proofErr w:type="gramStart"/>
      <w:r w:rsidRPr="007B6B8A">
        <w:rPr>
          <w:sz w:val="22"/>
          <w:szCs w:val="22"/>
        </w:rPr>
        <w:t>pretty</w:t>
      </w:r>
      <w:r w:rsidRPr="00ED0923">
        <w:rPr>
          <w:sz w:val="22"/>
          <w:szCs w:val="22"/>
        </w:rPr>
        <w:t xml:space="preserve"> linear</w:t>
      </w:r>
      <w:proofErr w:type="gramEnd"/>
      <w:r w:rsidRPr="00ED0923">
        <w:rPr>
          <w:sz w:val="22"/>
          <w:szCs w:val="22"/>
        </w:rPr>
        <w:t xml:space="preserve">. This analysis also tells that </w:t>
      </w:r>
      <w:r w:rsidR="00AC1146" w:rsidRPr="00ED0923">
        <w:rPr>
          <w:sz w:val="22"/>
          <w:szCs w:val="22"/>
        </w:rPr>
        <w:t xml:space="preserve">no significant harmful effects manifest </w:t>
      </w:r>
      <w:r w:rsidRPr="00ED0923">
        <w:rPr>
          <w:sz w:val="22"/>
          <w:szCs w:val="22"/>
        </w:rPr>
        <w:t>with</w:t>
      </w:r>
      <w:r w:rsidR="00AC1146" w:rsidRPr="00ED0923">
        <w:rPr>
          <w:sz w:val="22"/>
          <w:szCs w:val="22"/>
        </w:rPr>
        <w:t xml:space="preserve"> a</w:t>
      </w:r>
      <w:r w:rsidRPr="00ED0923">
        <w:rPr>
          <w:sz w:val="22"/>
          <w:szCs w:val="22"/>
        </w:rPr>
        <w:t xml:space="preserve"> low dose of alcohol consumption</w:t>
      </w:r>
      <w:r w:rsidR="009827AC" w:rsidRPr="00ED0923">
        <w:rPr>
          <w:sz w:val="22"/>
          <w:szCs w:val="22"/>
        </w:rPr>
        <w:t>, and t</w:t>
      </w:r>
      <w:r w:rsidRPr="00ED0923">
        <w:rPr>
          <w:sz w:val="22"/>
          <w:szCs w:val="22"/>
        </w:rPr>
        <w:t>he harmful effect becomes significant when taking alcohol greater than 5 drinks per week.</w:t>
      </w:r>
      <w:commentRangeEnd w:id="12"/>
      <w:r w:rsidR="007B6B8A">
        <w:rPr>
          <w:rStyle w:val="CommentReference"/>
          <w:rFonts w:asciiTheme="minorHAnsi" w:eastAsiaTheme="minorEastAsia" w:hAnsiTheme="minorHAnsi" w:cstheme="minorBidi"/>
        </w:rPr>
        <w:commentReference w:id="12"/>
      </w:r>
    </w:p>
    <w:p w14:paraId="6D003A41" w14:textId="77777777" w:rsidR="0059246D" w:rsidRPr="00ED0923" w:rsidRDefault="0059246D" w:rsidP="007806F0">
      <w:pPr>
        <w:jc w:val="both"/>
        <w:rPr>
          <w:sz w:val="22"/>
          <w:szCs w:val="22"/>
        </w:rPr>
      </w:pPr>
    </w:p>
    <w:p w14:paraId="6F72D8EA" w14:textId="0506BC6A" w:rsidR="00425229" w:rsidRPr="000328B2" w:rsidRDefault="00312EB3" w:rsidP="007B6B8A">
      <w:pPr>
        <w:rPr>
          <w:rFonts w:ascii="Helvetica Neue" w:hAnsi="Helvetica Neue" w:cs="Helvetica Neue"/>
          <w:color w:val="ED7D31" w:themeColor="accent2"/>
        </w:rPr>
      </w:pPr>
      <w:r w:rsidRPr="00ED0923">
        <w:rPr>
          <w:sz w:val="22"/>
          <w:szCs w:val="22"/>
        </w:rPr>
        <w:t>There are several limitations</w:t>
      </w:r>
      <w:r w:rsidR="00AC1146" w:rsidRPr="00ED0923">
        <w:rPr>
          <w:sz w:val="22"/>
          <w:szCs w:val="22"/>
        </w:rPr>
        <w:t xml:space="preserve"> </w:t>
      </w:r>
      <w:r w:rsidR="001332F6" w:rsidRPr="00ED0923">
        <w:rPr>
          <w:sz w:val="22"/>
          <w:szCs w:val="22"/>
        </w:rPr>
        <w:t>to</w:t>
      </w:r>
      <w:r w:rsidR="00AC1146" w:rsidRPr="00ED0923">
        <w:rPr>
          <w:sz w:val="22"/>
          <w:szCs w:val="22"/>
        </w:rPr>
        <w:t xml:space="preserve"> our analysis</w:t>
      </w:r>
      <w:r w:rsidRPr="00ED0923">
        <w:rPr>
          <w:sz w:val="22"/>
          <w:szCs w:val="22"/>
        </w:rPr>
        <w:t xml:space="preserve">. First, as we mentioned before, the estimated </w:t>
      </w:r>
      <w:r w:rsidR="00AE4D03" w:rsidRPr="00ED0923">
        <w:rPr>
          <w:sz w:val="22"/>
          <w:szCs w:val="22"/>
        </w:rPr>
        <w:t xml:space="preserve">association </w:t>
      </w:r>
      <w:r w:rsidR="005E4F31">
        <w:rPr>
          <w:sz w:val="22"/>
          <w:szCs w:val="22"/>
        </w:rPr>
        <w:t>would be</w:t>
      </w:r>
      <w:r w:rsidR="00AE4D03" w:rsidRPr="00ED0923">
        <w:rPr>
          <w:sz w:val="22"/>
          <w:szCs w:val="22"/>
        </w:rPr>
        <w:t xml:space="preserve"> very sensitive to unmeasured confounders. Although the findings from different model</w:t>
      </w:r>
      <w:r w:rsidR="001332F6" w:rsidRPr="00ED0923">
        <w:rPr>
          <w:sz w:val="22"/>
          <w:szCs w:val="22"/>
        </w:rPr>
        <w:t>s</w:t>
      </w:r>
      <w:r w:rsidR="00AE4D03" w:rsidRPr="00ED0923">
        <w:rPr>
          <w:sz w:val="22"/>
          <w:szCs w:val="22"/>
        </w:rPr>
        <w:t xml:space="preserve"> are consistent without additional confounder information, we must admit that the observed association is very likely to</w:t>
      </w:r>
      <w:r w:rsidR="0050164D" w:rsidRPr="00ED0923">
        <w:rPr>
          <w:sz w:val="22"/>
          <w:szCs w:val="22"/>
        </w:rPr>
        <w:t xml:space="preserve"> be</w:t>
      </w:r>
      <w:r w:rsidR="00AE4D03" w:rsidRPr="00ED0923">
        <w:rPr>
          <w:sz w:val="22"/>
          <w:szCs w:val="22"/>
        </w:rPr>
        <w:t xml:space="preserve"> attributed to an unmeasured confounder. Second, the original data is in the cross-sectional form, which limits the survival analysis. It is hard to tell which exposure or confounder happens first, making the model adjustment difficult and obscure. </w:t>
      </w:r>
      <w:r w:rsidR="000328B2">
        <w:rPr>
          <w:sz w:val="22"/>
          <w:szCs w:val="22"/>
        </w:rPr>
        <w:t xml:space="preserve">Third, we did not consider selection bias in the study. If censoring is </w:t>
      </w:r>
      <w:r w:rsidR="000328B2" w:rsidRPr="000328B2">
        <w:rPr>
          <w:sz w:val="22"/>
          <w:szCs w:val="22"/>
        </w:rPr>
        <w:t xml:space="preserve">dependent to </w:t>
      </w:r>
      <w:r w:rsidR="000328B2" w:rsidRPr="000328B2">
        <w:rPr>
          <w:sz w:val="22"/>
          <w:szCs w:val="22"/>
        </w:rPr>
        <w:t xml:space="preserve">cancer death, then there will be an </w:t>
      </w:r>
      <w:r w:rsidR="000328B2" w:rsidRPr="000328B2">
        <w:rPr>
          <w:sz w:val="22"/>
          <w:szCs w:val="22"/>
        </w:rPr>
        <w:t>open</w:t>
      </w:r>
      <w:r w:rsidR="000328B2" w:rsidRPr="000328B2">
        <w:rPr>
          <w:sz w:val="22"/>
          <w:szCs w:val="22"/>
        </w:rPr>
        <w:t xml:space="preserve"> </w:t>
      </w:r>
      <w:r w:rsidR="000328B2" w:rsidRPr="000328B2">
        <w:rPr>
          <w:sz w:val="22"/>
          <w:szCs w:val="22"/>
        </w:rPr>
        <w:t xml:space="preserve">non-causal path between </w:t>
      </w:r>
      <w:r w:rsidR="000328B2" w:rsidRPr="000328B2">
        <w:rPr>
          <w:sz w:val="22"/>
          <w:szCs w:val="22"/>
        </w:rPr>
        <w:t>alcohol intake</w:t>
      </w:r>
      <w:r w:rsidR="000328B2" w:rsidRPr="000328B2">
        <w:rPr>
          <w:sz w:val="22"/>
          <w:szCs w:val="22"/>
        </w:rPr>
        <w:t xml:space="preserve"> and cancer death</w:t>
      </w:r>
      <w:r w:rsidR="000328B2" w:rsidRPr="000328B2">
        <w:rPr>
          <w:sz w:val="22"/>
          <w:szCs w:val="22"/>
        </w:rPr>
        <w:t xml:space="preserve">, and </w:t>
      </w:r>
      <w:r w:rsidR="000328B2" w:rsidRPr="000328B2">
        <w:rPr>
          <w:sz w:val="22"/>
          <w:szCs w:val="22"/>
        </w:rPr>
        <w:t xml:space="preserve">causal methods </w:t>
      </w:r>
      <w:r w:rsidR="000328B2" w:rsidRPr="000328B2">
        <w:rPr>
          <w:sz w:val="22"/>
          <w:szCs w:val="22"/>
        </w:rPr>
        <w:t xml:space="preserve">will be needed </w:t>
      </w:r>
      <w:r w:rsidR="000328B2" w:rsidRPr="000328B2">
        <w:rPr>
          <w:sz w:val="22"/>
          <w:szCs w:val="22"/>
        </w:rPr>
        <w:t>to account for this selection bias.</w:t>
      </w:r>
      <w:r w:rsidR="000328B2" w:rsidRPr="000328B2">
        <w:rPr>
          <w:sz w:val="22"/>
          <w:szCs w:val="22"/>
        </w:rPr>
        <w:t xml:space="preserve"> </w:t>
      </w:r>
      <w:r w:rsidR="00AE4D03" w:rsidRPr="00ED0923">
        <w:rPr>
          <w:sz w:val="22"/>
          <w:szCs w:val="22"/>
        </w:rPr>
        <w:t xml:space="preserve">Last, we </w:t>
      </w:r>
      <w:r w:rsidR="00AE4D03" w:rsidRPr="00ED0923">
        <w:rPr>
          <w:sz w:val="22"/>
          <w:szCs w:val="22"/>
        </w:rPr>
        <w:lastRenderedPageBreak/>
        <w:t>must notify that the event</w:t>
      </w:r>
      <w:r w:rsidR="001332F6" w:rsidRPr="00ED0923">
        <w:rPr>
          <w:sz w:val="22"/>
          <w:szCs w:val="22"/>
        </w:rPr>
        <w:t xml:space="preserve"> of interest</w:t>
      </w:r>
      <w:r w:rsidR="00AE4D03" w:rsidRPr="00ED0923">
        <w:rPr>
          <w:sz w:val="22"/>
          <w:szCs w:val="22"/>
        </w:rPr>
        <w:t xml:space="preserve"> in this study is</w:t>
      </w:r>
      <w:r w:rsidR="005A7DD9" w:rsidRPr="00ED0923">
        <w:rPr>
          <w:sz w:val="22"/>
          <w:szCs w:val="22"/>
        </w:rPr>
        <w:t xml:space="preserve"> the</w:t>
      </w:r>
      <w:r w:rsidR="00AE4D03" w:rsidRPr="00ED0923">
        <w:rPr>
          <w:sz w:val="22"/>
          <w:szCs w:val="22"/>
        </w:rPr>
        <w:t xml:space="preserve"> death from cancer. </w:t>
      </w:r>
      <w:r w:rsidR="00B472B3" w:rsidRPr="00ED0923">
        <w:rPr>
          <w:sz w:val="22"/>
          <w:szCs w:val="22"/>
        </w:rPr>
        <w:t xml:space="preserve">Deaths by other causes </w:t>
      </w:r>
      <w:r w:rsidR="00AE4D03" w:rsidRPr="00ED0923">
        <w:rPr>
          <w:sz w:val="22"/>
          <w:szCs w:val="22"/>
        </w:rPr>
        <w:t>are competing risks but are treated as censor</w:t>
      </w:r>
      <w:r w:rsidR="005A7DD9" w:rsidRPr="00ED0923">
        <w:rPr>
          <w:sz w:val="22"/>
          <w:szCs w:val="22"/>
        </w:rPr>
        <w:t>ed</w:t>
      </w:r>
      <w:r w:rsidR="00AE4D03" w:rsidRPr="00ED0923">
        <w:rPr>
          <w:sz w:val="22"/>
          <w:szCs w:val="22"/>
        </w:rPr>
        <w:t xml:space="preserve"> in this study. Although the Cox model is still valid, the logistic and Poisson regression are </w:t>
      </w:r>
      <w:r w:rsidR="005A22F2">
        <w:rPr>
          <w:sz w:val="22"/>
          <w:szCs w:val="22"/>
        </w:rPr>
        <w:t>invalid</w:t>
      </w:r>
      <w:r w:rsidR="00F47C10" w:rsidRPr="00ED0923">
        <w:rPr>
          <w:sz w:val="22"/>
          <w:szCs w:val="22"/>
        </w:rPr>
        <w:t>, and</w:t>
      </w:r>
      <w:r w:rsidRPr="00ED0923">
        <w:rPr>
          <w:sz w:val="22"/>
          <w:szCs w:val="22"/>
        </w:rPr>
        <w:t xml:space="preserve"> </w:t>
      </w:r>
      <w:r w:rsidR="00F47C10" w:rsidRPr="00ED0923">
        <w:rPr>
          <w:sz w:val="22"/>
          <w:szCs w:val="22"/>
        </w:rPr>
        <w:t>t</w:t>
      </w:r>
      <w:r w:rsidR="00AE4D03" w:rsidRPr="00ED0923">
        <w:rPr>
          <w:sz w:val="22"/>
          <w:szCs w:val="22"/>
        </w:rPr>
        <w:t xml:space="preserve">heir estimations are biased. </w:t>
      </w:r>
    </w:p>
    <w:p w14:paraId="0C40D9E0" w14:textId="77777777" w:rsidR="000328B2" w:rsidRDefault="000328B2" w:rsidP="007B6B8A">
      <w:pPr>
        <w:rPr>
          <w:sz w:val="22"/>
          <w:szCs w:val="22"/>
        </w:rPr>
      </w:pPr>
    </w:p>
    <w:p w14:paraId="4039E229" w14:textId="77777777" w:rsidR="00DE3989" w:rsidRPr="00ED0923" w:rsidRDefault="00DE3989" w:rsidP="007B6B8A">
      <w:pPr>
        <w:rPr>
          <w:sz w:val="22"/>
          <w:szCs w:val="22"/>
        </w:rPr>
      </w:pPr>
    </w:p>
    <w:p w14:paraId="01B84E4A" w14:textId="15151CFB" w:rsidR="00176326" w:rsidRPr="00570944" w:rsidRDefault="00176326" w:rsidP="007806F0">
      <w:pPr>
        <w:jc w:val="both"/>
        <w:rPr>
          <w:b/>
          <w:bCs/>
          <w:sz w:val="22"/>
          <w:szCs w:val="22"/>
        </w:rPr>
      </w:pPr>
      <w:r w:rsidRPr="00570944">
        <w:rPr>
          <w:b/>
          <w:bCs/>
          <w:sz w:val="22"/>
          <w:szCs w:val="22"/>
        </w:rPr>
        <w:t>A</w:t>
      </w:r>
      <w:r w:rsidRPr="00570944">
        <w:rPr>
          <w:rFonts w:hint="eastAsia"/>
          <w:b/>
          <w:bCs/>
          <w:sz w:val="22"/>
          <w:szCs w:val="22"/>
        </w:rPr>
        <w:t>ppen</w:t>
      </w:r>
      <w:r w:rsidRPr="00570944">
        <w:rPr>
          <w:b/>
          <w:bCs/>
          <w:sz w:val="22"/>
          <w:szCs w:val="22"/>
        </w:rPr>
        <w:t>dix</w:t>
      </w:r>
    </w:p>
    <w:p w14:paraId="660598C1" w14:textId="77777777" w:rsidR="00176326" w:rsidRPr="00ED0923" w:rsidRDefault="00176326" w:rsidP="007806F0">
      <w:pPr>
        <w:jc w:val="both"/>
        <w:rPr>
          <w:sz w:val="22"/>
          <w:szCs w:val="22"/>
        </w:rPr>
      </w:pPr>
    </w:p>
    <w:p w14:paraId="687638B5" w14:textId="281619A1" w:rsidR="00FA6D1D" w:rsidRPr="00ED0923" w:rsidRDefault="00176326" w:rsidP="00176326">
      <w:pPr>
        <w:jc w:val="center"/>
        <w:rPr>
          <w:sz w:val="22"/>
          <w:szCs w:val="22"/>
        </w:rPr>
      </w:pPr>
      <w:r w:rsidRPr="00ED0923">
        <w:rPr>
          <w:noProof/>
          <w:sz w:val="22"/>
          <w:szCs w:val="22"/>
        </w:rPr>
        <w:drawing>
          <wp:inline distT="0" distB="0" distL="0" distR="0" wp14:anchorId="2707888B" wp14:editId="670E05A0">
            <wp:extent cx="4167486" cy="4015657"/>
            <wp:effectExtent l="0" t="0" r="5080" b="4445"/>
            <wp:docPr id="2" name="Picture 2"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3228" cy="4030826"/>
                    </a:xfrm>
                    <a:prstGeom prst="rect">
                      <a:avLst/>
                    </a:prstGeom>
                    <a:noFill/>
                    <a:ln>
                      <a:noFill/>
                    </a:ln>
                  </pic:spPr>
                </pic:pic>
              </a:graphicData>
            </a:graphic>
          </wp:inline>
        </w:drawing>
      </w:r>
    </w:p>
    <w:p w14:paraId="676DEBAB" w14:textId="043C3995" w:rsidR="00176326" w:rsidRPr="00ED0923" w:rsidRDefault="00176326" w:rsidP="00176326">
      <w:pPr>
        <w:jc w:val="center"/>
        <w:rPr>
          <w:sz w:val="22"/>
          <w:szCs w:val="22"/>
        </w:rPr>
      </w:pPr>
      <w:r w:rsidRPr="00ED0923">
        <w:rPr>
          <w:sz w:val="22"/>
          <w:szCs w:val="22"/>
        </w:rPr>
        <w:t>A</w:t>
      </w:r>
      <w:r w:rsidRPr="00ED0923">
        <w:rPr>
          <w:rFonts w:hint="eastAsia"/>
          <w:sz w:val="22"/>
          <w:szCs w:val="22"/>
        </w:rPr>
        <w:t>ppen</w:t>
      </w:r>
      <w:r w:rsidRPr="00ED0923">
        <w:rPr>
          <w:sz w:val="22"/>
          <w:szCs w:val="22"/>
        </w:rPr>
        <w:t>dix</w:t>
      </w:r>
      <w:r w:rsidRPr="00ED0923">
        <w:rPr>
          <w:sz w:val="22"/>
          <w:szCs w:val="22"/>
        </w:rPr>
        <w:t xml:space="preserve"> 1. </w:t>
      </w:r>
      <w:r w:rsidRPr="00ED0923">
        <w:rPr>
          <w:sz w:val="22"/>
          <w:szCs w:val="22"/>
        </w:rPr>
        <w:t>Conceptual framework for Cox proportional hazard models in the primary analysis</w:t>
      </w:r>
    </w:p>
    <w:p w14:paraId="72E1F314" w14:textId="77777777" w:rsidR="00176326" w:rsidRPr="00ED0923" w:rsidRDefault="00176326" w:rsidP="007806F0">
      <w:pPr>
        <w:jc w:val="both"/>
        <w:rPr>
          <w:sz w:val="22"/>
          <w:szCs w:val="22"/>
        </w:rPr>
      </w:pPr>
    </w:p>
    <w:p w14:paraId="7D081788" w14:textId="10850A50" w:rsidR="00FA6D1D" w:rsidRDefault="00FA6D1D" w:rsidP="007806F0">
      <w:pPr>
        <w:jc w:val="both"/>
        <w:rPr>
          <w:sz w:val="22"/>
          <w:szCs w:val="22"/>
        </w:rPr>
      </w:pPr>
    </w:p>
    <w:p w14:paraId="5AE9595B" w14:textId="4515DE09" w:rsidR="00046E67" w:rsidRDefault="00046E67" w:rsidP="007806F0">
      <w:pPr>
        <w:jc w:val="both"/>
        <w:rPr>
          <w:sz w:val="22"/>
          <w:szCs w:val="22"/>
        </w:rPr>
      </w:pPr>
    </w:p>
    <w:p w14:paraId="72F3E146" w14:textId="77777777" w:rsidR="00046E67" w:rsidRPr="00ED0923" w:rsidRDefault="00046E67" w:rsidP="007806F0">
      <w:pPr>
        <w:jc w:val="both"/>
        <w:rPr>
          <w:sz w:val="22"/>
          <w:szCs w:val="22"/>
        </w:rPr>
      </w:pPr>
    </w:p>
    <w:p w14:paraId="16B275C1" w14:textId="0A33E747" w:rsidR="00FA6D1D" w:rsidRPr="00ED0923" w:rsidRDefault="00FA6D1D" w:rsidP="007806F0">
      <w:pPr>
        <w:jc w:val="both"/>
        <w:rPr>
          <w:sz w:val="22"/>
          <w:szCs w:val="22"/>
        </w:rPr>
      </w:pPr>
      <w:r w:rsidRPr="00ED0923">
        <w:rPr>
          <w:sz w:val="22"/>
          <w:szCs w:val="22"/>
        </w:rPr>
        <w:t>A</w:t>
      </w:r>
      <w:r w:rsidRPr="00ED0923">
        <w:rPr>
          <w:rFonts w:hint="eastAsia"/>
          <w:sz w:val="22"/>
          <w:szCs w:val="22"/>
        </w:rPr>
        <w:t>ppen</w:t>
      </w:r>
      <w:r w:rsidRPr="00ED0923">
        <w:rPr>
          <w:sz w:val="22"/>
          <w:szCs w:val="22"/>
        </w:rPr>
        <w:t xml:space="preserve">dix </w:t>
      </w:r>
      <w:r w:rsidR="00176326" w:rsidRPr="00ED0923">
        <w:rPr>
          <w:sz w:val="22"/>
          <w:szCs w:val="22"/>
        </w:rPr>
        <w:t>2</w:t>
      </w:r>
      <w:r w:rsidRPr="00ED0923">
        <w:rPr>
          <w:sz w:val="22"/>
          <w:szCs w:val="22"/>
        </w:rPr>
        <w:t>. Association between alcohol intake and hazard of death from cancer in overall NHANES II (N=</w:t>
      </w:r>
      <w:r w:rsidR="006E5EBA" w:rsidRPr="00ED0923">
        <w:rPr>
          <w:sz w:val="22"/>
          <w:szCs w:val="22"/>
        </w:rPr>
        <w:t>9</w:t>
      </w:r>
      <w:r w:rsidR="00E5106F" w:rsidRPr="00ED0923">
        <w:rPr>
          <w:sz w:val="22"/>
          <w:szCs w:val="22"/>
        </w:rPr>
        <w:t>190</w:t>
      </w:r>
      <w:r w:rsidRPr="00ED0923">
        <w:rPr>
          <w:rFonts w:hint="eastAsia"/>
          <w:sz w:val="22"/>
          <w:szCs w:val="22"/>
        </w:rPr>
        <w:t>)</w:t>
      </w:r>
      <w:r w:rsidRPr="00ED0923">
        <w:rPr>
          <w:sz w:val="22"/>
          <w:szCs w:val="22"/>
        </w:rPr>
        <w:t>.</w:t>
      </w:r>
    </w:p>
    <w:tbl>
      <w:tblPr>
        <w:tblStyle w:val="TableGrid"/>
        <w:tblW w:w="0" w:type="auto"/>
        <w:tblLook w:val="04A0" w:firstRow="1" w:lastRow="0" w:firstColumn="1" w:lastColumn="0" w:noHBand="0" w:noVBand="1"/>
      </w:tblPr>
      <w:tblGrid>
        <w:gridCol w:w="1306"/>
        <w:gridCol w:w="1209"/>
        <w:gridCol w:w="1822"/>
        <w:gridCol w:w="1823"/>
        <w:gridCol w:w="1822"/>
        <w:gridCol w:w="1823"/>
        <w:gridCol w:w="900"/>
      </w:tblGrid>
      <w:tr w:rsidR="00FA6D1D" w:rsidRPr="00ED0923" w14:paraId="5BAA3406" w14:textId="77777777" w:rsidTr="008179FF">
        <w:tc>
          <w:tcPr>
            <w:tcW w:w="1306" w:type="dxa"/>
            <w:tcBorders>
              <w:right w:val="nil"/>
            </w:tcBorders>
          </w:tcPr>
          <w:p w14:paraId="575C2156" w14:textId="77777777" w:rsidR="00FA6D1D" w:rsidRPr="00ED0923" w:rsidRDefault="00FA6D1D" w:rsidP="007806F0">
            <w:pPr>
              <w:jc w:val="both"/>
              <w:rPr>
                <w:sz w:val="22"/>
                <w:szCs w:val="22"/>
              </w:rPr>
            </w:pPr>
          </w:p>
        </w:tc>
        <w:tc>
          <w:tcPr>
            <w:tcW w:w="1209" w:type="dxa"/>
            <w:tcBorders>
              <w:left w:val="nil"/>
              <w:right w:val="nil"/>
            </w:tcBorders>
            <w:vAlign w:val="center"/>
          </w:tcPr>
          <w:p w14:paraId="0477D13D" w14:textId="77777777" w:rsidR="00FA6D1D" w:rsidRPr="00ED0923" w:rsidRDefault="00FA6D1D" w:rsidP="007806F0">
            <w:pPr>
              <w:jc w:val="both"/>
              <w:rPr>
                <w:sz w:val="22"/>
                <w:szCs w:val="22"/>
              </w:rPr>
            </w:pPr>
            <w:r w:rsidRPr="00ED0923">
              <w:rPr>
                <w:sz w:val="22"/>
                <w:szCs w:val="22"/>
              </w:rPr>
              <w:t>0/week</w:t>
            </w:r>
          </w:p>
        </w:tc>
        <w:tc>
          <w:tcPr>
            <w:tcW w:w="1822" w:type="dxa"/>
            <w:tcBorders>
              <w:left w:val="nil"/>
              <w:right w:val="nil"/>
            </w:tcBorders>
            <w:vAlign w:val="center"/>
          </w:tcPr>
          <w:p w14:paraId="03A2C158" w14:textId="77777777" w:rsidR="00FA6D1D" w:rsidRPr="00ED0923" w:rsidRDefault="00FA6D1D" w:rsidP="007806F0">
            <w:pPr>
              <w:jc w:val="both"/>
              <w:rPr>
                <w:sz w:val="22"/>
                <w:szCs w:val="22"/>
              </w:rPr>
            </w:pPr>
            <w:r w:rsidRPr="00ED0923">
              <w:rPr>
                <w:sz w:val="22"/>
                <w:szCs w:val="22"/>
              </w:rPr>
              <w:t>0-0.5/week</w:t>
            </w:r>
          </w:p>
        </w:tc>
        <w:tc>
          <w:tcPr>
            <w:tcW w:w="1823" w:type="dxa"/>
            <w:tcBorders>
              <w:left w:val="nil"/>
              <w:right w:val="nil"/>
            </w:tcBorders>
            <w:vAlign w:val="center"/>
          </w:tcPr>
          <w:p w14:paraId="15DFF894" w14:textId="77777777" w:rsidR="00FA6D1D" w:rsidRPr="00ED0923" w:rsidRDefault="00FA6D1D" w:rsidP="007806F0">
            <w:pPr>
              <w:jc w:val="both"/>
              <w:rPr>
                <w:sz w:val="22"/>
                <w:szCs w:val="22"/>
              </w:rPr>
            </w:pPr>
            <w:r w:rsidRPr="00ED0923">
              <w:rPr>
                <w:sz w:val="22"/>
                <w:szCs w:val="22"/>
              </w:rPr>
              <w:t>0.5-2/week</w:t>
            </w:r>
          </w:p>
        </w:tc>
        <w:tc>
          <w:tcPr>
            <w:tcW w:w="1822" w:type="dxa"/>
            <w:tcBorders>
              <w:left w:val="nil"/>
              <w:right w:val="nil"/>
            </w:tcBorders>
            <w:vAlign w:val="center"/>
          </w:tcPr>
          <w:p w14:paraId="4C5014AA" w14:textId="77777777" w:rsidR="00FA6D1D" w:rsidRPr="00ED0923" w:rsidRDefault="00FA6D1D" w:rsidP="007806F0">
            <w:pPr>
              <w:jc w:val="both"/>
              <w:rPr>
                <w:sz w:val="22"/>
                <w:szCs w:val="22"/>
              </w:rPr>
            </w:pPr>
            <w:r w:rsidRPr="00ED0923">
              <w:rPr>
                <w:sz w:val="22"/>
                <w:szCs w:val="22"/>
              </w:rPr>
              <w:t>&gt;2/week</w:t>
            </w:r>
          </w:p>
        </w:tc>
        <w:tc>
          <w:tcPr>
            <w:tcW w:w="1823" w:type="dxa"/>
            <w:tcBorders>
              <w:left w:val="nil"/>
              <w:right w:val="nil"/>
            </w:tcBorders>
          </w:tcPr>
          <w:p w14:paraId="3735A1DD" w14:textId="77777777" w:rsidR="00FA6D1D" w:rsidRPr="00ED0923" w:rsidRDefault="00FA6D1D" w:rsidP="007806F0">
            <w:pPr>
              <w:jc w:val="both"/>
              <w:rPr>
                <w:sz w:val="22"/>
                <w:szCs w:val="22"/>
              </w:rPr>
            </w:pPr>
            <w:r w:rsidRPr="00ED0923">
              <w:rPr>
                <w:sz w:val="22"/>
                <w:szCs w:val="22"/>
              </w:rPr>
              <w:t>Continuous</w:t>
            </w:r>
          </w:p>
        </w:tc>
        <w:tc>
          <w:tcPr>
            <w:tcW w:w="900" w:type="dxa"/>
            <w:tcBorders>
              <w:left w:val="nil"/>
            </w:tcBorders>
          </w:tcPr>
          <w:p w14:paraId="1F8F688A" w14:textId="77777777" w:rsidR="00FA6D1D" w:rsidRPr="00ED0923" w:rsidRDefault="00FA6D1D" w:rsidP="007806F0">
            <w:pPr>
              <w:jc w:val="both"/>
              <w:rPr>
                <w:sz w:val="22"/>
                <w:szCs w:val="22"/>
              </w:rPr>
            </w:pPr>
            <w:proofErr w:type="spellStart"/>
            <w:r w:rsidRPr="00ED0923">
              <w:rPr>
                <w:sz w:val="22"/>
                <w:szCs w:val="22"/>
              </w:rPr>
              <w:t>P</w:t>
            </w:r>
            <w:r w:rsidRPr="00ED0923">
              <w:rPr>
                <w:sz w:val="22"/>
                <w:szCs w:val="22"/>
                <w:vertAlign w:val="subscript"/>
              </w:rPr>
              <w:t>trend</w:t>
            </w:r>
            <w:proofErr w:type="spellEnd"/>
          </w:p>
        </w:tc>
      </w:tr>
      <w:tr w:rsidR="00FA6D1D" w:rsidRPr="00ED0923" w14:paraId="66C6E329" w14:textId="77777777" w:rsidTr="008179FF">
        <w:tc>
          <w:tcPr>
            <w:tcW w:w="10705" w:type="dxa"/>
            <w:gridSpan w:val="7"/>
            <w:tcBorders>
              <w:bottom w:val="single" w:sz="4" w:space="0" w:color="auto"/>
            </w:tcBorders>
          </w:tcPr>
          <w:p w14:paraId="2B9AA55E" w14:textId="139D06F9" w:rsidR="00FA6D1D" w:rsidRPr="00ED0923" w:rsidRDefault="00FA6D1D" w:rsidP="007806F0">
            <w:pPr>
              <w:jc w:val="both"/>
              <w:rPr>
                <w:sz w:val="22"/>
                <w:szCs w:val="22"/>
                <w:vertAlign w:val="superscript"/>
              </w:rPr>
            </w:pPr>
            <w:r w:rsidRPr="00ED0923">
              <w:rPr>
                <w:sz w:val="22"/>
                <w:szCs w:val="22"/>
              </w:rPr>
              <w:t>Logistics</w:t>
            </w:r>
            <w:r w:rsidR="004D4DA5" w:rsidRPr="00ED0923">
              <w:rPr>
                <w:sz w:val="22"/>
                <w:szCs w:val="22"/>
              </w:rPr>
              <w:t xml:space="preserve"> </w:t>
            </w:r>
            <w:proofErr w:type="spellStart"/>
            <w:r w:rsidR="004D4DA5" w:rsidRPr="00ED0923">
              <w:rPr>
                <w:rFonts w:hint="eastAsia"/>
                <w:sz w:val="22"/>
                <w:szCs w:val="22"/>
              </w:rPr>
              <w:t>re</w:t>
            </w:r>
            <w:r w:rsidR="004D4DA5" w:rsidRPr="00ED0923">
              <w:rPr>
                <w:sz w:val="22"/>
                <w:szCs w:val="22"/>
              </w:rPr>
              <w:t>gression</w:t>
            </w:r>
            <w:r w:rsidR="00E5106F" w:rsidRPr="00ED0923">
              <w:rPr>
                <w:rFonts w:hint="eastAsia"/>
                <w:sz w:val="22"/>
                <w:szCs w:val="22"/>
                <w:vertAlign w:val="superscript"/>
              </w:rPr>
              <w:t>a</w:t>
            </w:r>
            <w:proofErr w:type="spellEnd"/>
          </w:p>
        </w:tc>
      </w:tr>
      <w:tr w:rsidR="00FA6D1D" w:rsidRPr="00ED0923" w14:paraId="0D3B497E" w14:textId="77777777" w:rsidTr="008179FF">
        <w:tc>
          <w:tcPr>
            <w:tcW w:w="1306" w:type="dxa"/>
            <w:tcBorders>
              <w:bottom w:val="nil"/>
              <w:right w:val="nil"/>
            </w:tcBorders>
          </w:tcPr>
          <w:p w14:paraId="770577D4" w14:textId="77777777" w:rsidR="00FA6D1D" w:rsidRPr="00ED0923" w:rsidRDefault="00FA6D1D" w:rsidP="007806F0">
            <w:pPr>
              <w:jc w:val="both"/>
              <w:rPr>
                <w:sz w:val="22"/>
                <w:szCs w:val="22"/>
              </w:rPr>
            </w:pPr>
            <w:r w:rsidRPr="00ED0923">
              <w:rPr>
                <w:sz w:val="22"/>
                <w:szCs w:val="22"/>
              </w:rPr>
              <w:t>Crude model</w:t>
            </w:r>
          </w:p>
        </w:tc>
        <w:tc>
          <w:tcPr>
            <w:tcW w:w="1209" w:type="dxa"/>
            <w:tcBorders>
              <w:left w:val="nil"/>
              <w:bottom w:val="nil"/>
              <w:right w:val="nil"/>
            </w:tcBorders>
          </w:tcPr>
          <w:p w14:paraId="27D2FB59" w14:textId="77777777" w:rsidR="00FA6D1D" w:rsidRPr="00ED0923" w:rsidRDefault="00FA6D1D" w:rsidP="007806F0">
            <w:pPr>
              <w:jc w:val="both"/>
              <w:rPr>
                <w:sz w:val="22"/>
                <w:szCs w:val="22"/>
              </w:rPr>
            </w:pPr>
            <w:r w:rsidRPr="00ED0923">
              <w:rPr>
                <w:sz w:val="22"/>
                <w:szCs w:val="22"/>
              </w:rPr>
              <w:t>Ref</w:t>
            </w:r>
          </w:p>
        </w:tc>
        <w:tc>
          <w:tcPr>
            <w:tcW w:w="1822" w:type="dxa"/>
            <w:tcBorders>
              <w:left w:val="nil"/>
              <w:bottom w:val="nil"/>
              <w:right w:val="nil"/>
            </w:tcBorders>
          </w:tcPr>
          <w:p w14:paraId="64015E92" w14:textId="7FDEFE8F" w:rsidR="00FA6D1D" w:rsidRPr="00ED0923" w:rsidRDefault="005D7BB8" w:rsidP="007806F0">
            <w:pPr>
              <w:jc w:val="both"/>
              <w:rPr>
                <w:sz w:val="22"/>
                <w:szCs w:val="22"/>
              </w:rPr>
            </w:pPr>
            <w:r w:rsidRPr="00ED0923">
              <w:rPr>
                <w:sz w:val="22"/>
                <w:szCs w:val="22"/>
              </w:rPr>
              <w:t xml:space="preserve">0.97 </w:t>
            </w:r>
            <w:r w:rsidRPr="00ED0923">
              <w:rPr>
                <w:rFonts w:hint="eastAsia"/>
                <w:sz w:val="22"/>
                <w:szCs w:val="22"/>
              </w:rPr>
              <w:t>(</w:t>
            </w:r>
            <w:r w:rsidRPr="00ED0923">
              <w:rPr>
                <w:sz w:val="22"/>
                <w:szCs w:val="22"/>
              </w:rPr>
              <w:t>0.72, 1.32)</w:t>
            </w:r>
          </w:p>
        </w:tc>
        <w:tc>
          <w:tcPr>
            <w:tcW w:w="1823" w:type="dxa"/>
            <w:tcBorders>
              <w:left w:val="nil"/>
              <w:bottom w:val="nil"/>
              <w:right w:val="nil"/>
            </w:tcBorders>
          </w:tcPr>
          <w:p w14:paraId="2395EDB1" w14:textId="14A246B0" w:rsidR="00FA6D1D" w:rsidRPr="00ED0923" w:rsidRDefault="005D7BB8" w:rsidP="007806F0">
            <w:pPr>
              <w:jc w:val="both"/>
              <w:rPr>
                <w:sz w:val="22"/>
                <w:szCs w:val="22"/>
              </w:rPr>
            </w:pPr>
            <w:r w:rsidRPr="00ED0923">
              <w:rPr>
                <w:sz w:val="22"/>
                <w:szCs w:val="22"/>
              </w:rPr>
              <w:t>0.87 (0.68, 1.12)</w:t>
            </w:r>
          </w:p>
        </w:tc>
        <w:tc>
          <w:tcPr>
            <w:tcW w:w="1822" w:type="dxa"/>
            <w:tcBorders>
              <w:left w:val="nil"/>
              <w:bottom w:val="nil"/>
              <w:right w:val="nil"/>
            </w:tcBorders>
          </w:tcPr>
          <w:p w14:paraId="49CC734C" w14:textId="0EA7A4FA" w:rsidR="00FA6D1D" w:rsidRPr="00ED0923" w:rsidRDefault="005D7BB8" w:rsidP="007806F0">
            <w:pPr>
              <w:jc w:val="both"/>
              <w:rPr>
                <w:sz w:val="22"/>
                <w:szCs w:val="22"/>
              </w:rPr>
            </w:pPr>
            <w:r w:rsidRPr="00ED0923">
              <w:rPr>
                <w:sz w:val="22"/>
                <w:szCs w:val="22"/>
              </w:rPr>
              <w:t>1.23 (1.00, 1.50)</w:t>
            </w:r>
          </w:p>
        </w:tc>
        <w:tc>
          <w:tcPr>
            <w:tcW w:w="1823" w:type="dxa"/>
            <w:tcBorders>
              <w:left w:val="nil"/>
              <w:bottom w:val="nil"/>
              <w:right w:val="nil"/>
            </w:tcBorders>
          </w:tcPr>
          <w:p w14:paraId="436FF5D6" w14:textId="15EDD1E9" w:rsidR="00FA6D1D" w:rsidRPr="00ED0923" w:rsidRDefault="005D7BB8" w:rsidP="007806F0">
            <w:pPr>
              <w:jc w:val="both"/>
              <w:rPr>
                <w:sz w:val="22"/>
                <w:szCs w:val="22"/>
              </w:rPr>
            </w:pPr>
            <w:r w:rsidRPr="00ED0923">
              <w:rPr>
                <w:sz w:val="22"/>
                <w:szCs w:val="22"/>
              </w:rPr>
              <w:t>1.03 (1.01, 1.05)</w:t>
            </w:r>
          </w:p>
        </w:tc>
        <w:tc>
          <w:tcPr>
            <w:tcW w:w="900" w:type="dxa"/>
            <w:tcBorders>
              <w:left w:val="nil"/>
              <w:bottom w:val="nil"/>
            </w:tcBorders>
          </w:tcPr>
          <w:p w14:paraId="3936FAAB" w14:textId="7FE69215" w:rsidR="00FA6D1D" w:rsidRPr="00ED0923" w:rsidRDefault="005D7BB8" w:rsidP="007806F0">
            <w:pPr>
              <w:jc w:val="both"/>
              <w:rPr>
                <w:sz w:val="22"/>
                <w:szCs w:val="22"/>
              </w:rPr>
            </w:pPr>
            <w:r w:rsidRPr="00ED0923">
              <w:rPr>
                <w:sz w:val="22"/>
                <w:szCs w:val="22"/>
              </w:rPr>
              <w:t>0.127</w:t>
            </w:r>
          </w:p>
        </w:tc>
      </w:tr>
      <w:tr w:rsidR="00FA6D1D" w:rsidRPr="00ED0923" w14:paraId="4542C491" w14:textId="77777777" w:rsidTr="008179FF">
        <w:tc>
          <w:tcPr>
            <w:tcW w:w="1306" w:type="dxa"/>
            <w:tcBorders>
              <w:top w:val="nil"/>
              <w:bottom w:val="nil"/>
              <w:right w:val="nil"/>
            </w:tcBorders>
          </w:tcPr>
          <w:p w14:paraId="367F124F" w14:textId="77777777" w:rsidR="00FA6D1D" w:rsidRPr="00ED0923" w:rsidRDefault="00FA6D1D" w:rsidP="007806F0">
            <w:pPr>
              <w:jc w:val="both"/>
              <w:rPr>
                <w:sz w:val="22"/>
                <w:szCs w:val="22"/>
              </w:rPr>
            </w:pPr>
            <w:r w:rsidRPr="00ED0923">
              <w:rPr>
                <w:sz w:val="22"/>
                <w:szCs w:val="22"/>
              </w:rPr>
              <w:t>Age-adjusted</w:t>
            </w:r>
          </w:p>
        </w:tc>
        <w:tc>
          <w:tcPr>
            <w:tcW w:w="1209" w:type="dxa"/>
            <w:tcBorders>
              <w:top w:val="nil"/>
              <w:left w:val="nil"/>
              <w:bottom w:val="nil"/>
              <w:right w:val="nil"/>
            </w:tcBorders>
          </w:tcPr>
          <w:p w14:paraId="43EE28A1" w14:textId="77777777" w:rsidR="00FA6D1D" w:rsidRPr="00ED0923" w:rsidRDefault="00FA6D1D" w:rsidP="007806F0">
            <w:pPr>
              <w:jc w:val="both"/>
              <w:rPr>
                <w:sz w:val="22"/>
                <w:szCs w:val="22"/>
              </w:rPr>
            </w:pPr>
            <w:r w:rsidRPr="00ED0923">
              <w:rPr>
                <w:sz w:val="22"/>
                <w:szCs w:val="22"/>
              </w:rPr>
              <w:t>Ref</w:t>
            </w:r>
          </w:p>
        </w:tc>
        <w:tc>
          <w:tcPr>
            <w:tcW w:w="1822" w:type="dxa"/>
            <w:tcBorders>
              <w:top w:val="nil"/>
              <w:left w:val="nil"/>
              <w:bottom w:val="nil"/>
              <w:right w:val="nil"/>
            </w:tcBorders>
          </w:tcPr>
          <w:p w14:paraId="229990B7" w14:textId="65EA7E82" w:rsidR="00FA6D1D" w:rsidRPr="00ED0923" w:rsidRDefault="005D7BB8" w:rsidP="007806F0">
            <w:pPr>
              <w:jc w:val="both"/>
              <w:rPr>
                <w:sz w:val="22"/>
                <w:szCs w:val="22"/>
              </w:rPr>
            </w:pPr>
            <w:r w:rsidRPr="00ED0923">
              <w:rPr>
                <w:sz w:val="22"/>
                <w:szCs w:val="22"/>
              </w:rPr>
              <w:t>1.12 (0.82, 1.53)</w:t>
            </w:r>
          </w:p>
        </w:tc>
        <w:tc>
          <w:tcPr>
            <w:tcW w:w="1823" w:type="dxa"/>
            <w:tcBorders>
              <w:top w:val="nil"/>
              <w:left w:val="nil"/>
              <w:bottom w:val="nil"/>
              <w:right w:val="nil"/>
            </w:tcBorders>
          </w:tcPr>
          <w:p w14:paraId="7851895B" w14:textId="3A7B5183" w:rsidR="00FA6D1D" w:rsidRPr="00ED0923" w:rsidRDefault="005D7BB8" w:rsidP="007806F0">
            <w:pPr>
              <w:jc w:val="both"/>
              <w:rPr>
                <w:sz w:val="22"/>
                <w:szCs w:val="22"/>
              </w:rPr>
            </w:pPr>
            <w:r w:rsidRPr="00ED0923">
              <w:rPr>
                <w:sz w:val="22"/>
                <w:szCs w:val="22"/>
              </w:rPr>
              <w:t>1.17 (0.90, 1.51)</w:t>
            </w:r>
          </w:p>
        </w:tc>
        <w:tc>
          <w:tcPr>
            <w:tcW w:w="1822" w:type="dxa"/>
            <w:tcBorders>
              <w:top w:val="nil"/>
              <w:left w:val="nil"/>
              <w:bottom w:val="nil"/>
              <w:right w:val="nil"/>
            </w:tcBorders>
          </w:tcPr>
          <w:p w14:paraId="6B0F4FD5" w14:textId="5EF15C08" w:rsidR="00FA6D1D" w:rsidRPr="00ED0923" w:rsidRDefault="005D7BB8" w:rsidP="007806F0">
            <w:pPr>
              <w:jc w:val="both"/>
              <w:rPr>
                <w:sz w:val="22"/>
                <w:szCs w:val="22"/>
              </w:rPr>
            </w:pPr>
            <w:r w:rsidRPr="00ED0923">
              <w:rPr>
                <w:sz w:val="22"/>
                <w:szCs w:val="22"/>
              </w:rPr>
              <w:t>1.67 (1.36, 2.06)</w:t>
            </w:r>
          </w:p>
        </w:tc>
        <w:tc>
          <w:tcPr>
            <w:tcW w:w="1823" w:type="dxa"/>
            <w:tcBorders>
              <w:top w:val="nil"/>
              <w:left w:val="nil"/>
              <w:bottom w:val="nil"/>
              <w:right w:val="nil"/>
            </w:tcBorders>
          </w:tcPr>
          <w:p w14:paraId="45768E3F" w14:textId="5661F5A6" w:rsidR="00FA6D1D" w:rsidRPr="00ED0923" w:rsidRDefault="005D7BB8" w:rsidP="007806F0">
            <w:pPr>
              <w:jc w:val="both"/>
              <w:rPr>
                <w:sz w:val="22"/>
                <w:szCs w:val="22"/>
              </w:rPr>
            </w:pPr>
            <w:r w:rsidRPr="00ED0923">
              <w:rPr>
                <w:sz w:val="22"/>
                <w:szCs w:val="22"/>
              </w:rPr>
              <w:t>1.04 (1.03, 1.06)</w:t>
            </w:r>
          </w:p>
        </w:tc>
        <w:tc>
          <w:tcPr>
            <w:tcW w:w="900" w:type="dxa"/>
            <w:tcBorders>
              <w:top w:val="nil"/>
              <w:left w:val="nil"/>
              <w:bottom w:val="nil"/>
            </w:tcBorders>
          </w:tcPr>
          <w:p w14:paraId="703BE811" w14:textId="0163E9A9" w:rsidR="00FA6D1D" w:rsidRPr="00ED0923" w:rsidRDefault="005D7BB8" w:rsidP="007806F0">
            <w:pPr>
              <w:jc w:val="both"/>
              <w:rPr>
                <w:sz w:val="22"/>
                <w:szCs w:val="22"/>
              </w:rPr>
            </w:pPr>
            <w:r w:rsidRPr="00ED0923">
              <w:rPr>
                <w:sz w:val="22"/>
                <w:szCs w:val="22"/>
              </w:rPr>
              <w:t>&lt;0.001</w:t>
            </w:r>
          </w:p>
        </w:tc>
      </w:tr>
      <w:tr w:rsidR="00FA6D1D" w:rsidRPr="00ED0923" w14:paraId="4EB23020" w14:textId="77777777" w:rsidTr="008179FF">
        <w:tc>
          <w:tcPr>
            <w:tcW w:w="1306" w:type="dxa"/>
            <w:tcBorders>
              <w:top w:val="nil"/>
              <w:right w:val="nil"/>
            </w:tcBorders>
          </w:tcPr>
          <w:p w14:paraId="2D7BDA33" w14:textId="77777777" w:rsidR="00FA6D1D" w:rsidRPr="00ED0923" w:rsidRDefault="00FA6D1D" w:rsidP="007806F0">
            <w:pPr>
              <w:jc w:val="both"/>
              <w:rPr>
                <w:sz w:val="22"/>
                <w:szCs w:val="22"/>
              </w:rPr>
            </w:pPr>
            <w:r w:rsidRPr="00ED0923">
              <w:rPr>
                <w:sz w:val="22"/>
                <w:szCs w:val="22"/>
              </w:rPr>
              <w:t>MV-adjusted</w:t>
            </w:r>
          </w:p>
        </w:tc>
        <w:tc>
          <w:tcPr>
            <w:tcW w:w="1209" w:type="dxa"/>
            <w:tcBorders>
              <w:top w:val="nil"/>
              <w:left w:val="nil"/>
              <w:right w:val="nil"/>
            </w:tcBorders>
          </w:tcPr>
          <w:p w14:paraId="036EA31C" w14:textId="77777777" w:rsidR="00FA6D1D" w:rsidRPr="00ED0923" w:rsidRDefault="00FA6D1D" w:rsidP="007806F0">
            <w:pPr>
              <w:jc w:val="both"/>
              <w:rPr>
                <w:sz w:val="22"/>
                <w:szCs w:val="22"/>
              </w:rPr>
            </w:pPr>
            <w:r w:rsidRPr="00ED0923">
              <w:rPr>
                <w:sz w:val="22"/>
                <w:szCs w:val="22"/>
              </w:rPr>
              <w:t>Ref</w:t>
            </w:r>
          </w:p>
        </w:tc>
        <w:tc>
          <w:tcPr>
            <w:tcW w:w="1822" w:type="dxa"/>
            <w:tcBorders>
              <w:top w:val="nil"/>
              <w:left w:val="nil"/>
              <w:right w:val="nil"/>
            </w:tcBorders>
          </w:tcPr>
          <w:p w14:paraId="46740EB6" w14:textId="2173E03C" w:rsidR="00FA6D1D" w:rsidRPr="00ED0923" w:rsidRDefault="005D7BB8" w:rsidP="007806F0">
            <w:pPr>
              <w:jc w:val="both"/>
              <w:rPr>
                <w:sz w:val="22"/>
                <w:szCs w:val="22"/>
              </w:rPr>
            </w:pPr>
            <w:r w:rsidRPr="00ED0923">
              <w:rPr>
                <w:sz w:val="22"/>
                <w:szCs w:val="22"/>
              </w:rPr>
              <w:t>1.06 (0.77, 1.45)</w:t>
            </w:r>
          </w:p>
        </w:tc>
        <w:tc>
          <w:tcPr>
            <w:tcW w:w="1823" w:type="dxa"/>
            <w:tcBorders>
              <w:top w:val="nil"/>
              <w:left w:val="nil"/>
              <w:right w:val="nil"/>
            </w:tcBorders>
          </w:tcPr>
          <w:p w14:paraId="6D653607" w14:textId="2E17DFE2" w:rsidR="00FA6D1D" w:rsidRPr="00ED0923" w:rsidRDefault="005D7BB8" w:rsidP="007806F0">
            <w:pPr>
              <w:jc w:val="both"/>
              <w:rPr>
                <w:sz w:val="22"/>
                <w:szCs w:val="22"/>
              </w:rPr>
            </w:pPr>
            <w:r w:rsidRPr="00ED0923">
              <w:rPr>
                <w:sz w:val="22"/>
                <w:szCs w:val="22"/>
              </w:rPr>
              <w:t>1.00 (0.77, 1.31)</w:t>
            </w:r>
          </w:p>
        </w:tc>
        <w:tc>
          <w:tcPr>
            <w:tcW w:w="1822" w:type="dxa"/>
            <w:tcBorders>
              <w:top w:val="nil"/>
              <w:left w:val="nil"/>
              <w:right w:val="nil"/>
            </w:tcBorders>
          </w:tcPr>
          <w:p w14:paraId="5ED6A98B" w14:textId="43AFC988" w:rsidR="00FA6D1D" w:rsidRPr="00ED0923" w:rsidRDefault="005D7BB8" w:rsidP="007806F0">
            <w:pPr>
              <w:jc w:val="both"/>
              <w:rPr>
                <w:sz w:val="22"/>
                <w:szCs w:val="22"/>
              </w:rPr>
            </w:pPr>
            <w:r w:rsidRPr="00ED0923">
              <w:rPr>
                <w:sz w:val="22"/>
                <w:szCs w:val="22"/>
              </w:rPr>
              <w:t>1.29 (1.02, 1.63)</w:t>
            </w:r>
          </w:p>
        </w:tc>
        <w:tc>
          <w:tcPr>
            <w:tcW w:w="1823" w:type="dxa"/>
            <w:tcBorders>
              <w:top w:val="nil"/>
              <w:left w:val="nil"/>
              <w:right w:val="nil"/>
            </w:tcBorders>
          </w:tcPr>
          <w:p w14:paraId="6C333533" w14:textId="0A54CD30" w:rsidR="00FA6D1D" w:rsidRPr="00ED0923" w:rsidRDefault="005D7BB8" w:rsidP="007806F0">
            <w:pPr>
              <w:jc w:val="both"/>
              <w:rPr>
                <w:sz w:val="22"/>
                <w:szCs w:val="22"/>
              </w:rPr>
            </w:pPr>
            <w:r w:rsidRPr="00ED0923">
              <w:rPr>
                <w:sz w:val="22"/>
                <w:szCs w:val="22"/>
              </w:rPr>
              <w:t>1.03 (1.01, 1.04)</w:t>
            </w:r>
          </w:p>
        </w:tc>
        <w:tc>
          <w:tcPr>
            <w:tcW w:w="900" w:type="dxa"/>
            <w:tcBorders>
              <w:top w:val="nil"/>
              <w:left w:val="nil"/>
            </w:tcBorders>
          </w:tcPr>
          <w:p w14:paraId="038CE176" w14:textId="4A891582" w:rsidR="00FA6D1D" w:rsidRPr="00ED0923" w:rsidRDefault="005D7BB8" w:rsidP="007806F0">
            <w:pPr>
              <w:jc w:val="both"/>
              <w:rPr>
                <w:sz w:val="22"/>
                <w:szCs w:val="22"/>
              </w:rPr>
            </w:pPr>
            <w:r w:rsidRPr="00ED0923">
              <w:rPr>
                <w:sz w:val="22"/>
                <w:szCs w:val="22"/>
              </w:rPr>
              <w:t>0.054</w:t>
            </w:r>
          </w:p>
        </w:tc>
      </w:tr>
      <w:tr w:rsidR="00FA6D1D" w:rsidRPr="00ED0923" w14:paraId="3917C87A" w14:textId="77777777" w:rsidTr="008179FF">
        <w:tc>
          <w:tcPr>
            <w:tcW w:w="10705" w:type="dxa"/>
            <w:gridSpan w:val="7"/>
            <w:tcBorders>
              <w:bottom w:val="single" w:sz="4" w:space="0" w:color="auto"/>
            </w:tcBorders>
          </w:tcPr>
          <w:p w14:paraId="24ED27AC" w14:textId="0A212BDE" w:rsidR="00FA6D1D" w:rsidRPr="00ED0923" w:rsidRDefault="00FA6D1D" w:rsidP="007806F0">
            <w:pPr>
              <w:jc w:val="both"/>
              <w:rPr>
                <w:sz w:val="22"/>
                <w:szCs w:val="22"/>
                <w:vertAlign w:val="superscript"/>
              </w:rPr>
            </w:pPr>
            <w:r w:rsidRPr="00ED0923">
              <w:rPr>
                <w:sz w:val="22"/>
                <w:szCs w:val="22"/>
              </w:rPr>
              <w:t>Poisson</w:t>
            </w:r>
            <w:r w:rsidR="004D4DA5" w:rsidRPr="00ED0923">
              <w:rPr>
                <w:sz w:val="22"/>
                <w:szCs w:val="22"/>
              </w:rPr>
              <w:t xml:space="preserve"> </w:t>
            </w:r>
            <w:proofErr w:type="spellStart"/>
            <w:r w:rsidR="004D4DA5" w:rsidRPr="00ED0923">
              <w:rPr>
                <w:sz w:val="22"/>
                <w:szCs w:val="22"/>
              </w:rPr>
              <w:t>regression</w:t>
            </w:r>
            <w:r w:rsidR="00E5106F" w:rsidRPr="00ED0923">
              <w:rPr>
                <w:sz w:val="22"/>
                <w:szCs w:val="22"/>
                <w:vertAlign w:val="superscript"/>
              </w:rPr>
              <w:t>a</w:t>
            </w:r>
            <w:proofErr w:type="spellEnd"/>
          </w:p>
        </w:tc>
      </w:tr>
      <w:tr w:rsidR="00FA6D1D" w:rsidRPr="00ED0923" w14:paraId="08A08F4F" w14:textId="77777777" w:rsidTr="008179FF">
        <w:tc>
          <w:tcPr>
            <w:tcW w:w="1306" w:type="dxa"/>
            <w:tcBorders>
              <w:bottom w:val="nil"/>
              <w:right w:val="nil"/>
            </w:tcBorders>
          </w:tcPr>
          <w:p w14:paraId="6072C5BD" w14:textId="77777777" w:rsidR="00FA6D1D" w:rsidRPr="00ED0923" w:rsidRDefault="00FA6D1D" w:rsidP="007806F0">
            <w:pPr>
              <w:jc w:val="both"/>
              <w:rPr>
                <w:sz w:val="22"/>
                <w:szCs w:val="22"/>
              </w:rPr>
            </w:pPr>
            <w:r w:rsidRPr="00ED0923">
              <w:rPr>
                <w:sz w:val="22"/>
                <w:szCs w:val="22"/>
              </w:rPr>
              <w:t>Crude model</w:t>
            </w:r>
          </w:p>
        </w:tc>
        <w:tc>
          <w:tcPr>
            <w:tcW w:w="1209" w:type="dxa"/>
            <w:tcBorders>
              <w:left w:val="nil"/>
              <w:bottom w:val="nil"/>
              <w:right w:val="nil"/>
            </w:tcBorders>
          </w:tcPr>
          <w:p w14:paraId="2E18C033" w14:textId="77777777" w:rsidR="00FA6D1D" w:rsidRPr="00ED0923" w:rsidRDefault="00FA6D1D" w:rsidP="007806F0">
            <w:pPr>
              <w:jc w:val="both"/>
              <w:rPr>
                <w:sz w:val="22"/>
                <w:szCs w:val="22"/>
              </w:rPr>
            </w:pPr>
            <w:r w:rsidRPr="00ED0923">
              <w:rPr>
                <w:sz w:val="22"/>
                <w:szCs w:val="22"/>
              </w:rPr>
              <w:t>Ref</w:t>
            </w:r>
          </w:p>
        </w:tc>
        <w:tc>
          <w:tcPr>
            <w:tcW w:w="1822" w:type="dxa"/>
            <w:tcBorders>
              <w:left w:val="nil"/>
              <w:bottom w:val="nil"/>
              <w:right w:val="nil"/>
            </w:tcBorders>
          </w:tcPr>
          <w:p w14:paraId="06922485" w14:textId="2BBBF4C6" w:rsidR="00FA6D1D" w:rsidRPr="00ED0923" w:rsidRDefault="004D4DA5" w:rsidP="007806F0">
            <w:pPr>
              <w:jc w:val="both"/>
              <w:rPr>
                <w:sz w:val="22"/>
                <w:szCs w:val="22"/>
              </w:rPr>
            </w:pPr>
            <w:r w:rsidRPr="00ED0923">
              <w:rPr>
                <w:sz w:val="22"/>
                <w:szCs w:val="22"/>
              </w:rPr>
              <w:t xml:space="preserve">0.95 (0.70,1.27) </w:t>
            </w:r>
          </w:p>
        </w:tc>
        <w:tc>
          <w:tcPr>
            <w:tcW w:w="1823" w:type="dxa"/>
            <w:tcBorders>
              <w:left w:val="nil"/>
              <w:bottom w:val="nil"/>
              <w:right w:val="nil"/>
            </w:tcBorders>
          </w:tcPr>
          <w:p w14:paraId="2F8FBA70" w14:textId="48484417" w:rsidR="00FA6D1D" w:rsidRPr="00ED0923" w:rsidRDefault="004D4DA5" w:rsidP="007806F0">
            <w:pPr>
              <w:jc w:val="both"/>
              <w:rPr>
                <w:sz w:val="22"/>
                <w:szCs w:val="22"/>
              </w:rPr>
            </w:pPr>
            <w:r w:rsidRPr="00ED0923">
              <w:rPr>
                <w:sz w:val="22"/>
                <w:szCs w:val="22"/>
              </w:rPr>
              <w:t>0.84 (0.66, 1.07)</w:t>
            </w:r>
          </w:p>
        </w:tc>
        <w:tc>
          <w:tcPr>
            <w:tcW w:w="1822" w:type="dxa"/>
            <w:tcBorders>
              <w:left w:val="nil"/>
              <w:bottom w:val="nil"/>
              <w:right w:val="nil"/>
            </w:tcBorders>
          </w:tcPr>
          <w:p w14:paraId="37F03667" w14:textId="71A9DC8A" w:rsidR="00FA6D1D" w:rsidRPr="00ED0923" w:rsidRDefault="004D4DA5" w:rsidP="007806F0">
            <w:pPr>
              <w:jc w:val="both"/>
              <w:rPr>
                <w:sz w:val="22"/>
                <w:szCs w:val="22"/>
              </w:rPr>
            </w:pPr>
            <w:r w:rsidRPr="00ED0923">
              <w:rPr>
                <w:sz w:val="22"/>
                <w:szCs w:val="22"/>
              </w:rPr>
              <w:t>1.16 (0.95, 1.41)</w:t>
            </w:r>
          </w:p>
        </w:tc>
        <w:tc>
          <w:tcPr>
            <w:tcW w:w="1823" w:type="dxa"/>
            <w:tcBorders>
              <w:left w:val="nil"/>
              <w:bottom w:val="nil"/>
              <w:right w:val="nil"/>
            </w:tcBorders>
          </w:tcPr>
          <w:p w14:paraId="1563CD7C" w14:textId="176EF25F" w:rsidR="00FA6D1D" w:rsidRPr="00ED0923" w:rsidRDefault="008A214A" w:rsidP="007806F0">
            <w:pPr>
              <w:jc w:val="both"/>
              <w:rPr>
                <w:sz w:val="22"/>
                <w:szCs w:val="22"/>
              </w:rPr>
            </w:pPr>
            <w:r w:rsidRPr="00ED0923">
              <w:rPr>
                <w:sz w:val="22"/>
                <w:szCs w:val="22"/>
              </w:rPr>
              <w:t>1.03 (1.02, 1.04)</w:t>
            </w:r>
          </w:p>
        </w:tc>
        <w:tc>
          <w:tcPr>
            <w:tcW w:w="900" w:type="dxa"/>
            <w:tcBorders>
              <w:left w:val="nil"/>
              <w:bottom w:val="nil"/>
            </w:tcBorders>
          </w:tcPr>
          <w:p w14:paraId="30CECD23" w14:textId="1A4282AC" w:rsidR="00FA6D1D" w:rsidRPr="00ED0923" w:rsidRDefault="008A214A" w:rsidP="007806F0">
            <w:pPr>
              <w:jc w:val="both"/>
              <w:rPr>
                <w:sz w:val="22"/>
                <w:szCs w:val="22"/>
              </w:rPr>
            </w:pPr>
            <w:r w:rsidRPr="00ED0923">
              <w:rPr>
                <w:sz w:val="22"/>
                <w:szCs w:val="22"/>
              </w:rPr>
              <w:t>0.309</w:t>
            </w:r>
          </w:p>
        </w:tc>
      </w:tr>
      <w:tr w:rsidR="00FA6D1D" w:rsidRPr="00ED0923" w14:paraId="475130CB" w14:textId="77777777" w:rsidTr="008179FF">
        <w:tc>
          <w:tcPr>
            <w:tcW w:w="1306" w:type="dxa"/>
            <w:tcBorders>
              <w:top w:val="nil"/>
              <w:bottom w:val="nil"/>
              <w:right w:val="nil"/>
            </w:tcBorders>
          </w:tcPr>
          <w:p w14:paraId="12A68A24" w14:textId="77777777" w:rsidR="00FA6D1D" w:rsidRPr="00ED0923" w:rsidRDefault="00FA6D1D" w:rsidP="007806F0">
            <w:pPr>
              <w:jc w:val="both"/>
              <w:rPr>
                <w:sz w:val="22"/>
                <w:szCs w:val="22"/>
              </w:rPr>
            </w:pPr>
            <w:r w:rsidRPr="00ED0923">
              <w:rPr>
                <w:sz w:val="22"/>
                <w:szCs w:val="22"/>
              </w:rPr>
              <w:t>Age-adjusted</w:t>
            </w:r>
          </w:p>
        </w:tc>
        <w:tc>
          <w:tcPr>
            <w:tcW w:w="1209" w:type="dxa"/>
            <w:tcBorders>
              <w:top w:val="nil"/>
              <w:left w:val="nil"/>
              <w:bottom w:val="nil"/>
              <w:right w:val="nil"/>
            </w:tcBorders>
          </w:tcPr>
          <w:p w14:paraId="1A0E42A6" w14:textId="77777777" w:rsidR="00FA6D1D" w:rsidRPr="00ED0923" w:rsidRDefault="00FA6D1D" w:rsidP="007806F0">
            <w:pPr>
              <w:jc w:val="both"/>
              <w:rPr>
                <w:sz w:val="22"/>
                <w:szCs w:val="22"/>
              </w:rPr>
            </w:pPr>
            <w:r w:rsidRPr="00ED0923">
              <w:rPr>
                <w:sz w:val="22"/>
                <w:szCs w:val="22"/>
              </w:rPr>
              <w:t>Ref</w:t>
            </w:r>
          </w:p>
        </w:tc>
        <w:tc>
          <w:tcPr>
            <w:tcW w:w="1822" w:type="dxa"/>
            <w:tcBorders>
              <w:top w:val="nil"/>
              <w:left w:val="nil"/>
              <w:bottom w:val="nil"/>
              <w:right w:val="nil"/>
            </w:tcBorders>
          </w:tcPr>
          <w:p w14:paraId="301F9D4B" w14:textId="36379447" w:rsidR="00FA6D1D" w:rsidRPr="00ED0923" w:rsidRDefault="008A214A" w:rsidP="007806F0">
            <w:pPr>
              <w:jc w:val="both"/>
              <w:rPr>
                <w:sz w:val="22"/>
                <w:szCs w:val="22"/>
              </w:rPr>
            </w:pPr>
            <w:r w:rsidRPr="00ED0923">
              <w:rPr>
                <w:sz w:val="22"/>
                <w:szCs w:val="22"/>
              </w:rPr>
              <w:t>1.11 (0.83, 1.50)</w:t>
            </w:r>
          </w:p>
        </w:tc>
        <w:tc>
          <w:tcPr>
            <w:tcW w:w="1823" w:type="dxa"/>
            <w:tcBorders>
              <w:top w:val="nil"/>
              <w:left w:val="nil"/>
              <w:bottom w:val="nil"/>
              <w:right w:val="nil"/>
            </w:tcBorders>
          </w:tcPr>
          <w:p w14:paraId="47E2088F" w14:textId="1D85318A" w:rsidR="00FA6D1D" w:rsidRPr="00ED0923" w:rsidRDefault="008A214A" w:rsidP="007806F0">
            <w:pPr>
              <w:jc w:val="both"/>
              <w:rPr>
                <w:sz w:val="22"/>
                <w:szCs w:val="22"/>
              </w:rPr>
            </w:pPr>
            <w:r w:rsidRPr="00ED0923">
              <w:rPr>
                <w:sz w:val="22"/>
                <w:szCs w:val="22"/>
              </w:rPr>
              <w:t>1.14 (0.89, 1.45)</w:t>
            </w:r>
          </w:p>
        </w:tc>
        <w:tc>
          <w:tcPr>
            <w:tcW w:w="1822" w:type="dxa"/>
            <w:tcBorders>
              <w:top w:val="nil"/>
              <w:left w:val="nil"/>
              <w:bottom w:val="nil"/>
              <w:right w:val="nil"/>
            </w:tcBorders>
          </w:tcPr>
          <w:p w14:paraId="456F2646" w14:textId="111EF30E" w:rsidR="00FA6D1D" w:rsidRPr="00ED0923" w:rsidRDefault="008A214A" w:rsidP="007806F0">
            <w:pPr>
              <w:jc w:val="both"/>
              <w:rPr>
                <w:sz w:val="22"/>
                <w:szCs w:val="22"/>
              </w:rPr>
            </w:pPr>
            <w:r w:rsidRPr="00ED0923">
              <w:rPr>
                <w:sz w:val="22"/>
                <w:szCs w:val="22"/>
              </w:rPr>
              <w:t>1.60 (1.31, 1.95)</w:t>
            </w:r>
          </w:p>
        </w:tc>
        <w:tc>
          <w:tcPr>
            <w:tcW w:w="1823" w:type="dxa"/>
            <w:tcBorders>
              <w:top w:val="nil"/>
              <w:left w:val="nil"/>
              <w:bottom w:val="nil"/>
              <w:right w:val="nil"/>
            </w:tcBorders>
          </w:tcPr>
          <w:p w14:paraId="541C1A7A" w14:textId="6F79601D" w:rsidR="00FA6D1D" w:rsidRPr="00ED0923" w:rsidRDefault="008A214A" w:rsidP="007806F0">
            <w:pPr>
              <w:jc w:val="both"/>
              <w:rPr>
                <w:sz w:val="22"/>
                <w:szCs w:val="22"/>
              </w:rPr>
            </w:pPr>
            <w:r w:rsidRPr="00ED0923">
              <w:rPr>
                <w:sz w:val="22"/>
                <w:szCs w:val="22"/>
              </w:rPr>
              <w:t>1.04 (1.03, 1.05)</w:t>
            </w:r>
          </w:p>
        </w:tc>
        <w:tc>
          <w:tcPr>
            <w:tcW w:w="900" w:type="dxa"/>
            <w:tcBorders>
              <w:top w:val="nil"/>
              <w:left w:val="nil"/>
              <w:bottom w:val="nil"/>
            </w:tcBorders>
          </w:tcPr>
          <w:p w14:paraId="5530AC5C" w14:textId="7AC536AA" w:rsidR="00FA6D1D" w:rsidRPr="00ED0923" w:rsidRDefault="008A214A" w:rsidP="007806F0">
            <w:pPr>
              <w:jc w:val="both"/>
              <w:rPr>
                <w:sz w:val="22"/>
                <w:szCs w:val="22"/>
              </w:rPr>
            </w:pPr>
            <w:r w:rsidRPr="00ED0923">
              <w:rPr>
                <w:sz w:val="22"/>
                <w:szCs w:val="22"/>
              </w:rPr>
              <w:t>&lt;0.001</w:t>
            </w:r>
          </w:p>
        </w:tc>
      </w:tr>
      <w:tr w:rsidR="00FA6D1D" w:rsidRPr="00ED0923" w14:paraId="7AA50240" w14:textId="77777777" w:rsidTr="008179FF">
        <w:tc>
          <w:tcPr>
            <w:tcW w:w="1306" w:type="dxa"/>
            <w:tcBorders>
              <w:top w:val="nil"/>
              <w:right w:val="nil"/>
            </w:tcBorders>
          </w:tcPr>
          <w:p w14:paraId="10C9C0C1" w14:textId="77777777" w:rsidR="00FA6D1D" w:rsidRPr="00ED0923" w:rsidRDefault="00FA6D1D" w:rsidP="007806F0">
            <w:pPr>
              <w:jc w:val="both"/>
              <w:rPr>
                <w:sz w:val="22"/>
                <w:szCs w:val="22"/>
              </w:rPr>
            </w:pPr>
            <w:r w:rsidRPr="00ED0923">
              <w:rPr>
                <w:sz w:val="22"/>
                <w:szCs w:val="22"/>
              </w:rPr>
              <w:t>MV-adjusted</w:t>
            </w:r>
          </w:p>
        </w:tc>
        <w:tc>
          <w:tcPr>
            <w:tcW w:w="1209" w:type="dxa"/>
            <w:tcBorders>
              <w:top w:val="nil"/>
              <w:left w:val="nil"/>
              <w:right w:val="nil"/>
            </w:tcBorders>
          </w:tcPr>
          <w:p w14:paraId="26F459E5" w14:textId="77777777" w:rsidR="00FA6D1D" w:rsidRPr="00ED0923" w:rsidRDefault="00FA6D1D" w:rsidP="007806F0">
            <w:pPr>
              <w:jc w:val="both"/>
              <w:rPr>
                <w:sz w:val="22"/>
                <w:szCs w:val="22"/>
              </w:rPr>
            </w:pPr>
            <w:r w:rsidRPr="00ED0923">
              <w:rPr>
                <w:sz w:val="22"/>
                <w:szCs w:val="22"/>
              </w:rPr>
              <w:t>Ref</w:t>
            </w:r>
          </w:p>
        </w:tc>
        <w:tc>
          <w:tcPr>
            <w:tcW w:w="1822" w:type="dxa"/>
            <w:tcBorders>
              <w:top w:val="nil"/>
              <w:left w:val="nil"/>
              <w:right w:val="nil"/>
            </w:tcBorders>
          </w:tcPr>
          <w:p w14:paraId="07297F5C" w14:textId="312174A7" w:rsidR="00FA6D1D" w:rsidRPr="00ED0923" w:rsidRDefault="008A214A" w:rsidP="007806F0">
            <w:pPr>
              <w:jc w:val="both"/>
              <w:rPr>
                <w:sz w:val="22"/>
                <w:szCs w:val="22"/>
              </w:rPr>
            </w:pPr>
            <w:r w:rsidRPr="00ED0923">
              <w:rPr>
                <w:sz w:val="22"/>
                <w:szCs w:val="22"/>
              </w:rPr>
              <w:t>1.06 (0.79, 1.44)</w:t>
            </w:r>
          </w:p>
        </w:tc>
        <w:tc>
          <w:tcPr>
            <w:tcW w:w="1823" w:type="dxa"/>
            <w:tcBorders>
              <w:top w:val="nil"/>
              <w:left w:val="nil"/>
              <w:right w:val="nil"/>
            </w:tcBorders>
          </w:tcPr>
          <w:p w14:paraId="5E07A5BE" w14:textId="6751A1E8" w:rsidR="00FA6D1D" w:rsidRPr="00ED0923" w:rsidRDefault="008A214A" w:rsidP="007806F0">
            <w:pPr>
              <w:jc w:val="both"/>
              <w:rPr>
                <w:sz w:val="22"/>
                <w:szCs w:val="22"/>
              </w:rPr>
            </w:pPr>
            <w:r w:rsidRPr="00ED0923">
              <w:rPr>
                <w:sz w:val="22"/>
                <w:szCs w:val="22"/>
              </w:rPr>
              <w:t>0.98 (0.76, 1.27)</w:t>
            </w:r>
          </w:p>
        </w:tc>
        <w:tc>
          <w:tcPr>
            <w:tcW w:w="1822" w:type="dxa"/>
            <w:tcBorders>
              <w:top w:val="nil"/>
              <w:left w:val="nil"/>
              <w:right w:val="nil"/>
            </w:tcBorders>
          </w:tcPr>
          <w:p w14:paraId="666E4223" w14:textId="435CF769" w:rsidR="00FA6D1D" w:rsidRPr="00ED0923" w:rsidRDefault="008A214A" w:rsidP="007806F0">
            <w:pPr>
              <w:jc w:val="both"/>
              <w:rPr>
                <w:sz w:val="22"/>
                <w:szCs w:val="22"/>
              </w:rPr>
            </w:pPr>
            <w:r w:rsidRPr="00ED0923">
              <w:rPr>
                <w:sz w:val="22"/>
                <w:szCs w:val="22"/>
              </w:rPr>
              <w:t>1.24 (1.00, 1.55)</w:t>
            </w:r>
          </w:p>
        </w:tc>
        <w:tc>
          <w:tcPr>
            <w:tcW w:w="1823" w:type="dxa"/>
            <w:tcBorders>
              <w:top w:val="nil"/>
              <w:left w:val="nil"/>
              <w:right w:val="nil"/>
            </w:tcBorders>
          </w:tcPr>
          <w:p w14:paraId="2EEC29EF" w14:textId="2BE8BBC7" w:rsidR="00FA6D1D" w:rsidRPr="00ED0923" w:rsidRDefault="008A214A" w:rsidP="007806F0">
            <w:pPr>
              <w:jc w:val="both"/>
              <w:rPr>
                <w:sz w:val="22"/>
                <w:szCs w:val="22"/>
              </w:rPr>
            </w:pPr>
            <w:r w:rsidRPr="00ED0923">
              <w:rPr>
                <w:sz w:val="22"/>
                <w:szCs w:val="22"/>
              </w:rPr>
              <w:t>1.02 (1.01, 1.09)</w:t>
            </w:r>
          </w:p>
        </w:tc>
        <w:tc>
          <w:tcPr>
            <w:tcW w:w="900" w:type="dxa"/>
            <w:tcBorders>
              <w:top w:val="nil"/>
              <w:left w:val="nil"/>
            </w:tcBorders>
          </w:tcPr>
          <w:p w14:paraId="35117AE9" w14:textId="2178715E" w:rsidR="00FA6D1D" w:rsidRPr="00ED0923" w:rsidRDefault="008A214A" w:rsidP="007806F0">
            <w:pPr>
              <w:jc w:val="both"/>
              <w:rPr>
                <w:sz w:val="22"/>
                <w:szCs w:val="22"/>
              </w:rPr>
            </w:pPr>
            <w:r w:rsidRPr="00ED0923">
              <w:rPr>
                <w:sz w:val="22"/>
                <w:szCs w:val="22"/>
              </w:rPr>
              <w:t>0.088</w:t>
            </w:r>
          </w:p>
        </w:tc>
      </w:tr>
    </w:tbl>
    <w:p w14:paraId="385E5A14" w14:textId="0D3B105E" w:rsidR="00FA6D1D" w:rsidRPr="00ED0923" w:rsidRDefault="00E5106F" w:rsidP="00941AC8">
      <w:pPr>
        <w:pStyle w:val="ListParagraph"/>
        <w:numPr>
          <w:ilvl w:val="0"/>
          <w:numId w:val="3"/>
        </w:numPr>
        <w:jc w:val="both"/>
      </w:pPr>
      <w:r w:rsidRPr="00ED0923">
        <w:t>Odds ratios are reported for logistic regressions and incidence rate ratios are reported for Poisson regressions</w:t>
      </w:r>
      <w:r w:rsidRPr="00ED0923">
        <w:rPr>
          <w:rFonts w:hint="eastAsia"/>
        </w:rPr>
        <w:t>.</w:t>
      </w:r>
      <w:r w:rsidRPr="00ED0923">
        <w:t xml:space="preserve"> Log </w:t>
      </w:r>
      <w:r w:rsidR="00993CFF" w:rsidRPr="00ED0923">
        <w:t>of follow-up years are set as the offset in Poisson regressions.</w:t>
      </w:r>
    </w:p>
    <w:p w14:paraId="6B3C8EB1" w14:textId="7A6C327C" w:rsidR="00941AC8" w:rsidRPr="00ED0923" w:rsidRDefault="00941AC8" w:rsidP="00941AC8">
      <w:pPr>
        <w:jc w:val="both"/>
        <w:rPr>
          <w:sz w:val="22"/>
          <w:szCs w:val="22"/>
        </w:rPr>
      </w:pPr>
    </w:p>
    <w:p w14:paraId="23D9C7A5" w14:textId="74CCBD82" w:rsidR="00CC7D47" w:rsidRPr="00ED0923" w:rsidRDefault="00CC7D47" w:rsidP="00941AC8">
      <w:pPr>
        <w:jc w:val="both"/>
        <w:rPr>
          <w:sz w:val="22"/>
          <w:szCs w:val="22"/>
        </w:rPr>
      </w:pPr>
    </w:p>
    <w:p w14:paraId="6D8F29BF" w14:textId="04399AC4" w:rsidR="00CC7D47" w:rsidRDefault="00CC7D47" w:rsidP="00941AC8">
      <w:pPr>
        <w:jc w:val="both"/>
        <w:rPr>
          <w:sz w:val="22"/>
          <w:szCs w:val="22"/>
        </w:rPr>
      </w:pPr>
    </w:p>
    <w:p w14:paraId="0A141427" w14:textId="3F55C3E1" w:rsidR="00CC7D47" w:rsidRPr="00ED0923" w:rsidRDefault="00CC7D47" w:rsidP="00941AC8">
      <w:pPr>
        <w:jc w:val="both"/>
        <w:rPr>
          <w:sz w:val="22"/>
          <w:szCs w:val="22"/>
        </w:rPr>
      </w:pPr>
    </w:p>
    <w:p w14:paraId="584872EB" w14:textId="6E6D7597" w:rsidR="00CC7D47" w:rsidRPr="00ED0923" w:rsidRDefault="00CC7D47" w:rsidP="00941AC8">
      <w:pPr>
        <w:jc w:val="both"/>
        <w:rPr>
          <w:sz w:val="22"/>
          <w:szCs w:val="22"/>
        </w:rPr>
      </w:pPr>
    </w:p>
    <w:p w14:paraId="0A6A228D" w14:textId="5E4B0621" w:rsidR="00CC7D47" w:rsidRPr="00ED0923" w:rsidRDefault="00CC7D47" w:rsidP="00CC7D47">
      <w:pPr>
        <w:jc w:val="both"/>
        <w:rPr>
          <w:sz w:val="22"/>
          <w:szCs w:val="22"/>
        </w:rPr>
      </w:pPr>
      <w:r w:rsidRPr="00ED0923">
        <w:rPr>
          <w:sz w:val="22"/>
          <w:szCs w:val="22"/>
        </w:rPr>
        <w:t>A</w:t>
      </w:r>
      <w:r w:rsidRPr="00ED0923">
        <w:rPr>
          <w:rFonts w:hint="eastAsia"/>
          <w:sz w:val="22"/>
          <w:szCs w:val="22"/>
        </w:rPr>
        <w:t>ppen</w:t>
      </w:r>
      <w:r w:rsidRPr="00ED0923">
        <w:rPr>
          <w:sz w:val="22"/>
          <w:szCs w:val="22"/>
        </w:rPr>
        <w:t xml:space="preserve">dix </w:t>
      </w:r>
      <w:r w:rsidRPr="00ED0923">
        <w:rPr>
          <w:sz w:val="22"/>
          <w:szCs w:val="22"/>
        </w:rPr>
        <w:t>3</w:t>
      </w:r>
      <w:r w:rsidRPr="00ED0923">
        <w:rPr>
          <w:sz w:val="22"/>
          <w:szCs w:val="22"/>
        </w:rPr>
        <w:t>. Tests for the proportional hazard assumption throughout the</w:t>
      </w:r>
      <w:r w:rsidR="00377EF9">
        <w:rPr>
          <w:sz w:val="22"/>
          <w:szCs w:val="22"/>
        </w:rPr>
        <w:t xml:space="preserve"> Cox</w:t>
      </w:r>
      <w:r w:rsidRPr="00ED0923">
        <w:rPr>
          <w:sz w:val="22"/>
          <w:szCs w:val="22"/>
        </w:rPr>
        <w:t xml:space="preserve"> models</w:t>
      </w:r>
      <w:r w:rsidR="008A4C4D">
        <w:rPr>
          <w:sz w:val="22"/>
          <w:szCs w:val="22"/>
        </w:rPr>
        <w:t xml:space="preserve"> in the primary analysis</w:t>
      </w:r>
      <w:r w:rsidRPr="00ED0923">
        <w:rPr>
          <w:sz w:val="22"/>
          <w:szCs w:val="22"/>
        </w:rPr>
        <w:t xml:space="preserve"> </w:t>
      </w:r>
      <w:r w:rsidRPr="00ED0923">
        <w:rPr>
          <w:rFonts w:eastAsia="SimSun"/>
          <w:color w:val="000000"/>
          <w:sz w:val="22"/>
          <w:szCs w:val="22"/>
          <w:highlight w:val="yellow"/>
          <w:lang w:bidi="ar"/>
        </w:rPr>
        <w:t>(N=9190</w:t>
      </w:r>
      <w:r w:rsidRPr="00ED0923">
        <w:rPr>
          <w:rFonts w:eastAsia="SimSun" w:hint="eastAsia"/>
          <w:color w:val="000000"/>
          <w:sz w:val="22"/>
          <w:szCs w:val="22"/>
          <w:highlight w:val="yellow"/>
          <w:lang w:bidi="ar"/>
        </w:rPr>
        <w:t>)</w:t>
      </w:r>
      <w:r w:rsidRPr="00ED0923">
        <w:rPr>
          <w:sz w:val="22"/>
          <w:szCs w:val="22"/>
        </w:rPr>
        <w:t xml:space="preserve">. </w:t>
      </w:r>
    </w:p>
    <w:tbl>
      <w:tblPr>
        <w:tblStyle w:val="TableGrid"/>
        <w:tblW w:w="0" w:type="auto"/>
        <w:tblLook w:val="04A0" w:firstRow="1" w:lastRow="0" w:firstColumn="1" w:lastColumn="0" w:noHBand="0" w:noVBand="1"/>
      </w:tblPr>
      <w:tblGrid>
        <w:gridCol w:w="3325"/>
        <w:gridCol w:w="2250"/>
        <w:gridCol w:w="3420"/>
        <w:gridCol w:w="1795"/>
      </w:tblGrid>
      <w:tr w:rsidR="00CC7D47" w:rsidRPr="00ED0923" w14:paraId="446063E1" w14:textId="77777777" w:rsidTr="008179FF">
        <w:tc>
          <w:tcPr>
            <w:tcW w:w="3325" w:type="dxa"/>
            <w:tcBorders>
              <w:right w:val="nil"/>
            </w:tcBorders>
          </w:tcPr>
          <w:p w14:paraId="24BC3465" w14:textId="77777777" w:rsidR="00CC7D47" w:rsidRPr="00ED0923" w:rsidRDefault="00CC7D47" w:rsidP="00517D14">
            <w:pPr>
              <w:jc w:val="both"/>
              <w:rPr>
                <w:sz w:val="22"/>
                <w:szCs w:val="22"/>
              </w:rPr>
            </w:pPr>
          </w:p>
        </w:tc>
        <w:tc>
          <w:tcPr>
            <w:tcW w:w="2250" w:type="dxa"/>
            <w:tcBorders>
              <w:left w:val="nil"/>
              <w:right w:val="nil"/>
            </w:tcBorders>
          </w:tcPr>
          <w:p w14:paraId="6332D0DE" w14:textId="77777777" w:rsidR="00CC7D47" w:rsidRPr="00ED0923" w:rsidRDefault="00CC7D47" w:rsidP="00517D14">
            <w:pPr>
              <w:jc w:val="both"/>
              <w:rPr>
                <w:sz w:val="22"/>
                <w:szCs w:val="22"/>
              </w:rPr>
            </w:pPr>
            <w:r w:rsidRPr="00ED0923">
              <w:rPr>
                <w:sz w:val="22"/>
                <w:szCs w:val="22"/>
              </w:rPr>
              <w:t>Chi-squared statistic</w:t>
            </w:r>
          </w:p>
        </w:tc>
        <w:tc>
          <w:tcPr>
            <w:tcW w:w="3420" w:type="dxa"/>
            <w:tcBorders>
              <w:left w:val="nil"/>
              <w:right w:val="nil"/>
            </w:tcBorders>
          </w:tcPr>
          <w:p w14:paraId="2F83CE1C" w14:textId="77777777" w:rsidR="00CC7D47" w:rsidRPr="00ED0923" w:rsidRDefault="00CC7D47" w:rsidP="00517D14">
            <w:pPr>
              <w:jc w:val="both"/>
              <w:rPr>
                <w:sz w:val="22"/>
                <w:szCs w:val="22"/>
              </w:rPr>
            </w:pPr>
            <w:r w:rsidRPr="00ED0923">
              <w:rPr>
                <w:sz w:val="22"/>
                <w:szCs w:val="22"/>
              </w:rPr>
              <w:t>p-value for alcohol consumption</w:t>
            </w:r>
          </w:p>
        </w:tc>
        <w:tc>
          <w:tcPr>
            <w:tcW w:w="1795" w:type="dxa"/>
            <w:tcBorders>
              <w:left w:val="nil"/>
            </w:tcBorders>
          </w:tcPr>
          <w:p w14:paraId="6E86CC81" w14:textId="77777777" w:rsidR="00CC7D47" w:rsidRPr="00ED0923" w:rsidRDefault="00CC7D47" w:rsidP="00517D14">
            <w:pPr>
              <w:jc w:val="both"/>
              <w:rPr>
                <w:sz w:val="22"/>
                <w:szCs w:val="22"/>
              </w:rPr>
            </w:pPr>
            <w:r w:rsidRPr="00ED0923">
              <w:rPr>
                <w:sz w:val="22"/>
                <w:szCs w:val="22"/>
              </w:rPr>
              <w:t>Global p-value</w:t>
            </w:r>
          </w:p>
        </w:tc>
      </w:tr>
      <w:tr w:rsidR="00CC7D47" w:rsidRPr="00ED0923" w14:paraId="194FF357" w14:textId="77777777" w:rsidTr="008179FF">
        <w:tc>
          <w:tcPr>
            <w:tcW w:w="10790" w:type="dxa"/>
            <w:gridSpan w:val="4"/>
            <w:tcBorders>
              <w:bottom w:val="single" w:sz="4" w:space="0" w:color="auto"/>
            </w:tcBorders>
          </w:tcPr>
          <w:p w14:paraId="40E481AF" w14:textId="77777777" w:rsidR="00CC7D47" w:rsidRPr="00ED0923" w:rsidRDefault="00CC7D47" w:rsidP="00517D14">
            <w:pPr>
              <w:jc w:val="both"/>
              <w:rPr>
                <w:sz w:val="22"/>
                <w:szCs w:val="22"/>
              </w:rPr>
            </w:pPr>
            <w:r w:rsidRPr="00ED0923">
              <w:rPr>
                <w:sz w:val="22"/>
                <w:szCs w:val="22"/>
              </w:rPr>
              <w:t>First approach, defining the exposure as alcohol intake age 21-entry, time scale as age</w:t>
            </w:r>
          </w:p>
        </w:tc>
      </w:tr>
      <w:tr w:rsidR="00CC7D47" w:rsidRPr="00ED0923" w14:paraId="5A8E705C" w14:textId="77777777" w:rsidTr="008179FF">
        <w:tc>
          <w:tcPr>
            <w:tcW w:w="3325" w:type="dxa"/>
            <w:tcBorders>
              <w:bottom w:val="nil"/>
              <w:right w:val="nil"/>
            </w:tcBorders>
          </w:tcPr>
          <w:p w14:paraId="2B36FF23" w14:textId="77777777" w:rsidR="00CC7D47" w:rsidRPr="00ED0923" w:rsidRDefault="00CC7D47" w:rsidP="00517D14">
            <w:pPr>
              <w:rPr>
                <w:sz w:val="22"/>
                <w:szCs w:val="22"/>
              </w:rPr>
            </w:pPr>
            <w:r w:rsidRPr="00ED0923">
              <w:rPr>
                <w:sz w:val="22"/>
                <w:szCs w:val="22"/>
              </w:rPr>
              <w:t>MV-adjusted categorical model</w:t>
            </w:r>
          </w:p>
        </w:tc>
        <w:tc>
          <w:tcPr>
            <w:tcW w:w="2250" w:type="dxa"/>
            <w:tcBorders>
              <w:left w:val="nil"/>
              <w:bottom w:val="nil"/>
              <w:right w:val="nil"/>
            </w:tcBorders>
          </w:tcPr>
          <w:p w14:paraId="77E6B3D5" w14:textId="77777777" w:rsidR="00CC7D47" w:rsidRPr="00ED0923" w:rsidRDefault="00CC7D47" w:rsidP="00517D14">
            <w:pPr>
              <w:jc w:val="both"/>
              <w:rPr>
                <w:sz w:val="22"/>
                <w:szCs w:val="22"/>
              </w:rPr>
            </w:pPr>
            <w:r w:rsidRPr="00ED0923">
              <w:rPr>
                <w:sz w:val="22"/>
                <w:szCs w:val="22"/>
              </w:rPr>
              <w:t>6.93</w:t>
            </w:r>
          </w:p>
        </w:tc>
        <w:tc>
          <w:tcPr>
            <w:tcW w:w="3420" w:type="dxa"/>
            <w:tcBorders>
              <w:left w:val="nil"/>
              <w:bottom w:val="nil"/>
              <w:right w:val="nil"/>
            </w:tcBorders>
          </w:tcPr>
          <w:p w14:paraId="688DF594" w14:textId="77777777" w:rsidR="00CC7D47" w:rsidRPr="00ED0923" w:rsidRDefault="00CC7D47" w:rsidP="00517D14">
            <w:pPr>
              <w:jc w:val="both"/>
              <w:rPr>
                <w:sz w:val="22"/>
                <w:szCs w:val="22"/>
              </w:rPr>
            </w:pPr>
            <w:r w:rsidRPr="00ED0923">
              <w:rPr>
                <w:sz w:val="22"/>
                <w:szCs w:val="22"/>
              </w:rPr>
              <w:t>0.074</w:t>
            </w:r>
          </w:p>
        </w:tc>
        <w:tc>
          <w:tcPr>
            <w:tcW w:w="1795" w:type="dxa"/>
            <w:tcBorders>
              <w:left w:val="nil"/>
              <w:bottom w:val="nil"/>
            </w:tcBorders>
          </w:tcPr>
          <w:p w14:paraId="29130AB4" w14:textId="77777777" w:rsidR="00CC7D47" w:rsidRPr="00ED0923" w:rsidRDefault="00CC7D47" w:rsidP="00517D14">
            <w:pPr>
              <w:jc w:val="both"/>
              <w:rPr>
                <w:sz w:val="22"/>
                <w:szCs w:val="22"/>
              </w:rPr>
            </w:pPr>
            <w:r w:rsidRPr="00ED0923">
              <w:rPr>
                <w:sz w:val="22"/>
                <w:szCs w:val="22"/>
              </w:rPr>
              <w:t>0.178</w:t>
            </w:r>
          </w:p>
        </w:tc>
      </w:tr>
      <w:tr w:rsidR="00CC7D47" w:rsidRPr="00ED0923" w14:paraId="1878D3DC" w14:textId="77777777" w:rsidTr="008179FF">
        <w:tc>
          <w:tcPr>
            <w:tcW w:w="3325" w:type="dxa"/>
            <w:tcBorders>
              <w:top w:val="nil"/>
              <w:right w:val="nil"/>
            </w:tcBorders>
          </w:tcPr>
          <w:p w14:paraId="25795283" w14:textId="77777777" w:rsidR="00CC7D47" w:rsidRPr="00ED0923" w:rsidRDefault="00CC7D47" w:rsidP="00517D14">
            <w:pPr>
              <w:rPr>
                <w:sz w:val="22"/>
                <w:szCs w:val="22"/>
              </w:rPr>
            </w:pPr>
            <w:r w:rsidRPr="00ED0923">
              <w:rPr>
                <w:sz w:val="22"/>
                <w:szCs w:val="22"/>
              </w:rPr>
              <w:t>MV-adjusted continuous model</w:t>
            </w:r>
          </w:p>
        </w:tc>
        <w:tc>
          <w:tcPr>
            <w:tcW w:w="2250" w:type="dxa"/>
            <w:tcBorders>
              <w:top w:val="nil"/>
              <w:left w:val="nil"/>
              <w:right w:val="nil"/>
            </w:tcBorders>
          </w:tcPr>
          <w:p w14:paraId="3A5F444E" w14:textId="77777777" w:rsidR="00CC7D47" w:rsidRPr="00ED0923" w:rsidRDefault="00CC7D47" w:rsidP="00517D14">
            <w:pPr>
              <w:jc w:val="both"/>
              <w:rPr>
                <w:sz w:val="22"/>
                <w:szCs w:val="22"/>
              </w:rPr>
            </w:pPr>
            <w:r w:rsidRPr="00ED0923">
              <w:rPr>
                <w:sz w:val="22"/>
                <w:szCs w:val="22"/>
              </w:rPr>
              <w:t>0.15</w:t>
            </w:r>
          </w:p>
        </w:tc>
        <w:tc>
          <w:tcPr>
            <w:tcW w:w="3420" w:type="dxa"/>
            <w:tcBorders>
              <w:top w:val="nil"/>
              <w:left w:val="nil"/>
              <w:right w:val="nil"/>
            </w:tcBorders>
          </w:tcPr>
          <w:p w14:paraId="73CC4092" w14:textId="77777777" w:rsidR="00CC7D47" w:rsidRPr="00ED0923" w:rsidRDefault="00CC7D47" w:rsidP="00517D14">
            <w:pPr>
              <w:jc w:val="both"/>
              <w:rPr>
                <w:sz w:val="22"/>
                <w:szCs w:val="22"/>
              </w:rPr>
            </w:pPr>
            <w:r w:rsidRPr="00ED0923">
              <w:rPr>
                <w:sz w:val="22"/>
                <w:szCs w:val="22"/>
              </w:rPr>
              <w:t>0.697</w:t>
            </w:r>
          </w:p>
        </w:tc>
        <w:tc>
          <w:tcPr>
            <w:tcW w:w="1795" w:type="dxa"/>
            <w:tcBorders>
              <w:top w:val="nil"/>
              <w:left w:val="nil"/>
            </w:tcBorders>
          </w:tcPr>
          <w:p w14:paraId="7DD611E1" w14:textId="77777777" w:rsidR="00CC7D47" w:rsidRPr="00ED0923" w:rsidRDefault="00CC7D47" w:rsidP="00517D14">
            <w:pPr>
              <w:jc w:val="both"/>
              <w:rPr>
                <w:sz w:val="22"/>
                <w:szCs w:val="22"/>
              </w:rPr>
            </w:pPr>
            <w:r w:rsidRPr="00ED0923">
              <w:rPr>
                <w:sz w:val="22"/>
                <w:szCs w:val="22"/>
              </w:rPr>
              <w:t>0.2326</w:t>
            </w:r>
          </w:p>
        </w:tc>
      </w:tr>
      <w:tr w:rsidR="00CC7D47" w:rsidRPr="00ED0923" w14:paraId="1BE1CBE6" w14:textId="77777777" w:rsidTr="008179FF">
        <w:tc>
          <w:tcPr>
            <w:tcW w:w="10790" w:type="dxa"/>
            <w:gridSpan w:val="4"/>
            <w:tcBorders>
              <w:bottom w:val="single" w:sz="4" w:space="0" w:color="auto"/>
            </w:tcBorders>
          </w:tcPr>
          <w:p w14:paraId="6E6460C8" w14:textId="77777777" w:rsidR="00CC7D47" w:rsidRPr="00ED0923" w:rsidRDefault="00CC7D47" w:rsidP="00517D14">
            <w:pPr>
              <w:jc w:val="both"/>
              <w:rPr>
                <w:sz w:val="22"/>
                <w:szCs w:val="22"/>
              </w:rPr>
            </w:pPr>
            <w:r w:rsidRPr="00ED0923">
              <w:rPr>
                <w:sz w:val="22"/>
                <w:szCs w:val="22"/>
              </w:rPr>
              <w:t>Second approach, defining the exposure as prevalent alcohol intake at baseline, time scale as years since entry</w:t>
            </w:r>
          </w:p>
        </w:tc>
      </w:tr>
      <w:tr w:rsidR="00CC7D47" w:rsidRPr="00ED0923" w14:paraId="6A61C09A" w14:textId="77777777" w:rsidTr="008179FF">
        <w:tc>
          <w:tcPr>
            <w:tcW w:w="3325" w:type="dxa"/>
            <w:tcBorders>
              <w:bottom w:val="nil"/>
              <w:right w:val="nil"/>
            </w:tcBorders>
          </w:tcPr>
          <w:p w14:paraId="4057F81E" w14:textId="77777777" w:rsidR="00CC7D47" w:rsidRPr="00ED0923" w:rsidRDefault="00CC7D47" w:rsidP="00517D14">
            <w:pPr>
              <w:rPr>
                <w:sz w:val="22"/>
                <w:szCs w:val="22"/>
              </w:rPr>
            </w:pPr>
            <w:r w:rsidRPr="00ED0923">
              <w:rPr>
                <w:sz w:val="22"/>
                <w:szCs w:val="22"/>
              </w:rPr>
              <w:t>MV-adjusted categorical model</w:t>
            </w:r>
          </w:p>
        </w:tc>
        <w:tc>
          <w:tcPr>
            <w:tcW w:w="2250" w:type="dxa"/>
            <w:tcBorders>
              <w:left w:val="nil"/>
              <w:bottom w:val="nil"/>
              <w:right w:val="nil"/>
            </w:tcBorders>
          </w:tcPr>
          <w:p w14:paraId="09D66E45" w14:textId="77777777" w:rsidR="00CC7D47" w:rsidRPr="00ED0923" w:rsidRDefault="00CC7D47" w:rsidP="00517D14">
            <w:pPr>
              <w:jc w:val="both"/>
              <w:rPr>
                <w:sz w:val="22"/>
                <w:szCs w:val="22"/>
              </w:rPr>
            </w:pPr>
            <w:r w:rsidRPr="00ED0923">
              <w:rPr>
                <w:sz w:val="22"/>
                <w:szCs w:val="22"/>
              </w:rPr>
              <w:t>2.92</w:t>
            </w:r>
          </w:p>
        </w:tc>
        <w:tc>
          <w:tcPr>
            <w:tcW w:w="3420" w:type="dxa"/>
            <w:tcBorders>
              <w:left w:val="nil"/>
              <w:bottom w:val="nil"/>
              <w:right w:val="nil"/>
            </w:tcBorders>
          </w:tcPr>
          <w:p w14:paraId="0250F89B" w14:textId="77777777" w:rsidR="00CC7D47" w:rsidRPr="00ED0923" w:rsidRDefault="00CC7D47" w:rsidP="00517D14">
            <w:pPr>
              <w:jc w:val="both"/>
              <w:rPr>
                <w:sz w:val="22"/>
                <w:szCs w:val="22"/>
              </w:rPr>
            </w:pPr>
            <w:r w:rsidRPr="00ED0923">
              <w:rPr>
                <w:sz w:val="22"/>
                <w:szCs w:val="22"/>
              </w:rPr>
              <w:t>0.404</w:t>
            </w:r>
          </w:p>
        </w:tc>
        <w:tc>
          <w:tcPr>
            <w:tcW w:w="1795" w:type="dxa"/>
            <w:tcBorders>
              <w:left w:val="nil"/>
              <w:bottom w:val="nil"/>
            </w:tcBorders>
          </w:tcPr>
          <w:p w14:paraId="775DF3E0" w14:textId="77777777" w:rsidR="00CC7D47" w:rsidRPr="00ED0923" w:rsidRDefault="00CC7D47" w:rsidP="00517D14">
            <w:pPr>
              <w:jc w:val="both"/>
              <w:rPr>
                <w:sz w:val="22"/>
                <w:szCs w:val="22"/>
              </w:rPr>
            </w:pPr>
            <w:r w:rsidRPr="00ED0923">
              <w:rPr>
                <w:sz w:val="22"/>
                <w:szCs w:val="22"/>
              </w:rPr>
              <w:t>0.653</w:t>
            </w:r>
          </w:p>
        </w:tc>
      </w:tr>
      <w:tr w:rsidR="00CC7D47" w:rsidRPr="00ED0923" w14:paraId="70A4CA63" w14:textId="77777777" w:rsidTr="008179FF">
        <w:tc>
          <w:tcPr>
            <w:tcW w:w="3325" w:type="dxa"/>
            <w:tcBorders>
              <w:top w:val="nil"/>
              <w:right w:val="nil"/>
            </w:tcBorders>
          </w:tcPr>
          <w:p w14:paraId="4326B7D3" w14:textId="77777777" w:rsidR="00CC7D47" w:rsidRPr="00ED0923" w:rsidRDefault="00CC7D47" w:rsidP="00517D14">
            <w:pPr>
              <w:rPr>
                <w:sz w:val="22"/>
                <w:szCs w:val="22"/>
              </w:rPr>
            </w:pPr>
            <w:r w:rsidRPr="00ED0923">
              <w:rPr>
                <w:sz w:val="22"/>
                <w:szCs w:val="22"/>
              </w:rPr>
              <w:t>MV-adjusted continuous model</w:t>
            </w:r>
          </w:p>
        </w:tc>
        <w:tc>
          <w:tcPr>
            <w:tcW w:w="2250" w:type="dxa"/>
            <w:tcBorders>
              <w:top w:val="nil"/>
              <w:left w:val="nil"/>
              <w:right w:val="nil"/>
            </w:tcBorders>
          </w:tcPr>
          <w:p w14:paraId="3F66F85D" w14:textId="77777777" w:rsidR="00CC7D47" w:rsidRPr="00ED0923" w:rsidRDefault="00CC7D47" w:rsidP="00517D14">
            <w:pPr>
              <w:jc w:val="both"/>
              <w:rPr>
                <w:sz w:val="22"/>
                <w:szCs w:val="22"/>
              </w:rPr>
            </w:pPr>
            <w:r w:rsidRPr="00ED0923">
              <w:rPr>
                <w:sz w:val="22"/>
                <w:szCs w:val="22"/>
              </w:rPr>
              <w:t>0.53</w:t>
            </w:r>
          </w:p>
        </w:tc>
        <w:tc>
          <w:tcPr>
            <w:tcW w:w="3420" w:type="dxa"/>
            <w:tcBorders>
              <w:top w:val="nil"/>
              <w:left w:val="nil"/>
              <w:right w:val="nil"/>
            </w:tcBorders>
          </w:tcPr>
          <w:p w14:paraId="6C52D209" w14:textId="77777777" w:rsidR="00CC7D47" w:rsidRPr="00ED0923" w:rsidRDefault="00CC7D47" w:rsidP="00517D14">
            <w:pPr>
              <w:jc w:val="both"/>
              <w:rPr>
                <w:sz w:val="22"/>
                <w:szCs w:val="22"/>
              </w:rPr>
            </w:pPr>
            <w:r w:rsidRPr="00ED0923">
              <w:rPr>
                <w:sz w:val="22"/>
                <w:szCs w:val="22"/>
              </w:rPr>
              <w:t>0.465</w:t>
            </w:r>
          </w:p>
        </w:tc>
        <w:tc>
          <w:tcPr>
            <w:tcW w:w="1795" w:type="dxa"/>
            <w:tcBorders>
              <w:top w:val="nil"/>
              <w:left w:val="nil"/>
            </w:tcBorders>
          </w:tcPr>
          <w:p w14:paraId="4050A3B2" w14:textId="77777777" w:rsidR="00CC7D47" w:rsidRPr="00ED0923" w:rsidRDefault="00CC7D47" w:rsidP="00517D14">
            <w:pPr>
              <w:jc w:val="both"/>
              <w:rPr>
                <w:sz w:val="22"/>
                <w:szCs w:val="22"/>
              </w:rPr>
            </w:pPr>
            <w:r w:rsidRPr="00ED0923">
              <w:rPr>
                <w:sz w:val="22"/>
                <w:szCs w:val="22"/>
              </w:rPr>
              <w:t>0.</w:t>
            </w:r>
            <w:commentRangeStart w:id="13"/>
            <w:r w:rsidRPr="00ED0923">
              <w:rPr>
                <w:sz w:val="22"/>
                <w:szCs w:val="22"/>
              </w:rPr>
              <w:t>672</w:t>
            </w:r>
            <w:commentRangeEnd w:id="13"/>
            <w:r w:rsidRPr="00ED0923">
              <w:rPr>
                <w:rStyle w:val="CommentReference"/>
                <w:sz w:val="22"/>
                <w:szCs w:val="22"/>
              </w:rPr>
              <w:commentReference w:id="13"/>
            </w:r>
          </w:p>
        </w:tc>
      </w:tr>
    </w:tbl>
    <w:p w14:paraId="7CF5394A" w14:textId="77777777" w:rsidR="00CC7D47" w:rsidRPr="00ED0923" w:rsidRDefault="00CC7D47" w:rsidP="00CC7D47">
      <w:pPr>
        <w:jc w:val="both"/>
        <w:rPr>
          <w:sz w:val="22"/>
          <w:szCs w:val="22"/>
        </w:rPr>
      </w:pPr>
    </w:p>
    <w:p w14:paraId="66A3B980" w14:textId="2E100EA1" w:rsidR="00CC7D47" w:rsidRDefault="00CC7D47" w:rsidP="00CC7D47">
      <w:pPr>
        <w:jc w:val="both"/>
        <w:rPr>
          <w:sz w:val="22"/>
          <w:szCs w:val="22"/>
        </w:rPr>
      </w:pPr>
    </w:p>
    <w:p w14:paraId="390DF1AF" w14:textId="66FD8D14" w:rsidR="00046E67" w:rsidRDefault="00046E67" w:rsidP="00CC7D47">
      <w:pPr>
        <w:jc w:val="both"/>
        <w:rPr>
          <w:sz w:val="22"/>
          <w:szCs w:val="22"/>
        </w:rPr>
      </w:pPr>
    </w:p>
    <w:p w14:paraId="281A358C" w14:textId="77777777" w:rsidR="00046E67" w:rsidRPr="00ED0923" w:rsidRDefault="00046E67" w:rsidP="00CC7D47">
      <w:pPr>
        <w:jc w:val="both"/>
        <w:rPr>
          <w:sz w:val="22"/>
          <w:szCs w:val="22"/>
        </w:rPr>
      </w:pPr>
    </w:p>
    <w:p w14:paraId="784501FC" w14:textId="77777777" w:rsidR="00CC7D47" w:rsidRPr="00ED0923" w:rsidRDefault="00CC7D47" w:rsidP="00941AC8">
      <w:pPr>
        <w:jc w:val="both"/>
        <w:rPr>
          <w:sz w:val="22"/>
          <w:szCs w:val="22"/>
        </w:rPr>
      </w:pPr>
    </w:p>
    <w:p w14:paraId="49B9DD88" w14:textId="77777777" w:rsidR="00941AC8" w:rsidRPr="00ED0923" w:rsidRDefault="00941AC8" w:rsidP="00570944">
      <w:pPr>
        <w:jc w:val="center"/>
        <w:rPr>
          <w:sz w:val="22"/>
          <w:szCs w:val="22"/>
        </w:rPr>
      </w:pPr>
      <w:r w:rsidRPr="00ED0923">
        <w:rPr>
          <w:noProof/>
          <w:sz w:val="22"/>
          <w:szCs w:val="22"/>
        </w:rPr>
        <w:drawing>
          <wp:inline distT="0" distB="0" distL="0" distR="0" wp14:anchorId="652FDD78" wp14:editId="78502420">
            <wp:extent cx="5253687" cy="3242275"/>
            <wp:effectExtent l="0" t="0" r="4445" b="0"/>
            <wp:docPr id="3" name="Picture 3"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13"/>
                    <a:stretch>
                      <a:fillRect/>
                    </a:stretch>
                  </pic:blipFill>
                  <pic:spPr>
                    <a:xfrm>
                      <a:off x="0" y="0"/>
                      <a:ext cx="5259619" cy="3245936"/>
                    </a:xfrm>
                    <a:prstGeom prst="rect">
                      <a:avLst/>
                    </a:prstGeom>
                  </pic:spPr>
                </pic:pic>
              </a:graphicData>
            </a:graphic>
          </wp:inline>
        </w:drawing>
      </w:r>
    </w:p>
    <w:p w14:paraId="7A7492C7" w14:textId="5A82868B" w:rsidR="00941AC8" w:rsidRPr="00ED0923" w:rsidRDefault="00941AC8" w:rsidP="00570944">
      <w:pPr>
        <w:jc w:val="center"/>
        <w:rPr>
          <w:sz w:val="22"/>
          <w:szCs w:val="22"/>
        </w:rPr>
      </w:pPr>
      <w:r w:rsidRPr="00ED0923">
        <w:rPr>
          <w:sz w:val="22"/>
          <w:szCs w:val="22"/>
        </w:rPr>
        <w:t>A</w:t>
      </w:r>
      <w:r w:rsidRPr="00ED0923">
        <w:rPr>
          <w:rFonts w:hint="eastAsia"/>
          <w:sz w:val="22"/>
          <w:szCs w:val="22"/>
        </w:rPr>
        <w:t>ppen</w:t>
      </w:r>
      <w:r w:rsidRPr="00ED0923">
        <w:rPr>
          <w:sz w:val="22"/>
          <w:szCs w:val="22"/>
        </w:rPr>
        <w:t xml:space="preserve">dix </w:t>
      </w:r>
      <w:r w:rsidR="00CC7D47" w:rsidRPr="00ED0923">
        <w:rPr>
          <w:sz w:val="22"/>
          <w:szCs w:val="22"/>
        </w:rPr>
        <w:t>4</w:t>
      </w:r>
      <w:r w:rsidRPr="00ED0923">
        <w:rPr>
          <w:sz w:val="22"/>
          <w:szCs w:val="22"/>
        </w:rPr>
        <w:t>.</w:t>
      </w:r>
      <w:r w:rsidRPr="00ED0923">
        <w:rPr>
          <w:sz w:val="22"/>
          <w:szCs w:val="22"/>
        </w:rPr>
        <w:t xml:space="preserve"> </w:t>
      </w:r>
      <w:r w:rsidRPr="00046E67">
        <w:rPr>
          <w:sz w:val="22"/>
          <w:szCs w:val="22"/>
          <w:highlight w:val="cyan"/>
        </w:rPr>
        <w:t xml:space="preserve">title? // not discussed in </w:t>
      </w:r>
      <w:proofErr w:type="gramStart"/>
      <w:r w:rsidRPr="00046E67">
        <w:rPr>
          <w:sz w:val="22"/>
          <w:szCs w:val="22"/>
          <w:highlight w:val="cyan"/>
        </w:rPr>
        <w:t>text?</w:t>
      </w:r>
      <w:proofErr w:type="gramEnd"/>
    </w:p>
    <w:p w14:paraId="47F9803F" w14:textId="77777777" w:rsidR="00941AC8" w:rsidRPr="00ED0923" w:rsidRDefault="00941AC8" w:rsidP="00941AC8">
      <w:pPr>
        <w:jc w:val="both"/>
        <w:rPr>
          <w:sz w:val="22"/>
          <w:szCs w:val="22"/>
        </w:rPr>
      </w:pPr>
    </w:p>
    <w:sectPr w:rsidR="00941AC8" w:rsidRPr="00ED0923" w:rsidSect="0067612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eyi Liu" w:date="2022-05-03T14:54:00Z" w:initials="JL">
    <w:p w14:paraId="522E3419" w14:textId="77777777" w:rsidR="00716D2C" w:rsidRDefault="00716D2C" w:rsidP="00716D2C">
      <w:r>
        <w:rPr>
          <w:rStyle w:val="CommentReference"/>
        </w:rPr>
        <w:annotationRef/>
      </w:r>
      <w:r>
        <w:rPr>
          <w:sz w:val="20"/>
          <w:szCs w:val="20"/>
        </w:rPr>
        <w:t>Will you report this in the appendix?</w:t>
      </w:r>
    </w:p>
  </w:comment>
  <w:comment w:id="1" w:author="Jueyi Liu" w:date="2022-05-03T15:02:00Z" w:initials="JL">
    <w:p w14:paraId="155227C1" w14:textId="792E30EF" w:rsidR="00437967" w:rsidRDefault="00437967" w:rsidP="00CD696A">
      <w:r>
        <w:rPr>
          <w:rStyle w:val="CommentReference"/>
        </w:rPr>
        <w:annotationRef/>
      </w:r>
      <w:r>
        <w:rPr>
          <w:sz w:val="20"/>
          <w:szCs w:val="20"/>
        </w:rPr>
        <w:t>EDA for other variables in the second approach?</w:t>
      </w:r>
    </w:p>
    <w:p w14:paraId="0BCBE411" w14:textId="77777777" w:rsidR="00437967" w:rsidRDefault="00437967" w:rsidP="00CD696A">
      <w:r>
        <w:rPr>
          <w:sz w:val="20"/>
          <w:szCs w:val="20"/>
        </w:rPr>
        <w:t>e.g. HTN_REP, RBC, DIAB…</w:t>
      </w:r>
    </w:p>
  </w:comment>
  <w:comment w:id="2" w:author="Jueyi Liu" w:date="2022-05-03T15:04:00Z" w:initials="JL">
    <w:p w14:paraId="351A073B" w14:textId="77777777" w:rsidR="002D6D33" w:rsidRDefault="002D6D33" w:rsidP="003478F0">
      <w:r>
        <w:rPr>
          <w:rStyle w:val="CommentReference"/>
        </w:rPr>
        <w:annotationRef/>
      </w:r>
      <w:r>
        <w:rPr>
          <w:sz w:val="20"/>
          <w:szCs w:val="20"/>
        </w:rPr>
        <w:t>Make this one line?</w:t>
      </w:r>
    </w:p>
  </w:comment>
  <w:comment w:id="3" w:author="Jueyi Liu" w:date="2022-05-03T15:05:00Z" w:initials="JL">
    <w:p w14:paraId="6213FCA7" w14:textId="77777777" w:rsidR="002D6D33" w:rsidRDefault="002D6D33" w:rsidP="002D6D33">
      <w:r>
        <w:rPr>
          <w:rStyle w:val="CommentReference"/>
        </w:rPr>
        <w:annotationRef/>
      </w:r>
      <w:r>
        <w:rPr>
          <w:sz w:val="20"/>
          <w:szCs w:val="20"/>
        </w:rPr>
        <w:t>Remove this row or add NA/—?</w:t>
      </w:r>
    </w:p>
  </w:comment>
  <w:comment w:id="4" w:author="Fuyu Guo" w:date="2022-05-01T18:23:00Z" w:initials="A">
    <w:p w14:paraId="33D07FD7" w14:textId="77777777" w:rsidR="002D6D33" w:rsidRDefault="002D6D33" w:rsidP="002D6D33">
      <w:pPr>
        <w:pStyle w:val="CommentText"/>
      </w:pPr>
      <w:r>
        <w:rPr>
          <w:rStyle w:val="CommentReference"/>
        </w:rPr>
        <w:annotationRef/>
      </w:r>
      <w:r>
        <w:rPr>
          <w:rFonts w:hint="eastAsia"/>
        </w:rPr>
        <w:t>这玩意儿全称啥来着想不起来了。。。</w:t>
      </w:r>
    </w:p>
  </w:comment>
  <w:comment w:id="5" w:author="Jueyi Liu" w:date="2022-05-11T17:16:00Z" w:initials="JL">
    <w:p w14:paraId="14D0C2C7" w14:textId="77777777" w:rsidR="008B2711" w:rsidRDefault="008B2711" w:rsidP="00357B93">
      <w:r>
        <w:rPr>
          <w:rStyle w:val="CommentReference"/>
        </w:rPr>
        <w:annotationRef/>
      </w:r>
      <w:r>
        <w:rPr>
          <w:rFonts w:asciiTheme="minorHAnsi" w:eastAsiaTheme="minorEastAsia" w:hAnsiTheme="minorHAnsi" w:cstheme="minorBidi"/>
          <w:sz w:val="20"/>
          <w:szCs w:val="20"/>
        </w:rPr>
        <w:t>Why only for mv-adjusted model from the second approach?</w:t>
      </w:r>
    </w:p>
  </w:comment>
  <w:comment w:id="6" w:author="Jueyi Liu" w:date="2022-05-11T16:51:00Z" w:initials="JL">
    <w:p w14:paraId="6174C8B1" w14:textId="27CCFE6C" w:rsidR="00C9239F" w:rsidRDefault="00C9239F" w:rsidP="00191E0E">
      <w:r>
        <w:rPr>
          <w:rStyle w:val="CommentReference"/>
        </w:rPr>
        <w:annotationRef/>
      </w:r>
      <w:r>
        <w:rPr>
          <w:rFonts w:asciiTheme="minorHAnsi" w:eastAsiaTheme="minorEastAsia" w:hAnsiTheme="minorHAnsi" w:cstheme="minorBidi"/>
          <w:sz w:val="20"/>
          <w:szCs w:val="20"/>
        </w:rPr>
        <w:t>?</w:t>
      </w:r>
    </w:p>
  </w:comment>
  <w:comment w:id="7" w:author="Jueyi Liu" w:date="2022-05-03T15:55:00Z" w:initials="JL">
    <w:p w14:paraId="05FA4E58" w14:textId="584405F7" w:rsidR="00377EF9" w:rsidRDefault="00377EF9" w:rsidP="00377EF9">
      <w:r>
        <w:rPr>
          <w:rStyle w:val="CommentReference"/>
        </w:rPr>
        <w:annotationRef/>
      </w:r>
      <w:r>
        <w:rPr>
          <w:sz w:val="20"/>
          <w:szCs w:val="20"/>
        </w:rPr>
        <w:t>?? Which table shows this?</w:t>
      </w:r>
    </w:p>
  </w:comment>
  <w:comment w:id="8" w:author="Jueyi Liu" w:date="2022-05-11T16:38:00Z" w:initials="JL">
    <w:p w14:paraId="6CC14E3A" w14:textId="77777777" w:rsidR="005E4F31" w:rsidRDefault="005E4F31" w:rsidP="00DF3F33">
      <w:r>
        <w:rPr>
          <w:rStyle w:val="CommentReference"/>
        </w:rPr>
        <w:annotationRef/>
      </w:r>
      <w:r>
        <w:rPr>
          <w:rFonts w:asciiTheme="minorHAnsi" w:eastAsiaTheme="minorEastAsia" w:hAnsiTheme="minorHAnsi" w:cstheme="minorBidi"/>
          <w:sz w:val="20"/>
          <w:szCs w:val="20"/>
        </w:rPr>
        <w:t>Explain why risk can translate to rate?</w:t>
      </w:r>
    </w:p>
  </w:comment>
  <w:comment w:id="9" w:author="Jueyi Liu" w:date="2022-05-03T15:48:00Z" w:initials="JL">
    <w:p w14:paraId="74A1B482" w14:textId="4EE2FBE2" w:rsidR="00572270" w:rsidRDefault="00572270" w:rsidP="00472FB0">
      <w:r>
        <w:rPr>
          <w:rStyle w:val="CommentReference"/>
        </w:rPr>
        <w:annotationRef/>
      </w:r>
      <w:r>
        <w:rPr>
          <w:sz w:val="20"/>
          <w:szCs w:val="20"/>
        </w:rPr>
        <w:t>This is not shown in Table 1</w:t>
      </w:r>
    </w:p>
  </w:comment>
  <w:comment w:id="10" w:author="Jueyi Liu" w:date="2022-05-11T16:31:00Z" w:initials="JL">
    <w:p w14:paraId="315483D9" w14:textId="77777777" w:rsidR="007E4AFA" w:rsidRDefault="007E4AFA" w:rsidP="00CC09A0">
      <w:r>
        <w:rPr>
          <w:rStyle w:val="CommentReference"/>
        </w:rPr>
        <w:annotationRef/>
      </w:r>
      <w:r>
        <w:rPr>
          <w:rFonts w:asciiTheme="minorHAnsi" w:eastAsiaTheme="minorEastAsia" w:hAnsiTheme="minorHAnsi" w:cstheme="minorBidi"/>
          <w:sz w:val="20"/>
          <w:szCs w:val="20"/>
        </w:rPr>
        <w:t>What disease?</w:t>
      </w:r>
    </w:p>
  </w:comment>
  <w:comment w:id="11" w:author="Jueyi Liu" w:date="2022-05-11T16:32:00Z" w:initials="JL">
    <w:p w14:paraId="4C2E2C04" w14:textId="77777777" w:rsidR="007B6B8A" w:rsidRDefault="007B6B8A" w:rsidP="000363D9">
      <w:r>
        <w:rPr>
          <w:rStyle w:val="CommentReference"/>
        </w:rPr>
        <w:annotationRef/>
      </w:r>
      <w:r>
        <w:rPr>
          <w:rFonts w:asciiTheme="minorHAnsi" w:eastAsiaTheme="minorEastAsia" w:hAnsiTheme="minorHAnsi" w:cstheme="minorBidi"/>
          <w:sz w:val="20"/>
          <w:szCs w:val="20"/>
        </w:rPr>
        <w:t>Due to sample size?</w:t>
      </w:r>
    </w:p>
  </w:comment>
  <w:comment w:id="12" w:author="Jueyi Liu" w:date="2022-05-11T16:33:00Z" w:initials="JL">
    <w:p w14:paraId="3B09279D" w14:textId="77777777" w:rsidR="007B6B8A" w:rsidRDefault="007B6B8A" w:rsidP="00AC3CA9">
      <w:r>
        <w:rPr>
          <w:rStyle w:val="CommentReference"/>
        </w:rPr>
        <w:annotationRef/>
      </w:r>
      <w:r>
        <w:rPr>
          <w:rFonts w:asciiTheme="minorHAnsi" w:eastAsiaTheme="minorEastAsia" w:hAnsiTheme="minorHAnsi" w:cstheme="minorBidi"/>
          <w:sz w:val="20"/>
          <w:szCs w:val="20"/>
        </w:rPr>
        <w:t>Repeated with the first paragraph in this section</w:t>
      </w:r>
    </w:p>
  </w:comment>
  <w:comment w:id="13" w:author="Jueyi Liu" w:date="2022-05-03T15:40:00Z" w:initials="JL">
    <w:p w14:paraId="321059D0" w14:textId="69417851" w:rsidR="00CC7D47" w:rsidRDefault="00CC7D47" w:rsidP="00CC7D47">
      <w:r>
        <w:rPr>
          <w:rStyle w:val="CommentReference"/>
        </w:rPr>
        <w:annotationRef/>
      </w:r>
      <w:r>
        <w:rPr>
          <w:sz w:val="20"/>
          <w:szCs w:val="20"/>
        </w:rPr>
        <w:t>Is the plot discussed in the main text? Or put it in appendix with Figure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2E3419" w15:done="0"/>
  <w15:commentEx w15:paraId="0BCBE411" w15:done="0"/>
  <w15:commentEx w15:paraId="351A073B" w15:done="0"/>
  <w15:commentEx w15:paraId="6213FCA7" w15:done="0"/>
  <w15:commentEx w15:paraId="33D07FD7" w15:done="0"/>
  <w15:commentEx w15:paraId="14D0C2C7" w15:done="0"/>
  <w15:commentEx w15:paraId="6174C8B1" w15:done="0"/>
  <w15:commentEx w15:paraId="05FA4E58" w15:done="0"/>
  <w15:commentEx w15:paraId="6CC14E3A" w15:done="0"/>
  <w15:commentEx w15:paraId="74A1B482" w15:done="0"/>
  <w15:commentEx w15:paraId="315483D9" w15:paraIdParent="74A1B482" w15:done="0"/>
  <w15:commentEx w15:paraId="4C2E2C04" w15:done="0"/>
  <w15:commentEx w15:paraId="3B09279D" w15:done="0"/>
  <w15:commentEx w15:paraId="321059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634CB" w16cex:dateUtc="2022-05-03T18:54:00Z"/>
  <w16cex:commentExtensible w16cex:durableId="261BC276" w16cex:dateUtc="2022-05-03T19:02:00Z"/>
  <w16cex:commentExtensible w16cex:durableId="261BC30D" w16cex:dateUtc="2022-05-03T19:04:00Z"/>
  <w16cex:commentExtensible w16cex:durableId="262637A3" w16cex:dateUtc="2022-05-03T19:05:00Z"/>
  <w16cex:commentExtensible w16cex:durableId="262637A2" w16cex:dateUtc="2022-05-01T22:23:00Z"/>
  <w16cex:commentExtensible w16cex:durableId="26266DF6" w16cex:dateUtc="2022-05-11T21:16:00Z"/>
  <w16cex:commentExtensible w16cex:durableId="262667F4" w16cex:dateUtc="2022-05-11T20:51:00Z"/>
  <w16cex:commentExtensible w16cex:durableId="261BCEED" w16cex:dateUtc="2022-05-03T19:55:00Z"/>
  <w16cex:commentExtensible w16cex:durableId="2626650E" w16cex:dateUtc="2022-05-11T20:38:00Z"/>
  <w16cex:commentExtensible w16cex:durableId="261BCD61" w16cex:dateUtc="2022-05-03T19:48:00Z"/>
  <w16cex:commentExtensible w16cex:durableId="2626634B" w16cex:dateUtc="2022-05-11T20:31:00Z"/>
  <w16cex:commentExtensible w16cex:durableId="262663A0" w16cex:dateUtc="2022-05-11T20:32:00Z"/>
  <w16cex:commentExtensible w16cex:durableId="262663E2" w16cex:dateUtc="2022-05-11T20:33:00Z"/>
  <w16cex:commentExtensible w16cex:durableId="26263AC2" w16cex:dateUtc="2022-05-03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2E3419" w16cid:durableId="262634CB"/>
  <w16cid:commentId w16cid:paraId="0BCBE411" w16cid:durableId="261BC276"/>
  <w16cid:commentId w16cid:paraId="351A073B" w16cid:durableId="261BC30D"/>
  <w16cid:commentId w16cid:paraId="6213FCA7" w16cid:durableId="262637A3"/>
  <w16cid:commentId w16cid:paraId="33D07FD7" w16cid:durableId="262637A2"/>
  <w16cid:commentId w16cid:paraId="14D0C2C7" w16cid:durableId="26266DF6"/>
  <w16cid:commentId w16cid:paraId="6174C8B1" w16cid:durableId="262667F4"/>
  <w16cid:commentId w16cid:paraId="05FA4E58" w16cid:durableId="261BCEED"/>
  <w16cid:commentId w16cid:paraId="6CC14E3A" w16cid:durableId="2626650E"/>
  <w16cid:commentId w16cid:paraId="74A1B482" w16cid:durableId="261BCD61"/>
  <w16cid:commentId w16cid:paraId="315483D9" w16cid:durableId="2626634B"/>
  <w16cid:commentId w16cid:paraId="4C2E2C04" w16cid:durableId="262663A0"/>
  <w16cid:commentId w16cid:paraId="3B09279D" w16cid:durableId="262663E2"/>
  <w16cid:commentId w16cid:paraId="321059D0" w16cid:durableId="26263A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D9599" w14:textId="77777777" w:rsidR="00E3590D" w:rsidRDefault="00E3590D" w:rsidP="00463A8C">
      <w:r>
        <w:separator/>
      </w:r>
    </w:p>
  </w:endnote>
  <w:endnote w:type="continuationSeparator" w:id="0">
    <w:p w14:paraId="6D9FE8A6" w14:textId="77777777" w:rsidR="00E3590D" w:rsidRDefault="00E3590D" w:rsidP="00463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3A982" w14:textId="77777777" w:rsidR="00E3590D" w:rsidRDefault="00E3590D" w:rsidP="00463A8C">
      <w:r>
        <w:separator/>
      </w:r>
    </w:p>
  </w:footnote>
  <w:footnote w:type="continuationSeparator" w:id="0">
    <w:p w14:paraId="1FC8777F" w14:textId="77777777" w:rsidR="00E3590D" w:rsidRDefault="00E3590D" w:rsidP="00463A8C">
      <w:r>
        <w:continuationSeparator/>
      </w:r>
    </w:p>
  </w:footnote>
  <w:footnote w:id="1">
    <w:p w14:paraId="229232C7" w14:textId="77777777" w:rsidR="00FD73D5" w:rsidRPr="00980600" w:rsidRDefault="00FD73D5" w:rsidP="00FD73D5">
      <w:pPr>
        <w:autoSpaceDE w:val="0"/>
        <w:autoSpaceDN w:val="0"/>
        <w:adjustRightInd w:val="0"/>
        <w:rPr>
          <w:rFonts w:hint="eastAsia"/>
          <w:sz w:val="22"/>
          <w:szCs w:val="22"/>
        </w:rPr>
      </w:pPr>
      <w:r>
        <w:rPr>
          <w:rStyle w:val="FootnoteReference"/>
        </w:rPr>
        <w:footnoteRef/>
      </w:r>
      <w:r>
        <w:t xml:space="preserve"> </w:t>
      </w:r>
      <w:r w:rsidRPr="00980600">
        <w:rPr>
          <w:sz w:val="22"/>
          <w:szCs w:val="22"/>
        </w:rPr>
        <w:t>https://wwwn.cdc.gov/nchs/nhanes/nhanes2/default.aspx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004B2"/>
    <w:multiLevelType w:val="hybridMultilevel"/>
    <w:tmpl w:val="86FE6080"/>
    <w:lvl w:ilvl="0" w:tplc="32C40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B7E0A"/>
    <w:multiLevelType w:val="hybridMultilevel"/>
    <w:tmpl w:val="BD6C7398"/>
    <w:lvl w:ilvl="0" w:tplc="FAEAA7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52322"/>
    <w:multiLevelType w:val="hybridMultilevel"/>
    <w:tmpl w:val="CE763868"/>
    <w:lvl w:ilvl="0" w:tplc="1578E2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794641053">
    <w:abstractNumId w:val="2"/>
  </w:num>
  <w:num w:numId="2" w16cid:durableId="1819422453">
    <w:abstractNumId w:val="0"/>
  </w:num>
  <w:num w:numId="3" w16cid:durableId="20596258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eyi Liu">
    <w15:presenceInfo w15:providerId="AD" w15:userId="S::jueyiliu@stanford.edu::82808853-e76c-4ec4-967b-2ea2ddd59706"/>
  </w15:person>
  <w15:person w15:author="Fuyu Guo">
    <w15:presenceInfo w15:providerId="None" w15:userId="Fuyu G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2749D"/>
    <w:rsid w:val="000328B2"/>
    <w:rsid w:val="000449BE"/>
    <w:rsid w:val="00046E67"/>
    <w:rsid w:val="00047C4E"/>
    <w:rsid w:val="00075B2D"/>
    <w:rsid w:val="00081FAA"/>
    <w:rsid w:val="00082CA7"/>
    <w:rsid w:val="000834EB"/>
    <w:rsid w:val="00086901"/>
    <w:rsid w:val="000951A0"/>
    <w:rsid w:val="000A61BE"/>
    <w:rsid w:val="000A6218"/>
    <w:rsid w:val="000C3632"/>
    <w:rsid w:val="000D38CF"/>
    <w:rsid w:val="000D6734"/>
    <w:rsid w:val="000F2EB3"/>
    <w:rsid w:val="000F49B0"/>
    <w:rsid w:val="001023A6"/>
    <w:rsid w:val="00106DA4"/>
    <w:rsid w:val="00112E6C"/>
    <w:rsid w:val="0012703B"/>
    <w:rsid w:val="001332F6"/>
    <w:rsid w:val="00143B9D"/>
    <w:rsid w:val="00151014"/>
    <w:rsid w:val="00155149"/>
    <w:rsid w:val="00164813"/>
    <w:rsid w:val="00170478"/>
    <w:rsid w:val="001704D4"/>
    <w:rsid w:val="00172CB9"/>
    <w:rsid w:val="00173639"/>
    <w:rsid w:val="00176326"/>
    <w:rsid w:val="0019226D"/>
    <w:rsid w:val="001954CD"/>
    <w:rsid w:val="001972FB"/>
    <w:rsid w:val="001A187A"/>
    <w:rsid w:val="001A6812"/>
    <w:rsid w:val="001B00B0"/>
    <w:rsid w:val="001C0EAD"/>
    <w:rsid w:val="001C7983"/>
    <w:rsid w:val="001D0867"/>
    <w:rsid w:val="001E2FE6"/>
    <w:rsid w:val="001F393A"/>
    <w:rsid w:val="002047D0"/>
    <w:rsid w:val="00207C1E"/>
    <w:rsid w:val="00221A19"/>
    <w:rsid w:val="002268C5"/>
    <w:rsid w:val="00230879"/>
    <w:rsid w:val="00245788"/>
    <w:rsid w:val="0027491E"/>
    <w:rsid w:val="0027594D"/>
    <w:rsid w:val="00280351"/>
    <w:rsid w:val="002B0300"/>
    <w:rsid w:val="002B7DD2"/>
    <w:rsid w:val="002D6D33"/>
    <w:rsid w:val="002E3A49"/>
    <w:rsid w:val="002E5F70"/>
    <w:rsid w:val="002F6F3F"/>
    <w:rsid w:val="002F7CEE"/>
    <w:rsid w:val="0031162A"/>
    <w:rsid w:val="00311F56"/>
    <w:rsid w:val="00312EB3"/>
    <w:rsid w:val="00316B9A"/>
    <w:rsid w:val="00317568"/>
    <w:rsid w:val="0032062E"/>
    <w:rsid w:val="00332B7F"/>
    <w:rsid w:val="00332BEF"/>
    <w:rsid w:val="00355937"/>
    <w:rsid w:val="003711DE"/>
    <w:rsid w:val="00377EF9"/>
    <w:rsid w:val="003874FE"/>
    <w:rsid w:val="00390E6B"/>
    <w:rsid w:val="00397962"/>
    <w:rsid w:val="003A761C"/>
    <w:rsid w:val="003B1C42"/>
    <w:rsid w:val="003B6323"/>
    <w:rsid w:val="003C35D9"/>
    <w:rsid w:val="003D5AD5"/>
    <w:rsid w:val="003E10EB"/>
    <w:rsid w:val="003F2FA2"/>
    <w:rsid w:val="003F3809"/>
    <w:rsid w:val="003F58A3"/>
    <w:rsid w:val="00400673"/>
    <w:rsid w:val="00401075"/>
    <w:rsid w:val="00417EBE"/>
    <w:rsid w:val="00423D97"/>
    <w:rsid w:val="00425229"/>
    <w:rsid w:val="0042755E"/>
    <w:rsid w:val="00436F7C"/>
    <w:rsid w:val="00437967"/>
    <w:rsid w:val="004442BC"/>
    <w:rsid w:val="0045739F"/>
    <w:rsid w:val="004633AE"/>
    <w:rsid w:val="00463A8C"/>
    <w:rsid w:val="0046672B"/>
    <w:rsid w:val="00474159"/>
    <w:rsid w:val="004744DB"/>
    <w:rsid w:val="00477C41"/>
    <w:rsid w:val="00487C85"/>
    <w:rsid w:val="004978DD"/>
    <w:rsid w:val="004A6CCC"/>
    <w:rsid w:val="004B3824"/>
    <w:rsid w:val="004B4530"/>
    <w:rsid w:val="004B7743"/>
    <w:rsid w:val="004C0E97"/>
    <w:rsid w:val="004C2ABC"/>
    <w:rsid w:val="004D10B5"/>
    <w:rsid w:val="004D1B6B"/>
    <w:rsid w:val="004D4DA5"/>
    <w:rsid w:val="004D7735"/>
    <w:rsid w:val="004D7851"/>
    <w:rsid w:val="004F2875"/>
    <w:rsid w:val="004F3AD0"/>
    <w:rsid w:val="004F59EA"/>
    <w:rsid w:val="0050164D"/>
    <w:rsid w:val="005052F5"/>
    <w:rsid w:val="00520AEE"/>
    <w:rsid w:val="00520BF2"/>
    <w:rsid w:val="00532BBE"/>
    <w:rsid w:val="00533143"/>
    <w:rsid w:val="005510E7"/>
    <w:rsid w:val="0055687E"/>
    <w:rsid w:val="005570A1"/>
    <w:rsid w:val="00570944"/>
    <w:rsid w:val="00572270"/>
    <w:rsid w:val="00581797"/>
    <w:rsid w:val="00582329"/>
    <w:rsid w:val="005877D3"/>
    <w:rsid w:val="0059246D"/>
    <w:rsid w:val="00596C60"/>
    <w:rsid w:val="005A0032"/>
    <w:rsid w:val="005A22F2"/>
    <w:rsid w:val="005A7DD9"/>
    <w:rsid w:val="005D7BB8"/>
    <w:rsid w:val="005E2FA9"/>
    <w:rsid w:val="005E3091"/>
    <w:rsid w:val="005E4F31"/>
    <w:rsid w:val="005F3C0B"/>
    <w:rsid w:val="00601990"/>
    <w:rsid w:val="006028DF"/>
    <w:rsid w:val="00607D87"/>
    <w:rsid w:val="00611D99"/>
    <w:rsid w:val="006120F7"/>
    <w:rsid w:val="0061730D"/>
    <w:rsid w:val="006178B5"/>
    <w:rsid w:val="00625DD0"/>
    <w:rsid w:val="00633505"/>
    <w:rsid w:val="00634F93"/>
    <w:rsid w:val="00636FB7"/>
    <w:rsid w:val="0064258E"/>
    <w:rsid w:val="00676129"/>
    <w:rsid w:val="00677179"/>
    <w:rsid w:val="0068666D"/>
    <w:rsid w:val="00697F12"/>
    <w:rsid w:val="006A100C"/>
    <w:rsid w:val="006A2EC2"/>
    <w:rsid w:val="006A73C2"/>
    <w:rsid w:val="006A77EF"/>
    <w:rsid w:val="006B04F8"/>
    <w:rsid w:val="006B2BF7"/>
    <w:rsid w:val="006C4BC1"/>
    <w:rsid w:val="006D6443"/>
    <w:rsid w:val="006E512C"/>
    <w:rsid w:val="006E5EBA"/>
    <w:rsid w:val="00716D2C"/>
    <w:rsid w:val="00716DF2"/>
    <w:rsid w:val="00730D85"/>
    <w:rsid w:val="0073347E"/>
    <w:rsid w:val="00736D81"/>
    <w:rsid w:val="007372B0"/>
    <w:rsid w:val="007527BA"/>
    <w:rsid w:val="007603C8"/>
    <w:rsid w:val="007806F0"/>
    <w:rsid w:val="0078426D"/>
    <w:rsid w:val="007872E3"/>
    <w:rsid w:val="00787B09"/>
    <w:rsid w:val="007A579E"/>
    <w:rsid w:val="007A6221"/>
    <w:rsid w:val="007B359D"/>
    <w:rsid w:val="007B608C"/>
    <w:rsid w:val="007B6B8A"/>
    <w:rsid w:val="007C0E91"/>
    <w:rsid w:val="007C1B53"/>
    <w:rsid w:val="007C2E6F"/>
    <w:rsid w:val="007E4AFA"/>
    <w:rsid w:val="007E7E13"/>
    <w:rsid w:val="007F6477"/>
    <w:rsid w:val="008131D1"/>
    <w:rsid w:val="008153A3"/>
    <w:rsid w:val="00816833"/>
    <w:rsid w:val="008179FF"/>
    <w:rsid w:val="008201DB"/>
    <w:rsid w:val="00831F18"/>
    <w:rsid w:val="0083372C"/>
    <w:rsid w:val="0085465B"/>
    <w:rsid w:val="00860EF5"/>
    <w:rsid w:val="0086512D"/>
    <w:rsid w:val="00866036"/>
    <w:rsid w:val="008978D4"/>
    <w:rsid w:val="008A214A"/>
    <w:rsid w:val="008A4C4D"/>
    <w:rsid w:val="008B2711"/>
    <w:rsid w:val="008B4FE1"/>
    <w:rsid w:val="008B7CD5"/>
    <w:rsid w:val="008C0701"/>
    <w:rsid w:val="008C0A03"/>
    <w:rsid w:val="008C0C5B"/>
    <w:rsid w:val="008F0018"/>
    <w:rsid w:val="008F39EE"/>
    <w:rsid w:val="00911368"/>
    <w:rsid w:val="00912281"/>
    <w:rsid w:val="00916484"/>
    <w:rsid w:val="00922105"/>
    <w:rsid w:val="009223B6"/>
    <w:rsid w:val="00931893"/>
    <w:rsid w:val="00933A40"/>
    <w:rsid w:val="00940551"/>
    <w:rsid w:val="00941AC8"/>
    <w:rsid w:val="009458D8"/>
    <w:rsid w:val="00980600"/>
    <w:rsid w:val="009827AC"/>
    <w:rsid w:val="00993CFF"/>
    <w:rsid w:val="009A4C25"/>
    <w:rsid w:val="009B69E4"/>
    <w:rsid w:val="009E4113"/>
    <w:rsid w:val="009E72F8"/>
    <w:rsid w:val="00A023A5"/>
    <w:rsid w:val="00A045F8"/>
    <w:rsid w:val="00A06482"/>
    <w:rsid w:val="00A078C5"/>
    <w:rsid w:val="00A07A02"/>
    <w:rsid w:val="00A116B6"/>
    <w:rsid w:val="00A12649"/>
    <w:rsid w:val="00A644A3"/>
    <w:rsid w:val="00A678DF"/>
    <w:rsid w:val="00A709C3"/>
    <w:rsid w:val="00A72B7D"/>
    <w:rsid w:val="00A7507C"/>
    <w:rsid w:val="00A93ECD"/>
    <w:rsid w:val="00A952BD"/>
    <w:rsid w:val="00AA137A"/>
    <w:rsid w:val="00AB1845"/>
    <w:rsid w:val="00AB640B"/>
    <w:rsid w:val="00AC1146"/>
    <w:rsid w:val="00AC2642"/>
    <w:rsid w:val="00AE4D03"/>
    <w:rsid w:val="00AE56DE"/>
    <w:rsid w:val="00AF7E41"/>
    <w:rsid w:val="00B00F0F"/>
    <w:rsid w:val="00B0253E"/>
    <w:rsid w:val="00B05542"/>
    <w:rsid w:val="00B062BA"/>
    <w:rsid w:val="00B06633"/>
    <w:rsid w:val="00B2378F"/>
    <w:rsid w:val="00B23A9A"/>
    <w:rsid w:val="00B2531A"/>
    <w:rsid w:val="00B33924"/>
    <w:rsid w:val="00B36178"/>
    <w:rsid w:val="00B45600"/>
    <w:rsid w:val="00B472B3"/>
    <w:rsid w:val="00B544CE"/>
    <w:rsid w:val="00B573EB"/>
    <w:rsid w:val="00B7221B"/>
    <w:rsid w:val="00B72540"/>
    <w:rsid w:val="00B73B7B"/>
    <w:rsid w:val="00B83056"/>
    <w:rsid w:val="00B84AAD"/>
    <w:rsid w:val="00B87F1E"/>
    <w:rsid w:val="00B9309D"/>
    <w:rsid w:val="00B956BC"/>
    <w:rsid w:val="00BA3324"/>
    <w:rsid w:val="00BB31DD"/>
    <w:rsid w:val="00BB7C98"/>
    <w:rsid w:val="00BC74C9"/>
    <w:rsid w:val="00BE2FFA"/>
    <w:rsid w:val="00BE4BB7"/>
    <w:rsid w:val="00C15324"/>
    <w:rsid w:val="00C270A2"/>
    <w:rsid w:val="00C31EC9"/>
    <w:rsid w:val="00C35820"/>
    <w:rsid w:val="00C36F2B"/>
    <w:rsid w:val="00C44463"/>
    <w:rsid w:val="00C503FB"/>
    <w:rsid w:val="00C5708E"/>
    <w:rsid w:val="00C57400"/>
    <w:rsid w:val="00C61D54"/>
    <w:rsid w:val="00C6700E"/>
    <w:rsid w:val="00C7087E"/>
    <w:rsid w:val="00C71077"/>
    <w:rsid w:val="00C717E7"/>
    <w:rsid w:val="00C7381C"/>
    <w:rsid w:val="00C82B76"/>
    <w:rsid w:val="00C83470"/>
    <w:rsid w:val="00C9239F"/>
    <w:rsid w:val="00CA079E"/>
    <w:rsid w:val="00CA29D7"/>
    <w:rsid w:val="00CB34AD"/>
    <w:rsid w:val="00CB4B45"/>
    <w:rsid w:val="00CB7693"/>
    <w:rsid w:val="00CB7939"/>
    <w:rsid w:val="00CC11B2"/>
    <w:rsid w:val="00CC18A2"/>
    <w:rsid w:val="00CC1FC0"/>
    <w:rsid w:val="00CC4243"/>
    <w:rsid w:val="00CC7D47"/>
    <w:rsid w:val="00CD03DB"/>
    <w:rsid w:val="00CD5B33"/>
    <w:rsid w:val="00CF79E5"/>
    <w:rsid w:val="00D062DD"/>
    <w:rsid w:val="00D165DF"/>
    <w:rsid w:val="00D17D41"/>
    <w:rsid w:val="00D223DA"/>
    <w:rsid w:val="00D33B33"/>
    <w:rsid w:val="00D34447"/>
    <w:rsid w:val="00D414D0"/>
    <w:rsid w:val="00D44444"/>
    <w:rsid w:val="00D46405"/>
    <w:rsid w:val="00D4722A"/>
    <w:rsid w:val="00D648C7"/>
    <w:rsid w:val="00D74CD1"/>
    <w:rsid w:val="00D84B0E"/>
    <w:rsid w:val="00D85070"/>
    <w:rsid w:val="00D93F2A"/>
    <w:rsid w:val="00D94369"/>
    <w:rsid w:val="00D94A3D"/>
    <w:rsid w:val="00D96F47"/>
    <w:rsid w:val="00DA3358"/>
    <w:rsid w:val="00DB052A"/>
    <w:rsid w:val="00DB639B"/>
    <w:rsid w:val="00DD31B7"/>
    <w:rsid w:val="00DD527C"/>
    <w:rsid w:val="00DE1214"/>
    <w:rsid w:val="00DE3989"/>
    <w:rsid w:val="00E06B4A"/>
    <w:rsid w:val="00E2589A"/>
    <w:rsid w:val="00E33D05"/>
    <w:rsid w:val="00E3590D"/>
    <w:rsid w:val="00E359F5"/>
    <w:rsid w:val="00E37129"/>
    <w:rsid w:val="00E44221"/>
    <w:rsid w:val="00E5106F"/>
    <w:rsid w:val="00E62652"/>
    <w:rsid w:val="00E64280"/>
    <w:rsid w:val="00E712EE"/>
    <w:rsid w:val="00EB05FD"/>
    <w:rsid w:val="00EB306F"/>
    <w:rsid w:val="00EB3D8A"/>
    <w:rsid w:val="00EC3E19"/>
    <w:rsid w:val="00ED0923"/>
    <w:rsid w:val="00ED5469"/>
    <w:rsid w:val="00EF26C0"/>
    <w:rsid w:val="00EF5D25"/>
    <w:rsid w:val="00F07FEE"/>
    <w:rsid w:val="00F16D96"/>
    <w:rsid w:val="00F265BA"/>
    <w:rsid w:val="00F37485"/>
    <w:rsid w:val="00F45372"/>
    <w:rsid w:val="00F46B5A"/>
    <w:rsid w:val="00F47C10"/>
    <w:rsid w:val="00F513CF"/>
    <w:rsid w:val="00F5574E"/>
    <w:rsid w:val="00F55C5B"/>
    <w:rsid w:val="00F56BE4"/>
    <w:rsid w:val="00F62B23"/>
    <w:rsid w:val="00F6547D"/>
    <w:rsid w:val="00F6561F"/>
    <w:rsid w:val="00F7154B"/>
    <w:rsid w:val="00F71AC0"/>
    <w:rsid w:val="00F80B00"/>
    <w:rsid w:val="00F907C7"/>
    <w:rsid w:val="00F9707B"/>
    <w:rsid w:val="00FA602A"/>
    <w:rsid w:val="00FA6D1D"/>
    <w:rsid w:val="00FD0B87"/>
    <w:rsid w:val="00FD5911"/>
    <w:rsid w:val="00FD73D5"/>
    <w:rsid w:val="00FE0FEB"/>
    <w:rsid w:val="00FE3855"/>
    <w:rsid w:val="00FF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pPr>
  </w:style>
  <w:style w:type="character" w:styleId="CommentReference">
    <w:name w:val="annotation reference"/>
    <w:basedOn w:val="DefaultParagraphFont"/>
    <w:uiPriority w:val="99"/>
    <w:semiHidden/>
    <w:unhideWhenUsed/>
    <w:rsid w:val="00E5106F"/>
    <w:rPr>
      <w:sz w:val="16"/>
      <w:szCs w:val="16"/>
    </w:rPr>
  </w:style>
  <w:style w:type="paragraph" w:styleId="CommentText">
    <w:name w:val="annotation text"/>
    <w:basedOn w:val="Normal"/>
    <w:link w:val="CommentTextChar"/>
    <w:uiPriority w:val="99"/>
    <w:semiHidden/>
    <w:unhideWhenUsed/>
    <w:rsid w:val="00E5106F"/>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E5106F"/>
    <w:rPr>
      <w:sz w:val="20"/>
      <w:szCs w:val="20"/>
    </w:rPr>
  </w:style>
  <w:style w:type="paragraph" w:styleId="CommentSubject">
    <w:name w:val="annotation subject"/>
    <w:basedOn w:val="CommentText"/>
    <w:next w:val="CommentText"/>
    <w:link w:val="CommentSubjectChar"/>
    <w:uiPriority w:val="99"/>
    <w:semiHidden/>
    <w:unhideWhenUsed/>
    <w:rsid w:val="00E5106F"/>
    <w:rPr>
      <w:b/>
      <w:bCs/>
    </w:rPr>
  </w:style>
  <w:style w:type="character" w:customStyle="1" w:styleId="CommentSubjectChar">
    <w:name w:val="Comment Subject Char"/>
    <w:basedOn w:val="CommentTextChar"/>
    <w:link w:val="CommentSubject"/>
    <w:uiPriority w:val="99"/>
    <w:semiHidden/>
    <w:rsid w:val="00E5106F"/>
    <w:rPr>
      <w:b/>
      <w:bCs/>
      <w:sz w:val="20"/>
      <w:szCs w:val="20"/>
    </w:rPr>
  </w:style>
  <w:style w:type="paragraph" w:styleId="Revision">
    <w:name w:val="Revision"/>
    <w:hidden/>
    <w:uiPriority w:val="99"/>
    <w:semiHidden/>
    <w:rsid w:val="0064258E"/>
    <w:pPr>
      <w:spacing w:after="0" w:line="240" w:lineRule="auto"/>
    </w:pPr>
  </w:style>
  <w:style w:type="paragraph" w:styleId="ListParagraph">
    <w:name w:val="List Paragraph"/>
    <w:basedOn w:val="Normal"/>
    <w:uiPriority w:val="34"/>
    <w:qFormat/>
    <w:rsid w:val="00532BBE"/>
    <w:pPr>
      <w:spacing w:after="160" w:line="259" w:lineRule="auto"/>
      <w:ind w:left="720"/>
      <w:contextualSpacing/>
    </w:pPr>
    <w:rPr>
      <w:rFonts w:asciiTheme="minorHAnsi" w:eastAsiaTheme="minorEastAsia" w:hAnsiTheme="minorHAnsi" w:cstheme="minorBidi"/>
      <w:sz w:val="22"/>
      <w:szCs w:val="22"/>
    </w:rPr>
  </w:style>
  <w:style w:type="paragraph" w:styleId="FootnoteText">
    <w:name w:val="footnote text"/>
    <w:basedOn w:val="Normal"/>
    <w:link w:val="FootnoteTextChar"/>
    <w:uiPriority w:val="99"/>
    <w:semiHidden/>
    <w:unhideWhenUsed/>
    <w:rsid w:val="00112E6C"/>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12E6C"/>
    <w:rPr>
      <w:sz w:val="20"/>
      <w:szCs w:val="20"/>
    </w:rPr>
  </w:style>
  <w:style w:type="character" w:styleId="FootnoteReference">
    <w:name w:val="footnote reference"/>
    <w:basedOn w:val="DefaultParagraphFont"/>
    <w:uiPriority w:val="99"/>
    <w:semiHidden/>
    <w:unhideWhenUsed/>
    <w:rsid w:val="00112E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556">
      <w:bodyDiv w:val="1"/>
      <w:marLeft w:val="0"/>
      <w:marRight w:val="0"/>
      <w:marTop w:val="0"/>
      <w:marBottom w:val="0"/>
      <w:divBdr>
        <w:top w:val="none" w:sz="0" w:space="0" w:color="auto"/>
        <w:left w:val="none" w:sz="0" w:space="0" w:color="auto"/>
        <w:bottom w:val="none" w:sz="0" w:space="0" w:color="auto"/>
        <w:right w:val="none" w:sz="0" w:space="0" w:color="auto"/>
      </w:divBdr>
    </w:div>
    <w:div w:id="309947261">
      <w:bodyDiv w:val="1"/>
      <w:marLeft w:val="0"/>
      <w:marRight w:val="0"/>
      <w:marTop w:val="0"/>
      <w:marBottom w:val="0"/>
      <w:divBdr>
        <w:top w:val="none" w:sz="0" w:space="0" w:color="auto"/>
        <w:left w:val="none" w:sz="0" w:space="0" w:color="auto"/>
        <w:bottom w:val="none" w:sz="0" w:space="0" w:color="auto"/>
        <w:right w:val="none" w:sz="0" w:space="0" w:color="auto"/>
      </w:divBdr>
    </w:div>
    <w:div w:id="1032681843">
      <w:bodyDiv w:val="1"/>
      <w:marLeft w:val="0"/>
      <w:marRight w:val="0"/>
      <w:marTop w:val="0"/>
      <w:marBottom w:val="0"/>
      <w:divBdr>
        <w:top w:val="none" w:sz="0" w:space="0" w:color="auto"/>
        <w:left w:val="none" w:sz="0" w:space="0" w:color="auto"/>
        <w:bottom w:val="none" w:sz="0" w:space="0" w:color="auto"/>
        <w:right w:val="none" w:sz="0" w:space="0" w:color="auto"/>
      </w:divBdr>
    </w:div>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 w:id="20189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Jueyi Liu</cp:lastModifiedBy>
  <cp:revision>405</cp:revision>
  <dcterms:created xsi:type="dcterms:W3CDTF">2022-05-11T15:55:00Z</dcterms:created>
  <dcterms:modified xsi:type="dcterms:W3CDTF">2022-05-11T21:23:00Z</dcterms:modified>
</cp:coreProperties>
</file>