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8AB3" w14:textId="7CC65D5F" w:rsidR="006178B5" w:rsidRPr="00F11E73" w:rsidRDefault="00697F12" w:rsidP="00F11E73">
      <w:pPr>
        <w:pStyle w:val="ListParagraph"/>
        <w:spacing w:line="240" w:lineRule="auto"/>
        <w:ind w:left="0"/>
        <w:jc w:val="both"/>
        <w:rPr>
          <w:rFonts w:ascii="Times New Roman" w:hAnsi="Times New Roman" w:cs="Times New Roman"/>
        </w:rPr>
      </w:pPr>
      <w:r w:rsidRPr="00F11E73">
        <w:rPr>
          <w:rFonts w:ascii="Times New Roman" w:hAnsi="Times New Roman" w:cs="Times New Roman"/>
        </w:rPr>
        <w:t>Epi 204 Project Report</w:t>
      </w:r>
    </w:p>
    <w:p w14:paraId="60F8F5AD" w14:textId="068AC0A3" w:rsidR="00E37129" w:rsidRPr="00F11E73" w:rsidRDefault="00E37129" w:rsidP="00F11E73">
      <w:pPr>
        <w:jc w:val="both"/>
        <w:rPr>
          <w:b/>
          <w:bCs/>
          <w:sz w:val="22"/>
          <w:szCs w:val="22"/>
        </w:rPr>
      </w:pPr>
      <w:r w:rsidRPr="00F11E73">
        <w:rPr>
          <w:b/>
          <w:bCs/>
          <w:sz w:val="22"/>
          <w:szCs w:val="22"/>
        </w:rPr>
        <w:t>Introduction</w:t>
      </w:r>
    </w:p>
    <w:p w14:paraId="65E77148" w14:textId="4914BC91" w:rsidR="00F45372" w:rsidRPr="00F11E73" w:rsidRDefault="00F11E73" w:rsidP="00F11E73">
      <w:pPr>
        <w:jc w:val="both"/>
        <w:rPr>
          <w:strike/>
          <w:sz w:val="22"/>
          <w:szCs w:val="22"/>
          <w:shd w:val="pct15" w:color="auto" w:fill="FFFFFF"/>
        </w:rPr>
      </w:pPr>
      <w:r w:rsidRPr="00F11E73">
        <w:rPr>
          <w:sz w:val="22"/>
          <w:szCs w:val="22"/>
        </w:rPr>
        <w:t>It i</w:t>
      </w:r>
      <w:r w:rsidR="004D10B5" w:rsidRPr="00F11E73">
        <w:rPr>
          <w:sz w:val="22"/>
          <w:szCs w:val="22"/>
        </w:rPr>
        <w:t>s importan</w:t>
      </w:r>
      <w:r w:rsidR="00355937" w:rsidRPr="00F11E73">
        <w:rPr>
          <w:sz w:val="22"/>
          <w:szCs w:val="22"/>
        </w:rPr>
        <w:t>t</w:t>
      </w:r>
      <w:r w:rsidR="004D10B5" w:rsidRPr="00F11E73">
        <w:rPr>
          <w:sz w:val="22"/>
          <w:szCs w:val="22"/>
        </w:rPr>
        <w:t xml:space="preserve"> to understand how our lifestyle is associated with the risk of dying from cancer.</w:t>
      </w:r>
      <w:r w:rsidR="00D648C7" w:rsidRPr="00F11E73">
        <w:rPr>
          <w:sz w:val="22"/>
          <w:szCs w:val="22"/>
        </w:rPr>
        <w:t xml:space="preserve"> Since people enjoy alcohol for various reasons, we are interested in how alcohol relates to cancer deaths.</w:t>
      </w:r>
      <w:r w:rsidR="00047C4E" w:rsidRPr="00F11E73">
        <w:rPr>
          <w:sz w:val="22"/>
          <w:szCs w:val="22"/>
        </w:rPr>
        <w:t xml:space="preserve"> </w:t>
      </w:r>
      <w:r w:rsidR="00F45372" w:rsidRPr="00F11E73">
        <w:rPr>
          <w:sz w:val="22"/>
          <w:szCs w:val="22"/>
        </w:rPr>
        <w:t>In this project, we</w:t>
      </w:r>
      <w:r w:rsidR="00280351" w:rsidRPr="00F11E73">
        <w:rPr>
          <w:sz w:val="22"/>
          <w:szCs w:val="22"/>
        </w:rPr>
        <w:t xml:space="preserve"> </w:t>
      </w:r>
      <w:r w:rsidR="00F45372" w:rsidRPr="00F11E73">
        <w:rPr>
          <w:sz w:val="22"/>
          <w:szCs w:val="22"/>
        </w:rPr>
        <w:t>examine</w:t>
      </w:r>
      <w:r w:rsidR="005E6A72" w:rsidRPr="00F11E73">
        <w:rPr>
          <w:sz w:val="22"/>
          <w:szCs w:val="22"/>
        </w:rPr>
        <w:t>d</w:t>
      </w:r>
      <w:r w:rsidR="00F45372" w:rsidRPr="00F11E73">
        <w:rPr>
          <w:sz w:val="22"/>
          <w:szCs w:val="22"/>
        </w:rPr>
        <w:t xml:space="preserve"> the association between alcohol </w:t>
      </w:r>
      <w:r w:rsidRPr="00F11E73">
        <w:rPr>
          <w:sz w:val="22"/>
          <w:szCs w:val="22"/>
        </w:rPr>
        <w:t>consumption</w:t>
      </w:r>
      <w:r w:rsidR="00F45372" w:rsidRPr="00F11E73">
        <w:rPr>
          <w:sz w:val="22"/>
          <w:szCs w:val="22"/>
        </w:rPr>
        <w:t xml:space="preserve"> and</w:t>
      </w:r>
      <w:r w:rsidR="005E6A72" w:rsidRPr="00F11E73">
        <w:rPr>
          <w:sz w:val="22"/>
          <w:szCs w:val="22"/>
        </w:rPr>
        <w:t xml:space="preserve"> risk of</w:t>
      </w:r>
      <w:r w:rsidR="00F45372" w:rsidRPr="00F11E73">
        <w:rPr>
          <w:sz w:val="22"/>
          <w:szCs w:val="22"/>
        </w:rPr>
        <w:t xml:space="preserve"> death from cancer</w:t>
      </w:r>
      <w:r w:rsidR="005E6A72" w:rsidRPr="00F11E73">
        <w:rPr>
          <w:sz w:val="22"/>
          <w:szCs w:val="22"/>
        </w:rPr>
        <w:t>.</w:t>
      </w:r>
    </w:p>
    <w:p w14:paraId="1A31251A" w14:textId="77777777" w:rsidR="00B2531A" w:rsidRPr="00F11E73" w:rsidRDefault="00B2531A" w:rsidP="00F11E73">
      <w:pPr>
        <w:jc w:val="both"/>
        <w:rPr>
          <w:strike/>
          <w:sz w:val="22"/>
          <w:szCs w:val="22"/>
        </w:rPr>
      </w:pPr>
    </w:p>
    <w:p w14:paraId="364AFC08" w14:textId="0C6076E3" w:rsidR="006B2BF7" w:rsidRPr="00F11E73" w:rsidRDefault="007B608C" w:rsidP="00F11E73">
      <w:pPr>
        <w:jc w:val="both"/>
        <w:rPr>
          <w:b/>
          <w:bCs/>
          <w:sz w:val="22"/>
          <w:szCs w:val="22"/>
        </w:rPr>
      </w:pPr>
      <w:r w:rsidRPr="00F11E73">
        <w:rPr>
          <w:b/>
          <w:bCs/>
          <w:sz w:val="22"/>
          <w:szCs w:val="22"/>
        </w:rPr>
        <w:t>Methods</w:t>
      </w:r>
    </w:p>
    <w:p w14:paraId="11CD0DDE" w14:textId="08E760ED" w:rsidR="00DC05C5" w:rsidRPr="00F11E73" w:rsidRDefault="007B608C" w:rsidP="00F11E73">
      <w:pPr>
        <w:jc w:val="both"/>
        <w:rPr>
          <w:sz w:val="22"/>
          <w:szCs w:val="22"/>
        </w:rPr>
      </w:pPr>
      <w:r w:rsidRPr="00F11E73">
        <w:rPr>
          <w:sz w:val="22"/>
          <w:szCs w:val="22"/>
        </w:rPr>
        <w:t>The data used in this study is from an imputed version of</w:t>
      </w:r>
      <w:r w:rsidR="004D1B6B" w:rsidRPr="00F11E73">
        <w:rPr>
          <w:sz w:val="22"/>
          <w:szCs w:val="22"/>
        </w:rPr>
        <w:t xml:space="preserve"> the</w:t>
      </w:r>
      <w:r w:rsidRPr="00F11E73">
        <w:rPr>
          <w:sz w:val="22"/>
          <w:szCs w:val="22"/>
        </w:rPr>
        <w:t xml:space="preserve"> NHANES II </w:t>
      </w:r>
      <w:r w:rsidR="004B4530" w:rsidRPr="00F11E73">
        <w:rPr>
          <w:sz w:val="22"/>
          <w:szCs w:val="22"/>
        </w:rPr>
        <w:t>mortality follow-up study</w:t>
      </w:r>
      <w:r w:rsidR="00B2531A" w:rsidRPr="00F11E73">
        <w:rPr>
          <w:sz w:val="22"/>
          <w:szCs w:val="22"/>
        </w:rPr>
        <w:t>. The</w:t>
      </w:r>
      <w:r w:rsidR="00FD73D5" w:rsidRPr="00F11E73">
        <w:rPr>
          <w:sz w:val="22"/>
          <w:szCs w:val="22"/>
        </w:rPr>
        <w:t xml:space="preserve"> details </w:t>
      </w:r>
      <w:r w:rsidR="006A77EF" w:rsidRPr="00F11E73">
        <w:rPr>
          <w:sz w:val="22"/>
          <w:szCs w:val="22"/>
        </w:rPr>
        <w:t>of</w:t>
      </w:r>
      <w:r w:rsidR="00FD73D5" w:rsidRPr="00F11E73">
        <w:rPr>
          <w:sz w:val="22"/>
          <w:szCs w:val="22"/>
        </w:rPr>
        <w:t xml:space="preserve"> the</w:t>
      </w:r>
      <w:r w:rsidR="00B73B7B" w:rsidRPr="00F11E73">
        <w:rPr>
          <w:sz w:val="22"/>
          <w:szCs w:val="22"/>
        </w:rPr>
        <w:t xml:space="preserve"> NHANES II</w:t>
      </w:r>
      <w:r w:rsidR="00FD73D5" w:rsidRPr="00F11E73">
        <w:rPr>
          <w:sz w:val="22"/>
          <w:szCs w:val="22"/>
        </w:rPr>
        <w:t xml:space="preserve"> </w:t>
      </w:r>
      <w:r w:rsidR="00B73B7B" w:rsidRPr="00F11E73">
        <w:rPr>
          <w:sz w:val="22"/>
          <w:szCs w:val="22"/>
        </w:rPr>
        <w:t>survey</w:t>
      </w:r>
      <w:r w:rsidR="00FD73D5" w:rsidRPr="00F11E73">
        <w:rPr>
          <w:sz w:val="22"/>
          <w:szCs w:val="22"/>
        </w:rPr>
        <w:t xml:space="preserve"> </w:t>
      </w:r>
      <w:r w:rsidR="00F11E73" w:rsidRPr="00F11E73">
        <w:rPr>
          <w:sz w:val="22"/>
          <w:szCs w:val="22"/>
        </w:rPr>
        <w:t>have been</w:t>
      </w:r>
      <w:r w:rsidR="00FD73D5" w:rsidRPr="00F11E73">
        <w:rPr>
          <w:sz w:val="22"/>
          <w:szCs w:val="22"/>
        </w:rPr>
        <w:t xml:space="preserve"> described elsewhere</w:t>
      </w:r>
      <w:r w:rsidR="00FD73D5" w:rsidRPr="00F11E73">
        <w:rPr>
          <w:sz w:val="22"/>
          <w:szCs w:val="22"/>
          <w:vertAlign w:val="superscript"/>
        </w:rPr>
        <w:footnoteReference w:id="1"/>
      </w:r>
      <w:r w:rsidR="00B73B7B" w:rsidRPr="00F11E73">
        <w:rPr>
          <w:sz w:val="22"/>
          <w:szCs w:val="22"/>
        </w:rPr>
        <w:t>.</w:t>
      </w:r>
      <w:r w:rsidR="00FD73D5" w:rsidRPr="00F11E73">
        <w:rPr>
          <w:sz w:val="22"/>
          <w:szCs w:val="22"/>
        </w:rPr>
        <w:t xml:space="preserve"> </w:t>
      </w:r>
      <w:r w:rsidR="00931893" w:rsidRPr="00F11E73">
        <w:rPr>
          <w:sz w:val="22"/>
          <w:szCs w:val="22"/>
        </w:rPr>
        <w:t xml:space="preserve">The cross-sectional survey </w:t>
      </w:r>
      <w:r w:rsidR="00480BAE" w:rsidRPr="00F11E73">
        <w:rPr>
          <w:sz w:val="22"/>
          <w:szCs w:val="22"/>
        </w:rPr>
        <w:t>collected</w:t>
      </w:r>
      <w:r w:rsidR="00931893" w:rsidRPr="00F11E73">
        <w:rPr>
          <w:sz w:val="22"/>
          <w:szCs w:val="22"/>
        </w:rPr>
        <w:t xml:space="preserve"> demographic, socioeconomic, and biomarker</w:t>
      </w:r>
      <w:r w:rsidR="00CC1FC0" w:rsidRPr="00F11E73">
        <w:rPr>
          <w:sz w:val="22"/>
          <w:szCs w:val="22"/>
        </w:rPr>
        <w:t xml:space="preserve"> variables</w:t>
      </w:r>
      <w:r w:rsidR="00EB05FD" w:rsidRPr="00F11E73">
        <w:rPr>
          <w:sz w:val="22"/>
          <w:szCs w:val="22"/>
        </w:rPr>
        <w:t xml:space="preserve">. </w:t>
      </w:r>
      <w:r w:rsidR="005E6A72" w:rsidRPr="00F11E73">
        <w:rPr>
          <w:sz w:val="22"/>
          <w:szCs w:val="22"/>
        </w:rPr>
        <w:t>D</w:t>
      </w:r>
      <w:r w:rsidR="00931893" w:rsidRPr="00F11E73">
        <w:rPr>
          <w:sz w:val="22"/>
          <w:szCs w:val="22"/>
        </w:rPr>
        <w:t xml:space="preserve">eath </w:t>
      </w:r>
      <w:r w:rsidR="0086512D" w:rsidRPr="00F11E73">
        <w:rPr>
          <w:sz w:val="22"/>
          <w:szCs w:val="22"/>
        </w:rPr>
        <w:t>occurre</w:t>
      </w:r>
      <w:r w:rsidR="005E6A72" w:rsidRPr="00F11E73">
        <w:rPr>
          <w:sz w:val="22"/>
          <w:szCs w:val="22"/>
        </w:rPr>
        <w:t>nce during the follow-up</w:t>
      </w:r>
      <w:r w:rsidR="0086512D" w:rsidRPr="00F11E73">
        <w:rPr>
          <w:sz w:val="22"/>
          <w:szCs w:val="22"/>
        </w:rPr>
        <w:t xml:space="preserve"> </w:t>
      </w:r>
      <w:r w:rsidR="00931893" w:rsidRPr="00F11E73">
        <w:rPr>
          <w:sz w:val="22"/>
          <w:szCs w:val="22"/>
        </w:rPr>
        <w:t>was administered.</w:t>
      </w:r>
      <w:r w:rsidR="005D5B4C" w:rsidRPr="00F11E73">
        <w:rPr>
          <w:sz w:val="22"/>
          <w:szCs w:val="22"/>
        </w:rPr>
        <w:t xml:space="preserve"> The original impute dataset contains 11,258 observations. </w:t>
      </w:r>
      <w:r w:rsidR="00DC05C5" w:rsidRPr="00F11E73">
        <w:rPr>
          <w:sz w:val="22"/>
          <w:szCs w:val="22"/>
        </w:rPr>
        <w:t xml:space="preserve">After </w:t>
      </w:r>
      <w:r w:rsidR="005D5B4C" w:rsidRPr="00F11E73">
        <w:rPr>
          <w:sz w:val="22"/>
          <w:szCs w:val="22"/>
        </w:rPr>
        <w:t xml:space="preserve">excluding </w:t>
      </w:r>
      <w:r w:rsidR="00F23FA9" w:rsidRPr="00F11E73">
        <w:rPr>
          <w:sz w:val="22"/>
          <w:szCs w:val="22"/>
        </w:rPr>
        <w:t xml:space="preserve">2008 </w:t>
      </w:r>
      <w:r w:rsidR="005D5B4C" w:rsidRPr="00F11E73">
        <w:rPr>
          <w:sz w:val="22"/>
          <w:szCs w:val="22"/>
        </w:rPr>
        <w:t>observations with missing values in death status</w:t>
      </w:r>
      <w:r w:rsidR="003C6279" w:rsidRPr="00F11E73">
        <w:rPr>
          <w:sz w:val="22"/>
          <w:szCs w:val="22"/>
        </w:rPr>
        <w:t>, 4 observations without baseline myocardial infarction information, 6 observations without baseline hypertension information</w:t>
      </w:r>
      <w:r w:rsidR="005D5B4C" w:rsidRPr="00F11E73">
        <w:rPr>
          <w:sz w:val="22"/>
          <w:szCs w:val="22"/>
        </w:rPr>
        <w:t>, and excluding unreasonable</w:t>
      </w:r>
      <w:r w:rsidR="00F23FA9" w:rsidRPr="00F11E73">
        <w:rPr>
          <w:sz w:val="22"/>
          <w:szCs w:val="22"/>
        </w:rPr>
        <w:t xml:space="preserve"> and </w:t>
      </w:r>
      <w:r w:rsidR="005D5B4C" w:rsidRPr="00F11E73">
        <w:rPr>
          <w:sz w:val="22"/>
          <w:szCs w:val="22"/>
        </w:rPr>
        <w:t xml:space="preserve">age information (there are 32 observations whose </w:t>
      </w:r>
      <w:r w:rsidR="00F23FA9" w:rsidRPr="00F11E73">
        <w:rPr>
          <w:sz w:val="22"/>
          <w:szCs w:val="22"/>
        </w:rPr>
        <w:t xml:space="preserve">age </w:t>
      </w:r>
      <w:r w:rsidR="005D5B4C" w:rsidRPr="00F11E73">
        <w:rPr>
          <w:sz w:val="22"/>
          <w:szCs w:val="22"/>
        </w:rPr>
        <w:t xml:space="preserve">at baseline is greater or equal to the age at </w:t>
      </w:r>
      <w:r w:rsidR="00F23FA9" w:rsidRPr="00F11E73">
        <w:rPr>
          <w:sz w:val="22"/>
          <w:szCs w:val="22"/>
        </w:rPr>
        <w:t>last check), a total 0f 9</w:t>
      </w:r>
      <w:r w:rsidR="003C6279" w:rsidRPr="00F11E73">
        <w:rPr>
          <w:sz w:val="22"/>
          <w:szCs w:val="22"/>
        </w:rPr>
        <w:t>190</w:t>
      </w:r>
      <w:r w:rsidR="00F23FA9" w:rsidRPr="00F11E73">
        <w:rPr>
          <w:sz w:val="22"/>
          <w:szCs w:val="22"/>
        </w:rPr>
        <w:t xml:space="preserve"> observations </w:t>
      </w:r>
      <w:r w:rsidR="00480BAE" w:rsidRPr="00F11E73">
        <w:rPr>
          <w:sz w:val="22"/>
          <w:szCs w:val="22"/>
        </w:rPr>
        <w:t>were</w:t>
      </w:r>
      <w:r w:rsidR="00F23FA9" w:rsidRPr="00F11E73">
        <w:rPr>
          <w:sz w:val="22"/>
          <w:szCs w:val="22"/>
        </w:rPr>
        <w:t xml:space="preserve"> included in this study.</w:t>
      </w:r>
    </w:p>
    <w:p w14:paraId="7966BD15" w14:textId="77777777" w:rsidR="002B0300" w:rsidRPr="00F11E73" w:rsidRDefault="002B0300" w:rsidP="00F11E73">
      <w:pPr>
        <w:jc w:val="both"/>
        <w:rPr>
          <w:sz w:val="22"/>
          <w:szCs w:val="22"/>
        </w:rPr>
      </w:pPr>
    </w:p>
    <w:p w14:paraId="3BC0E898" w14:textId="69276178" w:rsidR="00D46405" w:rsidRPr="00F11E73" w:rsidRDefault="002B0300" w:rsidP="00F11E73">
      <w:pPr>
        <w:jc w:val="both"/>
        <w:rPr>
          <w:sz w:val="22"/>
          <w:szCs w:val="22"/>
        </w:rPr>
      </w:pPr>
      <w:r w:rsidRPr="00F11E73">
        <w:rPr>
          <w:sz w:val="22"/>
          <w:szCs w:val="22"/>
        </w:rPr>
        <w:t xml:space="preserve">The exposure </w:t>
      </w:r>
      <w:r w:rsidR="005E6A72" w:rsidRPr="00F11E73">
        <w:rPr>
          <w:sz w:val="22"/>
          <w:szCs w:val="22"/>
        </w:rPr>
        <w:t xml:space="preserve">in this study </w:t>
      </w:r>
      <w:r w:rsidRPr="00F11E73">
        <w:rPr>
          <w:sz w:val="22"/>
          <w:szCs w:val="22"/>
        </w:rPr>
        <w:t xml:space="preserve">is alcohol consumption (drinks/week) measured at baseline. </w:t>
      </w:r>
      <w:r w:rsidR="00F11E73" w:rsidRPr="00F11E73">
        <w:rPr>
          <w:sz w:val="22"/>
          <w:szCs w:val="22"/>
        </w:rPr>
        <w:t>The original exposure</w:t>
      </w:r>
      <w:r w:rsidR="003D5AD5" w:rsidRPr="00F11E73">
        <w:rPr>
          <w:sz w:val="22"/>
          <w:szCs w:val="22"/>
        </w:rPr>
        <w:t xml:space="preserve"> is </w:t>
      </w:r>
      <w:r w:rsidR="00F23FA9" w:rsidRPr="00F11E73">
        <w:rPr>
          <w:sz w:val="22"/>
          <w:szCs w:val="22"/>
        </w:rPr>
        <w:t>recorded as a</w:t>
      </w:r>
      <w:r w:rsidR="003D5AD5" w:rsidRPr="00F11E73">
        <w:rPr>
          <w:sz w:val="22"/>
          <w:szCs w:val="22"/>
        </w:rPr>
        <w:t xml:space="preserve"> continuous variable</w:t>
      </w:r>
      <w:r w:rsidR="005E6A72" w:rsidRPr="00F11E73">
        <w:rPr>
          <w:sz w:val="22"/>
          <w:szCs w:val="22"/>
        </w:rPr>
        <w:t xml:space="preserve"> with a large range (0 to 77 per week)</w:t>
      </w:r>
      <w:r w:rsidR="003D5AD5" w:rsidRPr="00F11E73">
        <w:rPr>
          <w:sz w:val="22"/>
          <w:szCs w:val="22"/>
        </w:rPr>
        <w:t>,</w:t>
      </w:r>
      <w:r w:rsidR="00F23FA9" w:rsidRPr="00F11E73">
        <w:rPr>
          <w:sz w:val="22"/>
          <w:szCs w:val="22"/>
        </w:rPr>
        <w:t xml:space="preserve"> and</w:t>
      </w:r>
      <w:r w:rsidR="00AC2642" w:rsidRPr="00F11E73">
        <w:rPr>
          <w:sz w:val="22"/>
          <w:szCs w:val="22"/>
        </w:rPr>
        <w:t xml:space="preserve"> we consider</w:t>
      </w:r>
      <w:r w:rsidR="00F11E73" w:rsidRPr="00F11E73">
        <w:rPr>
          <w:sz w:val="22"/>
          <w:szCs w:val="22"/>
        </w:rPr>
        <w:t>ed</w:t>
      </w:r>
      <w:r w:rsidR="00AC2642" w:rsidRPr="00F11E73">
        <w:rPr>
          <w:sz w:val="22"/>
          <w:szCs w:val="22"/>
        </w:rPr>
        <w:t xml:space="preserve"> continuous, </w:t>
      </w:r>
      <w:r w:rsidR="00611D99" w:rsidRPr="00F11E73">
        <w:rPr>
          <w:sz w:val="22"/>
          <w:szCs w:val="22"/>
        </w:rPr>
        <w:t>categorical</w:t>
      </w:r>
      <w:r w:rsidR="00AC2642" w:rsidRPr="00F11E73">
        <w:rPr>
          <w:sz w:val="22"/>
          <w:szCs w:val="22"/>
        </w:rPr>
        <w:t xml:space="preserve">, </w:t>
      </w:r>
      <w:r w:rsidR="00611D99" w:rsidRPr="00F11E73">
        <w:rPr>
          <w:sz w:val="22"/>
          <w:szCs w:val="22"/>
        </w:rPr>
        <w:t>and ordinal versions</w:t>
      </w:r>
      <w:r w:rsidR="00F11E73" w:rsidRPr="00F11E73">
        <w:rPr>
          <w:sz w:val="22"/>
          <w:szCs w:val="22"/>
        </w:rPr>
        <w:t xml:space="preserve">. </w:t>
      </w:r>
      <w:r w:rsidR="00F23FA9" w:rsidRPr="00F11E73">
        <w:rPr>
          <w:sz w:val="22"/>
          <w:szCs w:val="22"/>
        </w:rPr>
        <w:t>During exploratory analysis, w</w:t>
      </w:r>
      <w:r w:rsidR="00BE4BB7" w:rsidRPr="00F11E73">
        <w:rPr>
          <w:sz w:val="22"/>
          <w:szCs w:val="22"/>
        </w:rPr>
        <w:t xml:space="preserve">e found about 43.7% of people didn’t take alcohol per week. After excluding people with 0 alcohol </w:t>
      </w:r>
      <w:r w:rsidR="00F23FA9" w:rsidRPr="00F11E73">
        <w:rPr>
          <w:sz w:val="22"/>
          <w:szCs w:val="22"/>
        </w:rPr>
        <w:t>consumption</w:t>
      </w:r>
      <w:r w:rsidR="00BE4BB7" w:rsidRPr="00F11E73">
        <w:rPr>
          <w:sz w:val="22"/>
          <w:szCs w:val="22"/>
        </w:rPr>
        <w:t>, the minimum, median</w:t>
      </w:r>
      <w:r w:rsidR="004D1B6B" w:rsidRPr="00F11E73">
        <w:rPr>
          <w:sz w:val="22"/>
          <w:szCs w:val="22"/>
        </w:rPr>
        <w:t>,</w:t>
      </w:r>
      <w:r w:rsidR="00BE4BB7" w:rsidRPr="00F11E73">
        <w:rPr>
          <w:sz w:val="22"/>
          <w:szCs w:val="22"/>
        </w:rPr>
        <w:t xml:space="preserve"> and maximum alcohol </w:t>
      </w:r>
      <w:r w:rsidR="00F11E73" w:rsidRPr="00F11E73">
        <w:rPr>
          <w:sz w:val="22"/>
          <w:szCs w:val="22"/>
        </w:rPr>
        <w:t>consumption</w:t>
      </w:r>
      <w:r w:rsidR="00BE4BB7" w:rsidRPr="00F11E73">
        <w:rPr>
          <w:sz w:val="22"/>
          <w:szCs w:val="22"/>
        </w:rPr>
        <w:t xml:space="preserve"> were 0.5, 2.0, and 77.0 per week. </w:t>
      </w:r>
      <w:r w:rsidR="00C82B76" w:rsidRPr="00F11E73">
        <w:rPr>
          <w:sz w:val="22"/>
          <w:szCs w:val="22"/>
        </w:rPr>
        <w:t>Thus,</w:t>
      </w:r>
      <w:r w:rsidR="00BE4BB7" w:rsidRPr="00F11E73">
        <w:rPr>
          <w:sz w:val="22"/>
          <w:szCs w:val="22"/>
        </w:rPr>
        <w:t xml:space="preserve"> we divided people into </w:t>
      </w:r>
      <w:r w:rsidR="004D1B6B" w:rsidRPr="00F11E73">
        <w:rPr>
          <w:sz w:val="22"/>
          <w:szCs w:val="22"/>
        </w:rPr>
        <w:t>four</w:t>
      </w:r>
      <w:r w:rsidR="00BE4BB7" w:rsidRPr="00F11E73">
        <w:rPr>
          <w:sz w:val="22"/>
          <w:szCs w:val="22"/>
        </w:rPr>
        <w:t xml:space="preserve"> groups</w:t>
      </w:r>
      <w:r w:rsidR="003C35D9" w:rsidRPr="00F11E73">
        <w:rPr>
          <w:sz w:val="22"/>
          <w:szCs w:val="22"/>
        </w:rPr>
        <w:t xml:space="preserve"> based on their alcohol</w:t>
      </w:r>
      <w:r w:rsidR="00F11E73" w:rsidRPr="00F11E73">
        <w:rPr>
          <w:sz w:val="22"/>
          <w:szCs w:val="22"/>
        </w:rPr>
        <w:t xml:space="preserve"> consumption</w:t>
      </w:r>
      <w:r w:rsidR="003C35D9" w:rsidRPr="00F11E73">
        <w:rPr>
          <w:sz w:val="22"/>
          <w:szCs w:val="22"/>
        </w:rPr>
        <w:t>: 0 per week, 0-0.5 drinks per week, 0.5-2 drinks per week</w:t>
      </w:r>
      <w:r w:rsidR="004D1B6B" w:rsidRPr="00F11E73">
        <w:rPr>
          <w:sz w:val="22"/>
          <w:szCs w:val="22"/>
        </w:rPr>
        <w:t>,</w:t>
      </w:r>
      <w:r w:rsidR="003C35D9" w:rsidRPr="00F11E73">
        <w:rPr>
          <w:sz w:val="22"/>
          <w:szCs w:val="22"/>
        </w:rPr>
        <w:t xml:space="preserve"> and &gt;2 drinks per week. </w:t>
      </w:r>
      <w:r w:rsidR="00F23FA9" w:rsidRPr="00F11E73">
        <w:rPr>
          <w:sz w:val="22"/>
          <w:szCs w:val="22"/>
        </w:rPr>
        <w:t>Categorical and continuous version of the exposure were included in the models to test the potential non-linear relationship, as well as to mitigate the influence of leverage values of alcohol consumption. Ordinal versions of the exposure were used to compute the p-value for trend of categorical variables. For the 4 categories, we assign</w:t>
      </w:r>
      <w:r w:rsidR="00F11E73" w:rsidRPr="00F11E73">
        <w:rPr>
          <w:sz w:val="22"/>
          <w:szCs w:val="22"/>
        </w:rPr>
        <w:t>ed</w:t>
      </w:r>
      <w:r w:rsidR="00F23FA9" w:rsidRPr="00F11E73">
        <w:rPr>
          <w:sz w:val="22"/>
          <w:szCs w:val="22"/>
        </w:rPr>
        <w:t xml:space="preserve"> the numerical value of 1 to 4 to each group</w:t>
      </w:r>
      <w:r w:rsidR="00F11E73" w:rsidRPr="00F11E73">
        <w:rPr>
          <w:sz w:val="22"/>
          <w:szCs w:val="22"/>
        </w:rPr>
        <w:t>, i.e.,</w:t>
      </w:r>
      <w:r w:rsidR="00F23FA9" w:rsidRPr="00F11E73">
        <w:rPr>
          <w:sz w:val="22"/>
          <w:szCs w:val="22"/>
        </w:rPr>
        <w:t xml:space="preserve"> the ordinal version of the alcohol consumption. Then this ordinal version of the exposure was included in the model and a p-value for the ordinal variable was reported, i.e., p-value for trend.</w:t>
      </w:r>
    </w:p>
    <w:p w14:paraId="67812BD1" w14:textId="41A65FA8" w:rsidR="00611D99" w:rsidRDefault="00611D99" w:rsidP="00F11E73">
      <w:pPr>
        <w:jc w:val="both"/>
        <w:rPr>
          <w:sz w:val="22"/>
          <w:szCs w:val="22"/>
        </w:rPr>
      </w:pPr>
    </w:p>
    <w:p w14:paraId="26B09975" w14:textId="32B4BF6B" w:rsidR="006D693D" w:rsidRPr="00B41FCD" w:rsidRDefault="006D693D" w:rsidP="00F11E73">
      <w:pPr>
        <w:jc w:val="both"/>
        <w:rPr>
          <w:rFonts w:eastAsiaTheme="minorEastAsia"/>
          <w:sz w:val="22"/>
          <w:szCs w:val="22"/>
        </w:rPr>
      </w:pPr>
      <w:r>
        <w:rPr>
          <w:sz w:val="22"/>
          <w:szCs w:val="22"/>
        </w:rPr>
        <w:t xml:space="preserve">We also included following variables as confounders in this study: sex, age (continuous), race (White, Black, and others), martial status (categorical), average smoking cigarettes per day (continuous), hypertension status at baseline (yes vs. no), average red blood cells at baseline (continuous), diagnosed </w:t>
      </w:r>
      <w:r w:rsidRPr="00F11E73">
        <w:rPr>
          <w:sz w:val="22"/>
          <w:szCs w:val="22"/>
        </w:rPr>
        <w:t>myocardial infarction</w:t>
      </w:r>
      <w:r>
        <w:rPr>
          <w:sz w:val="22"/>
          <w:szCs w:val="22"/>
        </w:rPr>
        <w:t xml:space="preserve"> at baseline (yes vs. no), diabetes at baseline (continuous), s</w:t>
      </w:r>
      <w:r w:rsidRPr="00F11E73">
        <w:rPr>
          <w:sz w:val="22"/>
          <w:szCs w:val="22"/>
        </w:rPr>
        <w:t xml:space="preserve">ize of </w:t>
      </w:r>
      <w:r>
        <w:rPr>
          <w:sz w:val="22"/>
          <w:szCs w:val="22"/>
        </w:rPr>
        <w:t xml:space="preserve">residence </w:t>
      </w:r>
      <w:r w:rsidRPr="00F11E73">
        <w:rPr>
          <w:sz w:val="22"/>
          <w:szCs w:val="22"/>
        </w:rPr>
        <w:t>place</w:t>
      </w:r>
      <w:r>
        <w:rPr>
          <w:sz w:val="22"/>
          <w:szCs w:val="22"/>
        </w:rPr>
        <w:t xml:space="preserve"> (categorical), and urban region (yes vs. no).</w:t>
      </w:r>
      <w:r w:rsidR="00B41FCD">
        <w:rPr>
          <w:sz w:val="22"/>
          <w:szCs w:val="22"/>
        </w:rPr>
        <w:t xml:space="preserve"> Descriptive statistics were conducted to describe the distribution of these covariates by alcohol consumption groups. Chi-squared test and analysis of variance were used for categorical and continuous variable respectively. The imbalance distribution indicated potential confounding which would be considered when modeling the outcome.</w:t>
      </w:r>
    </w:p>
    <w:p w14:paraId="6412D5F1" w14:textId="77777777" w:rsidR="006D693D" w:rsidRPr="00F11E73" w:rsidRDefault="006D693D" w:rsidP="00F11E73">
      <w:pPr>
        <w:jc w:val="both"/>
        <w:rPr>
          <w:sz w:val="22"/>
          <w:szCs w:val="22"/>
        </w:rPr>
      </w:pPr>
    </w:p>
    <w:p w14:paraId="7FB75074" w14:textId="58195399" w:rsidR="00EF26C0" w:rsidRPr="00F11E73" w:rsidRDefault="00C83140" w:rsidP="00F11E73">
      <w:pPr>
        <w:jc w:val="both"/>
        <w:rPr>
          <w:sz w:val="22"/>
          <w:szCs w:val="22"/>
        </w:rPr>
      </w:pPr>
      <w:r w:rsidRPr="00F11E73">
        <w:rPr>
          <w:sz w:val="22"/>
          <w:szCs w:val="22"/>
        </w:rPr>
        <w:t>The outcome in this study is</w:t>
      </w:r>
      <w:r w:rsidR="002B0300" w:rsidRPr="00F11E73">
        <w:rPr>
          <w:sz w:val="22"/>
          <w:szCs w:val="22"/>
        </w:rPr>
        <w:t xml:space="preserve"> </w:t>
      </w:r>
      <w:r w:rsidR="004D7851" w:rsidRPr="00F11E73">
        <w:rPr>
          <w:sz w:val="22"/>
          <w:szCs w:val="22"/>
        </w:rPr>
        <w:t>the</w:t>
      </w:r>
      <w:r w:rsidRPr="00F11E73">
        <w:rPr>
          <w:sz w:val="22"/>
          <w:szCs w:val="22"/>
        </w:rPr>
        <w:t xml:space="preserve"> risk of death during the follow-up</w:t>
      </w:r>
      <w:r w:rsidR="002B0300" w:rsidRPr="00F11E73">
        <w:rPr>
          <w:sz w:val="22"/>
          <w:szCs w:val="22"/>
        </w:rPr>
        <w:t xml:space="preserve">. </w:t>
      </w:r>
      <w:r w:rsidRPr="00F11E73">
        <w:rPr>
          <w:sz w:val="22"/>
          <w:szCs w:val="22"/>
        </w:rPr>
        <w:t xml:space="preserve">The event time is recorded as time to death of cancer, or time to censoring, or time to death from other causes, whichever comes first. </w:t>
      </w:r>
      <w:r w:rsidR="00D84B0E" w:rsidRPr="00F11E73">
        <w:rPr>
          <w:sz w:val="22"/>
          <w:szCs w:val="22"/>
        </w:rPr>
        <w:t xml:space="preserve">In our analysis, </w:t>
      </w:r>
      <w:r w:rsidR="005E6A72" w:rsidRPr="00F11E73">
        <w:rPr>
          <w:sz w:val="22"/>
          <w:szCs w:val="22"/>
        </w:rPr>
        <w:t>death from other causes</w:t>
      </w:r>
      <w:r w:rsidR="004D7851" w:rsidRPr="00F11E73">
        <w:rPr>
          <w:sz w:val="22"/>
          <w:szCs w:val="22"/>
        </w:rPr>
        <w:t xml:space="preserve"> </w:t>
      </w:r>
      <w:r w:rsidR="005E6A72" w:rsidRPr="00F11E73">
        <w:rPr>
          <w:sz w:val="22"/>
          <w:szCs w:val="22"/>
        </w:rPr>
        <w:t xml:space="preserve">served as </w:t>
      </w:r>
      <w:r w:rsidR="00D84B0E" w:rsidRPr="00F11E73">
        <w:rPr>
          <w:sz w:val="22"/>
          <w:szCs w:val="22"/>
        </w:rPr>
        <w:t>competing risks</w:t>
      </w:r>
      <w:r w:rsidRPr="00F11E73">
        <w:rPr>
          <w:sz w:val="22"/>
          <w:szCs w:val="22"/>
        </w:rPr>
        <w:t xml:space="preserve"> and we treated them as censoring. This simplified procedure to deal with competing risks yields valid cause-specific hazard in Cox models, but its unbiasedness in Poisson and logistic models is not clear.</w:t>
      </w:r>
      <w:r w:rsidR="00D84B0E" w:rsidRPr="00F11E73">
        <w:rPr>
          <w:sz w:val="22"/>
          <w:szCs w:val="22"/>
        </w:rPr>
        <w:t xml:space="preserve"> </w:t>
      </w:r>
      <w:r w:rsidRPr="00F11E73">
        <w:rPr>
          <w:sz w:val="22"/>
          <w:szCs w:val="22"/>
        </w:rPr>
        <w:t xml:space="preserve">Thus, we decided to use Cox models as the main analysis and </w:t>
      </w:r>
      <w:r w:rsidR="00F11E73" w:rsidRPr="00F11E73">
        <w:rPr>
          <w:sz w:val="22"/>
          <w:szCs w:val="22"/>
        </w:rPr>
        <w:t xml:space="preserve">to </w:t>
      </w:r>
      <w:r w:rsidRPr="00F11E73">
        <w:rPr>
          <w:sz w:val="22"/>
          <w:szCs w:val="22"/>
        </w:rPr>
        <w:t xml:space="preserve">conduct Poisson and logistic models as sensitivity analysis. </w:t>
      </w:r>
      <w:r w:rsidR="00DC05C5" w:rsidRPr="00F11E73">
        <w:rPr>
          <w:sz w:val="22"/>
          <w:szCs w:val="22"/>
        </w:rPr>
        <w:t xml:space="preserve">In the main analysis, </w:t>
      </w:r>
      <w:r w:rsidR="006E512C" w:rsidRPr="00F11E73">
        <w:rPr>
          <w:sz w:val="22"/>
          <w:szCs w:val="22"/>
        </w:rPr>
        <w:t>we</w:t>
      </w:r>
      <w:r w:rsidR="00EF26C0" w:rsidRPr="00F11E73">
        <w:rPr>
          <w:sz w:val="22"/>
          <w:szCs w:val="22"/>
        </w:rPr>
        <w:t xml:space="preserve"> conducted Cox</w:t>
      </w:r>
      <w:r w:rsidR="00AC2642" w:rsidRPr="00F11E73">
        <w:rPr>
          <w:sz w:val="22"/>
          <w:szCs w:val="22"/>
        </w:rPr>
        <w:t xml:space="preserve"> </w:t>
      </w:r>
      <w:r w:rsidR="00EF26C0" w:rsidRPr="00F11E73">
        <w:rPr>
          <w:sz w:val="22"/>
          <w:szCs w:val="22"/>
        </w:rPr>
        <w:t>proportional hazard models for our main research question</w:t>
      </w:r>
      <w:r w:rsidR="000F49B0" w:rsidRPr="00F11E73">
        <w:rPr>
          <w:sz w:val="22"/>
          <w:szCs w:val="22"/>
        </w:rPr>
        <w:t>.</w:t>
      </w:r>
      <w:r w:rsidR="00CB4B45" w:rsidRPr="00F11E73">
        <w:rPr>
          <w:sz w:val="22"/>
          <w:szCs w:val="22"/>
        </w:rPr>
        <w:t xml:space="preserve"> </w:t>
      </w:r>
      <w:r w:rsidR="00DC05C5" w:rsidRPr="00F11E73">
        <w:rPr>
          <w:sz w:val="22"/>
          <w:szCs w:val="22"/>
        </w:rPr>
        <w:t>W</w:t>
      </w:r>
      <w:r w:rsidR="00AC2642" w:rsidRPr="00F11E73">
        <w:rPr>
          <w:sz w:val="22"/>
          <w:szCs w:val="22"/>
        </w:rPr>
        <w:t xml:space="preserve">e considered </w:t>
      </w:r>
      <w:r w:rsidR="00EF26C0" w:rsidRPr="00F11E73">
        <w:rPr>
          <w:sz w:val="22"/>
          <w:szCs w:val="22"/>
        </w:rPr>
        <w:t>two</w:t>
      </w:r>
      <w:r w:rsidR="00633505" w:rsidRPr="00F11E73">
        <w:rPr>
          <w:sz w:val="22"/>
          <w:szCs w:val="22"/>
        </w:rPr>
        <w:t xml:space="preserve"> settings for</w:t>
      </w:r>
      <w:r w:rsidR="00AC2642" w:rsidRPr="00F11E73">
        <w:rPr>
          <w:sz w:val="22"/>
          <w:szCs w:val="22"/>
        </w:rPr>
        <w:t xml:space="preserve"> </w:t>
      </w:r>
      <w:r w:rsidR="00EF26C0" w:rsidRPr="00F11E73">
        <w:rPr>
          <w:sz w:val="22"/>
          <w:szCs w:val="22"/>
        </w:rPr>
        <w:t>time</w:t>
      </w:r>
      <w:r w:rsidR="00633505" w:rsidRPr="00F11E73">
        <w:rPr>
          <w:sz w:val="22"/>
          <w:szCs w:val="22"/>
        </w:rPr>
        <w:t xml:space="preserve"> </w:t>
      </w:r>
      <w:r w:rsidR="00EF26C0" w:rsidRPr="00F11E73">
        <w:rPr>
          <w:sz w:val="22"/>
          <w:szCs w:val="22"/>
        </w:rPr>
        <w:t>scale</w:t>
      </w:r>
      <w:r w:rsidR="00BC74C9" w:rsidRPr="00F11E73">
        <w:rPr>
          <w:sz w:val="22"/>
          <w:szCs w:val="22"/>
        </w:rPr>
        <w:t xml:space="preserve"> (The conceptual framework is shown in </w:t>
      </w:r>
      <w:r w:rsidR="004F59EA" w:rsidRPr="00F11E73">
        <w:rPr>
          <w:sz w:val="22"/>
          <w:szCs w:val="22"/>
        </w:rPr>
        <w:t xml:space="preserve">Appendix </w:t>
      </w:r>
      <w:r w:rsidR="00BC74C9" w:rsidRPr="00F11E73">
        <w:rPr>
          <w:sz w:val="22"/>
          <w:szCs w:val="22"/>
        </w:rPr>
        <w:t>1)</w:t>
      </w:r>
      <w:r w:rsidR="00EF26C0" w:rsidRPr="00F11E73">
        <w:rPr>
          <w:sz w:val="22"/>
          <w:szCs w:val="22"/>
        </w:rPr>
        <w:t>:</w:t>
      </w:r>
    </w:p>
    <w:p w14:paraId="25C1F25A" w14:textId="11218DC7" w:rsidR="002E3A49" w:rsidRPr="00F11E73" w:rsidRDefault="00EF26C0" w:rsidP="00F11E73">
      <w:pPr>
        <w:pStyle w:val="ListParagraph"/>
        <w:numPr>
          <w:ilvl w:val="0"/>
          <w:numId w:val="2"/>
        </w:numPr>
        <w:spacing w:line="240" w:lineRule="auto"/>
        <w:jc w:val="both"/>
        <w:rPr>
          <w:rFonts w:ascii="Times New Roman" w:hAnsi="Times New Roman" w:cs="Times New Roman"/>
        </w:rPr>
      </w:pPr>
      <w:r w:rsidRPr="00F11E73">
        <w:rPr>
          <w:rFonts w:ascii="Times New Roman" w:hAnsi="Times New Roman" w:cs="Times New Roman"/>
        </w:rPr>
        <w:t xml:space="preserve">Given the cross-sectional nature of the data, alcohol intake can be perceived as a prevalent intake, which could induce the “prevalent user” bias. To </w:t>
      </w:r>
      <w:r w:rsidR="00FA0DF4" w:rsidRPr="00F11E73">
        <w:rPr>
          <w:rFonts w:ascii="Times New Roman" w:hAnsi="Times New Roman" w:cs="Times New Roman"/>
        </w:rPr>
        <w:t xml:space="preserve">acknowledge that the alcohol consumption might happen before the baseline, </w:t>
      </w:r>
      <w:r w:rsidRPr="00F11E73">
        <w:rPr>
          <w:rFonts w:ascii="Times New Roman" w:hAnsi="Times New Roman" w:cs="Times New Roman"/>
        </w:rPr>
        <w:t xml:space="preserve">we </w:t>
      </w:r>
      <w:r w:rsidR="00C57400" w:rsidRPr="00F11E73">
        <w:rPr>
          <w:rFonts w:ascii="Times New Roman" w:hAnsi="Times New Roman" w:cs="Times New Roman"/>
        </w:rPr>
        <w:t>chose</w:t>
      </w:r>
      <w:r w:rsidRPr="00F11E73">
        <w:rPr>
          <w:rFonts w:ascii="Times New Roman" w:hAnsi="Times New Roman" w:cs="Times New Roman"/>
        </w:rPr>
        <w:t xml:space="preserve"> age as the time scale. </w:t>
      </w:r>
      <w:r w:rsidR="00FA0DF4" w:rsidRPr="00F11E73">
        <w:rPr>
          <w:rFonts w:ascii="Times New Roman" w:hAnsi="Times New Roman" w:cs="Times New Roman"/>
        </w:rPr>
        <w:t>set the age of 21 to be the time origin. Following</w:t>
      </w:r>
      <w:r w:rsidRPr="00F11E73">
        <w:rPr>
          <w:rFonts w:ascii="Times New Roman" w:hAnsi="Times New Roman" w:cs="Times New Roman"/>
        </w:rPr>
        <w:t xml:space="preserve"> this approach, we conducted a crude model and a </w:t>
      </w:r>
      <w:r w:rsidR="00FA0DF4" w:rsidRPr="00F11E73">
        <w:rPr>
          <w:rFonts w:ascii="Times New Roman" w:hAnsi="Times New Roman" w:cs="Times New Roman"/>
        </w:rPr>
        <w:t>Multivariate</w:t>
      </w:r>
      <w:r w:rsidRPr="00F11E73">
        <w:rPr>
          <w:rFonts w:ascii="Times New Roman" w:hAnsi="Times New Roman" w:cs="Times New Roman"/>
        </w:rPr>
        <w:t>-adjusted</w:t>
      </w:r>
      <w:r w:rsidR="00FA0DF4" w:rsidRPr="00F11E73">
        <w:rPr>
          <w:rFonts w:ascii="Times New Roman" w:hAnsi="Times New Roman" w:cs="Times New Roman"/>
        </w:rPr>
        <w:t xml:space="preserve"> (MV-adjusted)</w:t>
      </w:r>
      <w:r w:rsidRPr="00F11E73">
        <w:rPr>
          <w:rFonts w:ascii="Times New Roman" w:hAnsi="Times New Roman" w:cs="Times New Roman"/>
        </w:rPr>
        <w:t xml:space="preserve"> model. The </w:t>
      </w:r>
      <w:r w:rsidR="00F71AC0" w:rsidRPr="00F11E73">
        <w:rPr>
          <w:rFonts w:ascii="Times New Roman" w:hAnsi="Times New Roman" w:cs="Times New Roman"/>
        </w:rPr>
        <w:t>MV</w:t>
      </w:r>
      <w:r w:rsidRPr="00F11E73">
        <w:rPr>
          <w:rFonts w:ascii="Times New Roman" w:hAnsi="Times New Roman" w:cs="Times New Roman"/>
        </w:rPr>
        <w:t>-adjusted model only adjusted for sex and covariates related to socio-economic status.</w:t>
      </w:r>
      <w:r w:rsidR="000834EB" w:rsidRPr="00F11E73">
        <w:rPr>
          <w:rFonts w:ascii="Times New Roman" w:hAnsi="Times New Roman" w:cs="Times New Roman"/>
        </w:rPr>
        <w:t xml:space="preserve"> Baseline age was not adjusted since age was set as the time scale, and w</w:t>
      </w:r>
      <w:r w:rsidRPr="00F11E73">
        <w:rPr>
          <w:rFonts w:ascii="Times New Roman" w:hAnsi="Times New Roman" w:cs="Times New Roman"/>
        </w:rPr>
        <w:t xml:space="preserve">e did not include any biomarkers, biometrics, </w:t>
      </w:r>
      <w:r w:rsidR="00DC05C5" w:rsidRPr="00F11E73">
        <w:rPr>
          <w:rFonts w:ascii="Times New Roman" w:hAnsi="Times New Roman" w:cs="Times New Roman"/>
        </w:rPr>
        <w:t>or</w:t>
      </w:r>
      <w:r w:rsidRPr="00F11E73">
        <w:rPr>
          <w:rFonts w:ascii="Times New Roman" w:hAnsi="Times New Roman" w:cs="Times New Roman"/>
        </w:rPr>
        <w:t xml:space="preserve"> disease status at baseline since they might be the consequence of the p</w:t>
      </w:r>
      <w:r w:rsidR="00DC05C5" w:rsidRPr="00F11E73">
        <w:rPr>
          <w:rFonts w:ascii="Times New Roman" w:hAnsi="Times New Roman" w:cs="Times New Roman"/>
        </w:rPr>
        <w:t>rior</w:t>
      </w:r>
      <w:r w:rsidRPr="00F11E73">
        <w:rPr>
          <w:rFonts w:ascii="Times New Roman" w:hAnsi="Times New Roman" w:cs="Times New Roman"/>
        </w:rPr>
        <w:t xml:space="preserve"> alcohol intake. </w:t>
      </w:r>
    </w:p>
    <w:p w14:paraId="26F88ADD" w14:textId="77777777" w:rsidR="00F11E73" w:rsidRPr="00F11E73" w:rsidRDefault="00EF26C0" w:rsidP="00F11E73">
      <w:pPr>
        <w:pStyle w:val="ListParagraph"/>
        <w:numPr>
          <w:ilvl w:val="0"/>
          <w:numId w:val="2"/>
        </w:numPr>
        <w:spacing w:line="240" w:lineRule="auto"/>
        <w:jc w:val="both"/>
        <w:rPr>
          <w:rFonts w:ascii="Times New Roman" w:hAnsi="Times New Roman" w:cs="Times New Roman"/>
        </w:rPr>
      </w:pPr>
      <w:r w:rsidRPr="00F11E73">
        <w:rPr>
          <w:rFonts w:ascii="Times New Roman" w:hAnsi="Times New Roman" w:cs="Times New Roman"/>
        </w:rPr>
        <w:t>The second approach is setting</w:t>
      </w:r>
      <w:r w:rsidR="00FA0DF4" w:rsidRPr="00F11E73">
        <w:rPr>
          <w:rFonts w:ascii="Times New Roman" w:hAnsi="Times New Roman" w:cs="Times New Roman"/>
        </w:rPr>
        <w:t xml:space="preserve"> the survey</w:t>
      </w:r>
      <w:r w:rsidRPr="00F11E73">
        <w:rPr>
          <w:rFonts w:ascii="Times New Roman" w:hAnsi="Times New Roman" w:cs="Times New Roman"/>
        </w:rPr>
        <w:t xml:space="preserve"> baseline as the time origin, and time since entry is the time scale. We conducted a crude model, a model adjusting for baseline age, and a </w:t>
      </w:r>
      <w:r w:rsidR="00F71AC0" w:rsidRPr="00F11E73">
        <w:rPr>
          <w:rFonts w:ascii="Times New Roman" w:hAnsi="Times New Roman" w:cs="Times New Roman"/>
        </w:rPr>
        <w:t>MV</w:t>
      </w:r>
      <w:r w:rsidRPr="00F11E73">
        <w:rPr>
          <w:rFonts w:ascii="Times New Roman" w:hAnsi="Times New Roman" w:cs="Times New Roman"/>
        </w:rPr>
        <w:t xml:space="preserve">-adjusted model. In the </w:t>
      </w:r>
      <w:r w:rsidR="00F71AC0" w:rsidRPr="00F11E73">
        <w:rPr>
          <w:rFonts w:ascii="Times New Roman" w:hAnsi="Times New Roman" w:cs="Times New Roman"/>
        </w:rPr>
        <w:t>MV</w:t>
      </w:r>
      <w:r w:rsidRPr="00F11E73">
        <w:rPr>
          <w:rFonts w:ascii="Times New Roman" w:hAnsi="Times New Roman" w:cs="Times New Roman"/>
        </w:rPr>
        <w:t xml:space="preserve">-adjusted model, </w:t>
      </w:r>
      <w:r w:rsidRPr="00F11E73">
        <w:rPr>
          <w:rFonts w:ascii="Times New Roman" w:hAnsi="Times New Roman" w:cs="Times New Roman"/>
        </w:rPr>
        <w:lastRenderedPageBreak/>
        <w:t xml:space="preserve">we adjusted for </w:t>
      </w:r>
      <w:r w:rsidR="00DA3358" w:rsidRPr="00F11E73">
        <w:rPr>
          <w:rFonts w:ascii="Times New Roman" w:hAnsi="Times New Roman" w:cs="Times New Roman"/>
        </w:rPr>
        <w:t xml:space="preserve">age, sex, and some biomarkers and disease status at baseline; we considered these variables as </w:t>
      </w:r>
      <w:r w:rsidRPr="00F11E73">
        <w:rPr>
          <w:rFonts w:ascii="Times New Roman" w:hAnsi="Times New Roman" w:cs="Times New Roman"/>
        </w:rPr>
        <w:t xml:space="preserve">confounders </w:t>
      </w:r>
      <w:r w:rsidR="00DA3358" w:rsidRPr="00F11E73">
        <w:rPr>
          <w:rFonts w:ascii="Times New Roman" w:hAnsi="Times New Roman" w:cs="Times New Roman"/>
        </w:rPr>
        <w:t>since they</w:t>
      </w:r>
      <w:r w:rsidRPr="00F11E73">
        <w:rPr>
          <w:rFonts w:ascii="Times New Roman" w:hAnsi="Times New Roman" w:cs="Times New Roman"/>
        </w:rPr>
        <w:t xml:space="preserve"> are reasonable common causes of prevalent alcohol intake and future risk of death because of cancer. </w:t>
      </w:r>
    </w:p>
    <w:p w14:paraId="51BBEEDF" w14:textId="1D57DBC0" w:rsidR="00F11E73" w:rsidRPr="00F11E73" w:rsidRDefault="004D626E" w:rsidP="00F11E73">
      <w:pPr>
        <w:jc w:val="both"/>
        <w:rPr>
          <w:rFonts w:eastAsiaTheme="minorEastAsia"/>
          <w:sz w:val="22"/>
          <w:szCs w:val="22"/>
        </w:rPr>
      </w:pPr>
      <w:r w:rsidRPr="00F11E73">
        <w:rPr>
          <w:sz w:val="22"/>
          <w:szCs w:val="22"/>
        </w:rPr>
        <w:t>We explored the potential effect modifications by sex through three approaches: (1) including a product term by sex and alcohol consumption in the MV-adjusted Cox model without stratification; (2) conducting stratified Cox regression</w:t>
      </w:r>
      <w:r w:rsidR="00F11E73">
        <w:rPr>
          <w:sz w:val="22"/>
          <w:szCs w:val="22"/>
        </w:rPr>
        <w:t>s</w:t>
      </w:r>
      <w:r w:rsidRPr="00F11E73">
        <w:rPr>
          <w:sz w:val="22"/>
          <w:szCs w:val="22"/>
        </w:rPr>
        <w:t xml:space="preserve"> by </w:t>
      </w:r>
      <w:r w:rsidR="00BC1FA8" w:rsidRPr="00F11E73">
        <w:rPr>
          <w:sz w:val="22"/>
          <w:szCs w:val="22"/>
        </w:rPr>
        <w:t>sex and including</w:t>
      </w:r>
      <w:r w:rsidRPr="00F11E73">
        <w:rPr>
          <w:sz w:val="22"/>
          <w:szCs w:val="22"/>
        </w:rPr>
        <w:t xml:space="preserve"> an interaction term </w:t>
      </w:r>
      <w:r w:rsidR="00BC1FA8" w:rsidRPr="00F11E73">
        <w:rPr>
          <w:sz w:val="22"/>
          <w:szCs w:val="22"/>
        </w:rPr>
        <w:t xml:space="preserve">by </w:t>
      </w:r>
      <w:r w:rsidRPr="00F11E73">
        <w:rPr>
          <w:sz w:val="22"/>
          <w:szCs w:val="22"/>
        </w:rPr>
        <w:t>sex and alcohol intake</w:t>
      </w:r>
      <w:r w:rsidR="00BC1FA8" w:rsidRPr="00F11E73">
        <w:rPr>
          <w:sz w:val="22"/>
          <w:szCs w:val="22"/>
        </w:rPr>
        <w:t>;</w:t>
      </w:r>
      <w:r w:rsidRPr="00F11E73">
        <w:rPr>
          <w:sz w:val="22"/>
          <w:szCs w:val="22"/>
        </w:rPr>
        <w:t xml:space="preserve"> and (3) performing Cox regressions in males and females separately (as subgroup analysis). </w:t>
      </w:r>
      <w:r w:rsidR="00BC1FA8" w:rsidRPr="00F11E73">
        <w:rPr>
          <w:sz w:val="22"/>
          <w:szCs w:val="22"/>
        </w:rPr>
        <w:t xml:space="preserve">The difference between approaches (1) and (2) is that in approach (1) we allowed the hazard ratio (HR) to vary with sex while in approach (2) we </w:t>
      </w:r>
      <w:r w:rsidR="006D693D">
        <w:rPr>
          <w:sz w:val="22"/>
          <w:szCs w:val="22"/>
        </w:rPr>
        <w:t>additionally allowed the baseline</w:t>
      </w:r>
      <w:r w:rsidR="00BC1FA8" w:rsidRPr="00F11E73">
        <w:rPr>
          <w:sz w:val="22"/>
          <w:szCs w:val="22"/>
        </w:rPr>
        <w:t xml:space="preserve"> </w:t>
      </w:r>
      <w:r w:rsidR="006D693D">
        <w:rPr>
          <w:sz w:val="22"/>
          <w:szCs w:val="22"/>
        </w:rPr>
        <w:t xml:space="preserve">hazard function </w:t>
      </w:r>
      <w:r w:rsidR="00BC1FA8" w:rsidRPr="00F11E73">
        <w:rPr>
          <w:sz w:val="22"/>
          <w:szCs w:val="22"/>
        </w:rPr>
        <w:t>to vary with sex.</w:t>
      </w:r>
      <w:r w:rsidR="00BC1FA8" w:rsidRPr="00F11E73">
        <w:rPr>
          <w:rFonts w:eastAsiaTheme="minorEastAsia"/>
          <w:sz w:val="22"/>
          <w:szCs w:val="22"/>
        </w:rPr>
        <w:t xml:space="preserve"> </w:t>
      </w:r>
      <w:r w:rsidRPr="00F11E73">
        <w:rPr>
          <w:sz w:val="22"/>
          <w:szCs w:val="22"/>
        </w:rPr>
        <w:t>Wald-tests were utilized to test the significance of effect modification.</w:t>
      </w:r>
    </w:p>
    <w:p w14:paraId="56A2CB81" w14:textId="77777777" w:rsidR="00F11E73" w:rsidRPr="00F11E73" w:rsidRDefault="00F11E73" w:rsidP="00F11E73">
      <w:pPr>
        <w:ind w:left="360"/>
        <w:jc w:val="both"/>
        <w:rPr>
          <w:rFonts w:eastAsiaTheme="minorEastAsia"/>
          <w:sz w:val="22"/>
          <w:szCs w:val="22"/>
        </w:rPr>
      </w:pPr>
    </w:p>
    <w:p w14:paraId="15E736BE" w14:textId="31C7BCCD" w:rsidR="00716D2C" w:rsidRPr="00F11E73" w:rsidRDefault="00BC1FA8" w:rsidP="00F11E73">
      <w:pPr>
        <w:jc w:val="both"/>
        <w:rPr>
          <w:rFonts w:eastAsiaTheme="minorEastAsia"/>
          <w:sz w:val="22"/>
          <w:szCs w:val="22"/>
        </w:rPr>
      </w:pPr>
      <w:r w:rsidRPr="00F11E73">
        <w:rPr>
          <w:sz w:val="22"/>
          <w:szCs w:val="22"/>
        </w:rPr>
        <w:t>W</w:t>
      </w:r>
      <w:r w:rsidR="00716D2C" w:rsidRPr="00F11E73">
        <w:rPr>
          <w:sz w:val="22"/>
          <w:szCs w:val="22"/>
        </w:rPr>
        <w:t>e checked the proportional hazard assumption using Schofield residuals</w:t>
      </w:r>
      <w:r w:rsidR="00FA0DF4" w:rsidRPr="00F11E73">
        <w:rPr>
          <w:sz w:val="22"/>
          <w:szCs w:val="22"/>
        </w:rPr>
        <w:t>.</w:t>
      </w:r>
      <w:r w:rsidRPr="00F11E73">
        <w:rPr>
          <w:sz w:val="22"/>
          <w:szCs w:val="22"/>
        </w:rPr>
        <w:t xml:space="preserve"> Test results for the MV-adjusted models were reported.</w:t>
      </w:r>
      <w:r w:rsidR="00FA0DF4" w:rsidRPr="00F11E73">
        <w:rPr>
          <w:sz w:val="22"/>
          <w:szCs w:val="22"/>
        </w:rPr>
        <w:t xml:space="preserve"> We</w:t>
      </w:r>
      <w:r w:rsidR="00716D2C" w:rsidRPr="00F11E73">
        <w:rPr>
          <w:sz w:val="22"/>
          <w:szCs w:val="22"/>
        </w:rPr>
        <w:t xml:space="preserve"> a</w:t>
      </w:r>
      <w:r w:rsidR="00FA0DF4" w:rsidRPr="00F11E73">
        <w:rPr>
          <w:sz w:val="22"/>
          <w:szCs w:val="22"/>
        </w:rPr>
        <w:t>lso explored the</w:t>
      </w:r>
      <w:r w:rsidR="00716D2C" w:rsidRPr="00F11E73">
        <w:rPr>
          <w:sz w:val="22"/>
          <w:szCs w:val="22"/>
        </w:rPr>
        <w:t xml:space="preserve"> </w:t>
      </w:r>
      <w:r w:rsidR="00FA0DF4" w:rsidRPr="00F11E73">
        <w:rPr>
          <w:sz w:val="22"/>
          <w:szCs w:val="22"/>
        </w:rPr>
        <w:t>nonlinear dose-</w:t>
      </w:r>
      <w:r w:rsidR="004D626E" w:rsidRPr="00F11E73">
        <w:rPr>
          <w:sz w:val="22"/>
          <w:szCs w:val="22"/>
        </w:rPr>
        <w:t>response</w:t>
      </w:r>
      <w:r w:rsidR="00FA0DF4" w:rsidRPr="00F11E73">
        <w:rPr>
          <w:sz w:val="22"/>
          <w:szCs w:val="22"/>
        </w:rPr>
        <w:t xml:space="preserve"> re</w:t>
      </w:r>
      <w:r w:rsidR="004D626E" w:rsidRPr="00F11E73">
        <w:rPr>
          <w:sz w:val="22"/>
          <w:szCs w:val="22"/>
        </w:rPr>
        <w:t>lationship between</w:t>
      </w:r>
      <w:r w:rsidR="00716D2C" w:rsidRPr="00F11E73">
        <w:rPr>
          <w:sz w:val="22"/>
          <w:szCs w:val="22"/>
        </w:rPr>
        <w:t xml:space="preserve"> alcohol consumption</w:t>
      </w:r>
      <w:r w:rsidR="004D626E" w:rsidRPr="00F11E73">
        <w:rPr>
          <w:sz w:val="22"/>
          <w:szCs w:val="22"/>
        </w:rPr>
        <w:t xml:space="preserve"> and death from cancer.</w:t>
      </w:r>
      <w:r w:rsidR="00716D2C" w:rsidRPr="00F11E73">
        <w:rPr>
          <w:sz w:val="22"/>
          <w:szCs w:val="22"/>
        </w:rPr>
        <w:t xml:space="preserve"> </w:t>
      </w:r>
      <w:r w:rsidR="004D626E" w:rsidRPr="00F11E73">
        <w:rPr>
          <w:sz w:val="22"/>
          <w:szCs w:val="22"/>
        </w:rPr>
        <w:t xml:space="preserve">We first compared </w:t>
      </w:r>
      <w:r w:rsidR="00716D2C" w:rsidRPr="00F11E73">
        <w:rPr>
          <w:sz w:val="22"/>
          <w:szCs w:val="22"/>
        </w:rPr>
        <w:t>the category-specific hazard ratio</w:t>
      </w:r>
      <w:r w:rsidR="004D626E" w:rsidRPr="00F11E73">
        <w:rPr>
          <w:sz w:val="22"/>
          <w:szCs w:val="22"/>
        </w:rPr>
        <w:t>.</w:t>
      </w:r>
      <w:r w:rsidRPr="00F11E73">
        <w:rPr>
          <w:sz w:val="22"/>
          <w:szCs w:val="22"/>
        </w:rPr>
        <w:t xml:space="preserve"> Based on the results from the main analysis,</w:t>
      </w:r>
      <w:r w:rsidR="004D626E" w:rsidRPr="00F11E73">
        <w:rPr>
          <w:sz w:val="22"/>
          <w:szCs w:val="22"/>
        </w:rPr>
        <w:t xml:space="preserve"> we</w:t>
      </w:r>
      <w:r w:rsidR="00716D2C" w:rsidRPr="00F11E73">
        <w:rPr>
          <w:sz w:val="22"/>
          <w:szCs w:val="22"/>
        </w:rPr>
        <w:t xml:space="preserve"> </w:t>
      </w:r>
      <w:r w:rsidR="004D626E" w:rsidRPr="00F11E73">
        <w:rPr>
          <w:sz w:val="22"/>
          <w:szCs w:val="22"/>
        </w:rPr>
        <w:t>replaced the linear term of alcohol consumption by</w:t>
      </w:r>
      <w:r w:rsidR="00716D2C" w:rsidRPr="00F11E73">
        <w:rPr>
          <w:sz w:val="22"/>
          <w:szCs w:val="22"/>
        </w:rPr>
        <w:t xml:space="preserve"> a natural cubic spline </w:t>
      </w:r>
      <w:r w:rsidR="004D626E" w:rsidRPr="00F11E73">
        <w:rPr>
          <w:sz w:val="22"/>
          <w:szCs w:val="22"/>
        </w:rPr>
        <w:t>term in the MV-adjusted model following the second approach</w:t>
      </w:r>
      <w:r w:rsidRPr="00F11E73">
        <w:rPr>
          <w:sz w:val="22"/>
          <w:szCs w:val="22"/>
        </w:rPr>
        <w:t xml:space="preserve"> (setting year as the time scale)</w:t>
      </w:r>
      <w:r w:rsidR="00716D2C" w:rsidRPr="00F11E73">
        <w:rPr>
          <w:sz w:val="22"/>
          <w:szCs w:val="22"/>
        </w:rPr>
        <w:t xml:space="preserve">. </w:t>
      </w:r>
    </w:p>
    <w:p w14:paraId="232F2527" w14:textId="0065AB45" w:rsidR="00A709C3" w:rsidRPr="00F11E73" w:rsidRDefault="00A709C3" w:rsidP="00F11E73">
      <w:pPr>
        <w:jc w:val="both"/>
        <w:rPr>
          <w:sz w:val="22"/>
          <w:szCs w:val="22"/>
        </w:rPr>
      </w:pPr>
    </w:p>
    <w:p w14:paraId="4A4B8FA1" w14:textId="77777777" w:rsidR="00332761" w:rsidRPr="00F11E73" w:rsidRDefault="00332761" w:rsidP="00F11E73">
      <w:pPr>
        <w:jc w:val="both"/>
        <w:rPr>
          <w:sz w:val="22"/>
          <w:szCs w:val="22"/>
        </w:rPr>
      </w:pPr>
      <w:r w:rsidRPr="00F11E73">
        <w:rPr>
          <w:sz w:val="22"/>
          <w:szCs w:val="22"/>
        </w:rPr>
        <w:t xml:space="preserve">In the sensitivity analyses, Poisson and logistic regressions were conducted with the same exposure configurations as well as confounder adjustments as the Cox model following the second approach (setting year as the time scale). </w:t>
      </w:r>
    </w:p>
    <w:p w14:paraId="4FD1E682" w14:textId="77777777" w:rsidR="00332761" w:rsidRPr="00F11E73" w:rsidRDefault="00332761" w:rsidP="00F11E73">
      <w:pPr>
        <w:jc w:val="both"/>
        <w:rPr>
          <w:sz w:val="22"/>
          <w:szCs w:val="22"/>
        </w:rPr>
      </w:pPr>
    </w:p>
    <w:p w14:paraId="5768389A" w14:textId="3D78CBCF" w:rsidR="00332761" w:rsidRPr="00F11E73" w:rsidRDefault="00332761" w:rsidP="00F11E73">
      <w:pPr>
        <w:jc w:val="both"/>
        <w:rPr>
          <w:sz w:val="22"/>
          <w:szCs w:val="22"/>
        </w:rPr>
      </w:pPr>
      <w:r w:rsidRPr="00F11E73">
        <w:rPr>
          <w:sz w:val="22"/>
          <w:szCs w:val="22"/>
        </w:rPr>
        <w:t>The statistical significance level was 0.05. R version 4.1.0 w</w:t>
      </w:r>
      <w:r w:rsidR="006D693D">
        <w:rPr>
          <w:sz w:val="22"/>
          <w:szCs w:val="22"/>
        </w:rPr>
        <w:t>as</w:t>
      </w:r>
      <w:r w:rsidRPr="00F11E73">
        <w:rPr>
          <w:sz w:val="22"/>
          <w:szCs w:val="22"/>
        </w:rPr>
        <w:t xml:space="preserve"> used to clean data and conduct model analysis.</w:t>
      </w:r>
    </w:p>
    <w:p w14:paraId="62836F08" w14:textId="67477F10" w:rsidR="00332761" w:rsidRPr="00F11E73" w:rsidRDefault="00332761" w:rsidP="00F11E73">
      <w:pPr>
        <w:jc w:val="both"/>
        <w:rPr>
          <w:sz w:val="22"/>
          <w:szCs w:val="22"/>
        </w:rPr>
      </w:pPr>
    </w:p>
    <w:p w14:paraId="5808A322" w14:textId="77777777" w:rsidR="00332761" w:rsidRPr="00F11E73" w:rsidRDefault="00332761" w:rsidP="00F11E73">
      <w:pPr>
        <w:jc w:val="both"/>
        <w:rPr>
          <w:b/>
          <w:bCs/>
          <w:sz w:val="22"/>
          <w:szCs w:val="22"/>
        </w:rPr>
      </w:pPr>
      <w:r w:rsidRPr="00F11E73">
        <w:rPr>
          <w:b/>
          <w:bCs/>
          <w:sz w:val="22"/>
          <w:szCs w:val="22"/>
        </w:rPr>
        <w:t>Results</w:t>
      </w:r>
    </w:p>
    <w:p w14:paraId="5E674716" w14:textId="1355A6B8" w:rsidR="00332761" w:rsidRDefault="009B5FF8" w:rsidP="00F11E73">
      <w:pPr>
        <w:jc w:val="both"/>
        <w:rPr>
          <w:i/>
          <w:iCs/>
          <w:sz w:val="22"/>
          <w:szCs w:val="22"/>
        </w:rPr>
      </w:pPr>
      <w:r>
        <w:rPr>
          <w:sz w:val="22"/>
          <w:szCs w:val="22"/>
        </w:rPr>
        <w:t xml:space="preserve">The baseline characteristics were reported in the </w:t>
      </w:r>
      <w:r w:rsidRPr="006B30C2">
        <w:rPr>
          <w:i/>
          <w:iCs/>
          <w:sz w:val="22"/>
          <w:szCs w:val="22"/>
        </w:rPr>
        <w:t>Table 1</w:t>
      </w:r>
      <w:r w:rsidR="00332761" w:rsidRPr="00F11E73">
        <w:rPr>
          <w:sz w:val="22"/>
          <w:szCs w:val="22"/>
        </w:rPr>
        <w:t xml:space="preserve">. </w:t>
      </w:r>
      <w:r>
        <w:rPr>
          <w:sz w:val="22"/>
          <w:szCs w:val="22"/>
        </w:rPr>
        <w:t xml:space="preserve">The proportion of males monotonically increased from the group with 0 drinks per week (35.55%) to the group with &gt;2 drinks per week (66.37%). </w:t>
      </w:r>
      <w:r w:rsidR="00A32C07">
        <w:rPr>
          <w:sz w:val="22"/>
          <w:szCs w:val="22"/>
        </w:rPr>
        <w:t xml:space="preserve">Additionally, we observed a correlation between average smoking cigarettes and alcohol consumption. Contrary to our expectation, the educational years also monotonically increased from the group with 0 drinks per week (9.98 years) to the group with &gt;2 drinks per week (12.06 years). Hypertension, </w:t>
      </w:r>
      <w:r w:rsidR="00A32C07" w:rsidRPr="00F11E73">
        <w:rPr>
          <w:sz w:val="22"/>
          <w:szCs w:val="22"/>
        </w:rPr>
        <w:t>myocardial infarction</w:t>
      </w:r>
      <w:r w:rsidR="00A32C07">
        <w:rPr>
          <w:sz w:val="22"/>
          <w:szCs w:val="22"/>
        </w:rPr>
        <w:t xml:space="preserve">, and diabetes prevalence at baseline </w:t>
      </w:r>
      <w:r w:rsidR="006B30C2">
        <w:rPr>
          <w:sz w:val="22"/>
          <w:szCs w:val="22"/>
        </w:rPr>
        <w:t xml:space="preserve">decreased with alcohol consumption level. Overall, in the study population, alcohol consumption showed strong correlation with sex, educational level, smoking habit, and baseline disease status. Participants with </w:t>
      </w:r>
      <w:r w:rsidR="006B30C2" w:rsidRPr="006B30C2">
        <w:rPr>
          <w:sz w:val="22"/>
          <w:szCs w:val="22"/>
        </w:rPr>
        <w:t>basic morbidit</w:t>
      </w:r>
      <w:r w:rsidR="006B30C2">
        <w:rPr>
          <w:sz w:val="22"/>
          <w:szCs w:val="22"/>
        </w:rPr>
        <w:t xml:space="preserve">ies tend to consume less alcohol at baseline. Residence features for the participants were shown in </w:t>
      </w:r>
      <w:r w:rsidR="006B30C2" w:rsidRPr="006B30C2">
        <w:rPr>
          <w:i/>
          <w:iCs/>
          <w:sz w:val="22"/>
          <w:szCs w:val="22"/>
        </w:rPr>
        <w:t>Table S1 (appendix).</w:t>
      </w:r>
    </w:p>
    <w:p w14:paraId="06969D3E" w14:textId="77777777" w:rsidR="002B2876" w:rsidRPr="00F11E73" w:rsidRDefault="002B2876" w:rsidP="00F11E73">
      <w:pPr>
        <w:jc w:val="both"/>
        <w:rPr>
          <w:sz w:val="22"/>
          <w:szCs w:val="22"/>
        </w:rPr>
      </w:pPr>
    </w:p>
    <w:p w14:paraId="61EE4F8E" w14:textId="5B1B0C2B" w:rsidR="002B2876" w:rsidRPr="00F11E73" w:rsidRDefault="002B2876" w:rsidP="002B2876">
      <w:pPr>
        <w:jc w:val="center"/>
        <w:rPr>
          <w:rFonts w:eastAsia="SimSun"/>
          <w:color w:val="000000"/>
          <w:sz w:val="22"/>
          <w:szCs w:val="22"/>
          <w:lang w:bidi="ar"/>
        </w:rPr>
      </w:pPr>
      <w:r w:rsidRPr="002B2876">
        <w:rPr>
          <w:rFonts w:eastAsia="SimSun"/>
          <w:b/>
          <w:bCs/>
          <w:color w:val="000000"/>
          <w:sz w:val="22"/>
          <w:szCs w:val="22"/>
          <w:lang w:bidi="ar"/>
        </w:rPr>
        <w:t>Table 1.</w:t>
      </w:r>
      <w:r w:rsidRPr="00F11E73">
        <w:rPr>
          <w:rFonts w:eastAsia="SimSun"/>
          <w:color w:val="000000"/>
          <w:sz w:val="22"/>
          <w:szCs w:val="22"/>
          <w:lang w:bidi="ar"/>
        </w:rPr>
        <w:t xml:space="preserve"> Baseline characteristics of study population by alcohol </w:t>
      </w:r>
      <w:r>
        <w:rPr>
          <w:rFonts w:eastAsia="SimSun"/>
          <w:color w:val="000000"/>
          <w:sz w:val="22"/>
          <w:szCs w:val="22"/>
          <w:lang w:bidi="ar"/>
        </w:rPr>
        <w:t>consumption</w:t>
      </w:r>
      <w:r w:rsidRPr="00F11E73">
        <w:rPr>
          <w:rFonts w:eastAsia="SimSun"/>
          <w:color w:val="000000"/>
          <w:sz w:val="22"/>
          <w:szCs w:val="22"/>
          <w:vertAlign w:val="superscript"/>
          <w:lang w:bidi="ar"/>
        </w:rPr>
        <w:t xml:space="preserve"> </w:t>
      </w:r>
      <w:r w:rsidRPr="006D693D">
        <w:rPr>
          <w:rFonts w:eastAsia="SimSun"/>
          <w:color w:val="000000"/>
          <w:sz w:val="22"/>
          <w:szCs w:val="22"/>
          <w:lang w:bidi="ar"/>
        </w:rPr>
        <w:t>(N=9190).</w:t>
      </w:r>
    </w:p>
    <w:tbl>
      <w:tblPr>
        <w:tblW w:w="5000" w:type="pct"/>
        <w:tblLayout w:type="fixed"/>
        <w:tblLook w:val="04A0" w:firstRow="1" w:lastRow="0" w:firstColumn="1" w:lastColumn="0" w:noHBand="0" w:noVBand="1"/>
      </w:tblPr>
      <w:tblGrid>
        <w:gridCol w:w="2874"/>
        <w:gridCol w:w="1791"/>
        <w:gridCol w:w="1685"/>
        <w:gridCol w:w="1793"/>
        <w:gridCol w:w="1577"/>
        <w:gridCol w:w="1080"/>
      </w:tblGrid>
      <w:tr w:rsidR="002B2876" w:rsidRPr="00F11E73" w14:paraId="4914EFD0" w14:textId="77777777" w:rsidTr="005041F1">
        <w:trPr>
          <w:trHeight w:val="224"/>
        </w:trPr>
        <w:tc>
          <w:tcPr>
            <w:tcW w:w="1331" w:type="pct"/>
            <w:tcBorders>
              <w:top w:val="single" w:sz="4" w:space="0" w:color="auto"/>
            </w:tcBorders>
            <w:shd w:val="clear" w:color="auto" w:fill="FFFFFF"/>
            <w:noWrap/>
            <w:vAlign w:val="center"/>
          </w:tcPr>
          <w:p w14:paraId="0E6ED6AD" w14:textId="77777777" w:rsidR="002B2876" w:rsidRPr="00F11E73" w:rsidRDefault="002B2876" w:rsidP="005041F1">
            <w:pPr>
              <w:jc w:val="both"/>
              <w:rPr>
                <w:sz w:val="22"/>
                <w:szCs w:val="22"/>
              </w:rPr>
            </w:pPr>
          </w:p>
        </w:tc>
        <w:tc>
          <w:tcPr>
            <w:tcW w:w="3169" w:type="pct"/>
            <w:gridSpan w:val="4"/>
            <w:tcBorders>
              <w:top w:val="single" w:sz="4" w:space="0" w:color="auto"/>
            </w:tcBorders>
            <w:shd w:val="clear" w:color="auto" w:fill="FFFFFF"/>
            <w:noWrap/>
            <w:vAlign w:val="center"/>
          </w:tcPr>
          <w:p w14:paraId="4D2E6764" w14:textId="77777777" w:rsidR="002B2876" w:rsidRPr="00F11E73" w:rsidRDefault="002B2876" w:rsidP="005041F1">
            <w:pPr>
              <w:jc w:val="both"/>
              <w:rPr>
                <w:sz w:val="22"/>
                <w:szCs w:val="22"/>
              </w:rPr>
            </w:pPr>
            <w:r w:rsidRPr="00F11E73">
              <w:rPr>
                <w:sz w:val="22"/>
                <w:szCs w:val="22"/>
              </w:rPr>
              <w:t xml:space="preserve">Alcohol consumption </w:t>
            </w:r>
          </w:p>
        </w:tc>
        <w:tc>
          <w:tcPr>
            <w:tcW w:w="500" w:type="pct"/>
            <w:tcBorders>
              <w:top w:val="single" w:sz="4" w:space="0" w:color="auto"/>
            </w:tcBorders>
            <w:shd w:val="clear" w:color="auto" w:fill="FFFFFF"/>
            <w:noWrap/>
            <w:vAlign w:val="center"/>
          </w:tcPr>
          <w:p w14:paraId="0841382E" w14:textId="77777777" w:rsidR="002B2876" w:rsidRPr="00F11E73" w:rsidRDefault="002B2876" w:rsidP="005041F1">
            <w:pPr>
              <w:jc w:val="both"/>
              <w:rPr>
                <w:sz w:val="22"/>
                <w:szCs w:val="22"/>
              </w:rPr>
            </w:pPr>
          </w:p>
        </w:tc>
      </w:tr>
      <w:tr w:rsidR="002B2876" w:rsidRPr="00F11E73" w14:paraId="1F7850BB" w14:textId="77777777" w:rsidTr="005041F1">
        <w:trPr>
          <w:trHeight w:val="99"/>
        </w:trPr>
        <w:tc>
          <w:tcPr>
            <w:tcW w:w="1331" w:type="pct"/>
            <w:shd w:val="clear" w:color="auto" w:fill="FFFFFF"/>
            <w:noWrap/>
            <w:vAlign w:val="center"/>
          </w:tcPr>
          <w:p w14:paraId="4340D3C2" w14:textId="77777777" w:rsidR="002B2876" w:rsidRPr="00F11E73" w:rsidRDefault="002B2876" w:rsidP="005041F1">
            <w:pPr>
              <w:jc w:val="both"/>
              <w:rPr>
                <w:sz w:val="22"/>
                <w:szCs w:val="22"/>
              </w:rPr>
            </w:pPr>
          </w:p>
        </w:tc>
        <w:tc>
          <w:tcPr>
            <w:tcW w:w="829" w:type="pct"/>
            <w:shd w:val="clear" w:color="auto" w:fill="FFFFFF"/>
            <w:noWrap/>
            <w:vAlign w:val="center"/>
          </w:tcPr>
          <w:p w14:paraId="2908811C" w14:textId="77777777" w:rsidR="002B2876" w:rsidRPr="00F11E73" w:rsidRDefault="002B2876" w:rsidP="005041F1">
            <w:pPr>
              <w:jc w:val="center"/>
              <w:rPr>
                <w:sz w:val="22"/>
                <w:szCs w:val="22"/>
              </w:rPr>
            </w:pPr>
            <w:r w:rsidRPr="00F11E73">
              <w:rPr>
                <w:sz w:val="22"/>
                <w:szCs w:val="22"/>
              </w:rPr>
              <w:t>0/week</w:t>
            </w:r>
          </w:p>
        </w:tc>
        <w:tc>
          <w:tcPr>
            <w:tcW w:w="780" w:type="pct"/>
            <w:shd w:val="clear" w:color="auto" w:fill="FFFFFF"/>
            <w:noWrap/>
            <w:vAlign w:val="center"/>
          </w:tcPr>
          <w:p w14:paraId="464DDB86" w14:textId="77777777" w:rsidR="002B2876" w:rsidRPr="00F11E73" w:rsidRDefault="002B2876" w:rsidP="005041F1">
            <w:pPr>
              <w:jc w:val="center"/>
              <w:rPr>
                <w:sz w:val="22"/>
                <w:szCs w:val="22"/>
              </w:rPr>
            </w:pPr>
            <w:r w:rsidRPr="00F11E73">
              <w:rPr>
                <w:sz w:val="22"/>
                <w:szCs w:val="22"/>
              </w:rPr>
              <w:t>0-0.5/week</w:t>
            </w:r>
          </w:p>
        </w:tc>
        <w:tc>
          <w:tcPr>
            <w:tcW w:w="830" w:type="pct"/>
            <w:shd w:val="clear" w:color="auto" w:fill="FFFFFF"/>
            <w:noWrap/>
            <w:vAlign w:val="center"/>
          </w:tcPr>
          <w:p w14:paraId="33EB810B" w14:textId="77777777" w:rsidR="002B2876" w:rsidRPr="00F11E73" w:rsidRDefault="002B2876" w:rsidP="005041F1">
            <w:pPr>
              <w:jc w:val="center"/>
              <w:rPr>
                <w:sz w:val="22"/>
                <w:szCs w:val="22"/>
              </w:rPr>
            </w:pPr>
            <w:r w:rsidRPr="00F11E73">
              <w:rPr>
                <w:sz w:val="22"/>
                <w:szCs w:val="22"/>
              </w:rPr>
              <w:t>0.5-2/week</w:t>
            </w:r>
          </w:p>
        </w:tc>
        <w:tc>
          <w:tcPr>
            <w:tcW w:w="730" w:type="pct"/>
            <w:shd w:val="clear" w:color="auto" w:fill="FFFFFF"/>
            <w:noWrap/>
            <w:vAlign w:val="center"/>
          </w:tcPr>
          <w:p w14:paraId="6CC242E8" w14:textId="77777777" w:rsidR="002B2876" w:rsidRPr="00F11E73" w:rsidRDefault="002B2876" w:rsidP="005041F1">
            <w:pPr>
              <w:jc w:val="center"/>
              <w:rPr>
                <w:sz w:val="22"/>
                <w:szCs w:val="22"/>
              </w:rPr>
            </w:pPr>
            <w:r w:rsidRPr="00F11E73">
              <w:rPr>
                <w:sz w:val="22"/>
                <w:szCs w:val="22"/>
              </w:rPr>
              <w:t>&gt;2/week</w:t>
            </w:r>
          </w:p>
        </w:tc>
        <w:tc>
          <w:tcPr>
            <w:tcW w:w="500" w:type="pct"/>
            <w:vMerge w:val="restart"/>
            <w:shd w:val="clear" w:color="auto" w:fill="FFFFFF"/>
            <w:noWrap/>
            <w:vAlign w:val="center"/>
          </w:tcPr>
          <w:p w14:paraId="738DBC28" w14:textId="77777777" w:rsidR="002B2876" w:rsidRPr="00F11E73" w:rsidRDefault="002B2876" w:rsidP="005041F1">
            <w:pPr>
              <w:jc w:val="right"/>
              <w:rPr>
                <w:sz w:val="22"/>
                <w:szCs w:val="22"/>
              </w:rPr>
            </w:pPr>
            <w:r w:rsidRPr="00F11E73">
              <w:rPr>
                <w:sz w:val="22"/>
                <w:szCs w:val="22"/>
              </w:rPr>
              <w:t>p-value</w:t>
            </w:r>
          </w:p>
        </w:tc>
      </w:tr>
      <w:tr w:rsidR="002B2876" w:rsidRPr="00F11E73" w14:paraId="77D91CD4" w14:textId="77777777" w:rsidTr="005041F1">
        <w:trPr>
          <w:trHeight w:val="270"/>
        </w:trPr>
        <w:tc>
          <w:tcPr>
            <w:tcW w:w="1331" w:type="pct"/>
            <w:tcBorders>
              <w:bottom w:val="single" w:sz="4" w:space="0" w:color="auto"/>
            </w:tcBorders>
            <w:shd w:val="clear" w:color="auto" w:fill="FFFFFF"/>
            <w:noWrap/>
            <w:vAlign w:val="center"/>
          </w:tcPr>
          <w:p w14:paraId="65BDD5B2" w14:textId="77777777" w:rsidR="002B2876" w:rsidRPr="00F11E73" w:rsidRDefault="002B2876" w:rsidP="005041F1">
            <w:pPr>
              <w:jc w:val="both"/>
              <w:rPr>
                <w:sz w:val="22"/>
                <w:szCs w:val="22"/>
              </w:rPr>
            </w:pPr>
          </w:p>
        </w:tc>
        <w:tc>
          <w:tcPr>
            <w:tcW w:w="829" w:type="pct"/>
            <w:tcBorders>
              <w:bottom w:val="single" w:sz="4" w:space="0" w:color="auto"/>
            </w:tcBorders>
            <w:shd w:val="clear" w:color="auto" w:fill="FFFFFF"/>
            <w:noWrap/>
            <w:vAlign w:val="center"/>
          </w:tcPr>
          <w:p w14:paraId="3EBBFD9B" w14:textId="77777777" w:rsidR="002B2876" w:rsidRPr="00F11E73" w:rsidRDefault="002B2876" w:rsidP="005041F1">
            <w:pPr>
              <w:jc w:val="center"/>
              <w:rPr>
                <w:sz w:val="22"/>
                <w:szCs w:val="22"/>
              </w:rPr>
            </w:pPr>
            <w:r w:rsidRPr="00F11E73">
              <w:rPr>
                <w:sz w:val="22"/>
                <w:szCs w:val="22"/>
              </w:rPr>
              <w:t>N=4022 (43.76%)</w:t>
            </w:r>
          </w:p>
        </w:tc>
        <w:tc>
          <w:tcPr>
            <w:tcW w:w="780" w:type="pct"/>
            <w:tcBorders>
              <w:bottom w:val="single" w:sz="4" w:space="0" w:color="auto"/>
            </w:tcBorders>
            <w:shd w:val="clear" w:color="auto" w:fill="FFFFFF"/>
            <w:noWrap/>
            <w:vAlign w:val="center"/>
          </w:tcPr>
          <w:p w14:paraId="4CFD0B62" w14:textId="77777777" w:rsidR="002B2876" w:rsidRPr="00F11E73" w:rsidRDefault="002B2876" w:rsidP="005041F1">
            <w:pPr>
              <w:jc w:val="center"/>
              <w:rPr>
                <w:sz w:val="22"/>
                <w:szCs w:val="22"/>
              </w:rPr>
            </w:pPr>
            <w:r w:rsidRPr="00F11E73">
              <w:rPr>
                <w:sz w:val="22"/>
                <w:szCs w:val="22"/>
              </w:rPr>
              <w:t>N=935 (10.17%)</w:t>
            </w:r>
          </w:p>
        </w:tc>
        <w:tc>
          <w:tcPr>
            <w:tcW w:w="830" w:type="pct"/>
            <w:tcBorders>
              <w:bottom w:val="single" w:sz="4" w:space="0" w:color="auto"/>
            </w:tcBorders>
            <w:shd w:val="clear" w:color="auto" w:fill="FFFFFF"/>
            <w:noWrap/>
            <w:vAlign w:val="center"/>
          </w:tcPr>
          <w:p w14:paraId="22AA93E8" w14:textId="77777777" w:rsidR="002B2876" w:rsidRPr="00F11E73" w:rsidRDefault="002B2876" w:rsidP="005041F1">
            <w:pPr>
              <w:jc w:val="center"/>
              <w:rPr>
                <w:sz w:val="22"/>
                <w:szCs w:val="22"/>
              </w:rPr>
            </w:pPr>
            <w:r w:rsidRPr="00F11E73">
              <w:rPr>
                <w:sz w:val="22"/>
                <w:szCs w:val="22"/>
              </w:rPr>
              <w:t>N=1720 (18.72%)</w:t>
            </w:r>
          </w:p>
        </w:tc>
        <w:tc>
          <w:tcPr>
            <w:tcW w:w="730" w:type="pct"/>
            <w:tcBorders>
              <w:bottom w:val="single" w:sz="4" w:space="0" w:color="auto"/>
            </w:tcBorders>
            <w:shd w:val="clear" w:color="auto" w:fill="FFFFFF"/>
            <w:noWrap/>
            <w:vAlign w:val="center"/>
          </w:tcPr>
          <w:p w14:paraId="04F8F4F1" w14:textId="77777777" w:rsidR="002B2876" w:rsidRPr="00F11E73" w:rsidRDefault="002B2876" w:rsidP="005041F1">
            <w:pPr>
              <w:jc w:val="center"/>
              <w:rPr>
                <w:sz w:val="22"/>
                <w:szCs w:val="22"/>
              </w:rPr>
            </w:pPr>
            <w:r w:rsidRPr="00F11E73">
              <w:rPr>
                <w:sz w:val="22"/>
                <w:szCs w:val="22"/>
              </w:rPr>
              <w:t>N=2513 (27.34%)</w:t>
            </w:r>
          </w:p>
        </w:tc>
        <w:tc>
          <w:tcPr>
            <w:tcW w:w="500" w:type="pct"/>
            <w:vMerge/>
            <w:tcBorders>
              <w:bottom w:val="single" w:sz="4" w:space="0" w:color="auto"/>
            </w:tcBorders>
            <w:shd w:val="clear" w:color="auto" w:fill="FFFFFF"/>
            <w:noWrap/>
            <w:vAlign w:val="center"/>
          </w:tcPr>
          <w:p w14:paraId="5DD963DE" w14:textId="77777777" w:rsidR="002B2876" w:rsidRPr="00F11E73" w:rsidRDefault="002B2876" w:rsidP="005041F1">
            <w:pPr>
              <w:jc w:val="both"/>
              <w:rPr>
                <w:sz w:val="22"/>
                <w:szCs w:val="22"/>
              </w:rPr>
            </w:pPr>
          </w:p>
        </w:tc>
      </w:tr>
      <w:tr w:rsidR="002B2876" w:rsidRPr="00F11E73" w14:paraId="2BE0B620" w14:textId="77777777" w:rsidTr="005041F1">
        <w:trPr>
          <w:trHeight w:val="270"/>
        </w:trPr>
        <w:tc>
          <w:tcPr>
            <w:tcW w:w="1331" w:type="pct"/>
            <w:tcBorders>
              <w:top w:val="single" w:sz="4" w:space="0" w:color="auto"/>
            </w:tcBorders>
            <w:shd w:val="clear" w:color="auto" w:fill="FFFFFF"/>
            <w:noWrap/>
            <w:vAlign w:val="center"/>
          </w:tcPr>
          <w:p w14:paraId="5F33E168" w14:textId="77777777" w:rsidR="002B2876" w:rsidRPr="00F11E73" w:rsidRDefault="002B2876" w:rsidP="005041F1">
            <w:pPr>
              <w:jc w:val="both"/>
              <w:rPr>
                <w:sz w:val="22"/>
                <w:szCs w:val="22"/>
              </w:rPr>
            </w:pPr>
            <w:r w:rsidRPr="00F11E73">
              <w:rPr>
                <w:sz w:val="22"/>
                <w:szCs w:val="22"/>
              </w:rPr>
              <w:t>Sex, Male</w:t>
            </w:r>
          </w:p>
        </w:tc>
        <w:tc>
          <w:tcPr>
            <w:tcW w:w="829" w:type="pct"/>
            <w:tcBorders>
              <w:top w:val="single" w:sz="4" w:space="0" w:color="auto"/>
            </w:tcBorders>
            <w:shd w:val="clear" w:color="auto" w:fill="FFFFFF"/>
            <w:noWrap/>
            <w:vAlign w:val="center"/>
          </w:tcPr>
          <w:p w14:paraId="645B3E4D" w14:textId="77777777" w:rsidR="002B2876" w:rsidRPr="00F11E73" w:rsidRDefault="002B2876" w:rsidP="005041F1">
            <w:pPr>
              <w:jc w:val="right"/>
              <w:rPr>
                <w:sz w:val="22"/>
                <w:szCs w:val="22"/>
              </w:rPr>
            </w:pPr>
            <w:r w:rsidRPr="00F11E73">
              <w:rPr>
                <w:sz w:val="22"/>
                <w:szCs w:val="22"/>
              </w:rPr>
              <w:t>1430 (35.55%)</w:t>
            </w:r>
          </w:p>
        </w:tc>
        <w:tc>
          <w:tcPr>
            <w:tcW w:w="780" w:type="pct"/>
            <w:tcBorders>
              <w:top w:val="single" w:sz="4" w:space="0" w:color="auto"/>
            </w:tcBorders>
            <w:shd w:val="clear" w:color="auto" w:fill="FFFFFF"/>
            <w:noWrap/>
            <w:vAlign w:val="center"/>
          </w:tcPr>
          <w:p w14:paraId="1B7202EA" w14:textId="77777777" w:rsidR="002B2876" w:rsidRPr="00F11E73" w:rsidRDefault="002B2876" w:rsidP="005041F1">
            <w:pPr>
              <w:jc w:val="right"/>
              <w:rPr>
                <w:sz w:val="22"/>
                <w:szCs w:val="22"/>
              </w:rPr>
            </w:pPr>
            <w:r w:rsidRPr="00F11E73">
              <w:rPr>
                <w:sz w:val="22"/>
                <w:szCs w:val="22"/>
              </w:rPr>
              <w:t>365 (39.04%)</w:t>
            </w:r>
          </w:p>
        </w:tc>
        <w:tc>
          <w:tcPr>
            <w:tcW w:w="830" w:type="pct"/>
            <w:tcBorders>
              <w:top w:val="single" w:sz="4" w:space="0" w:color="auto"/>
            </w:tcBorders>
            <w:shd w:val="clear" w:color="auto" w:fill="FFFFFF"/>
            <w:noWrap/>
            <w:vAlign w:val="center"/>
          </w:tcPr>
          <w:p w14:paraId="7FE696E8" w14:textId="77777777" w:rsidR="002B2876" w:rsidRPr="00F11E73" w:rsidRDefault="002B2876" w:rsidP="005041F1">
            <w:pPr>
              <w:jc w:val="right"/>
              <w:rPr>
                <w:sz w:val="22"/>
                <w:szCs w:val="22"/>
              </w:rPr>
            </w:pPr>
            <w:r w:rsidRPr="00F11E73">
              <w:rPr>
                <w:sz w:val="22"/>
                <w:szCs w:val="22"/>
              </w:rPr>
              <w:t>851 (49.48%)</w:t>
            </w:r>
          </w:p>
        </w:tc>
        <w:tc>
          <w:tcPr>
            <w:tcW w:w="730" w:type="pct"/>
            <w:tcBorders>
              <w:top w:val="single" w:sz="4" w:space="0" w:color="auto"/>
            </w:tcBorders>
            <w:shd w:val="clear" w:color="auto" w:fill="FFFFFF"/>
            <w:noWrap/>
            <w:vAlign w:val="center"/>
          </w:tcPr>
          <w:p w14:paraId="4C38428F" w14:textId="77777777" w:rsidR="002B2876" w:rsidRPr="00F11E73" w:rsidRDefault="002B2876" w:rsidP="005041F1">
            <w:pPr>
              <w:jc w:val="right"/>
              <w:rPr>
                <w:sz w:val="22"/>
                <w:szCs w:val="22"/>
              </w:rPr>
            </w:pPr>
            <w:r w:rsidRPr="00F11E73">
              <w:rPr>
                <w:sz w:val="22"/>
                <w:szCs w:val="22"/>
              </w:rPr>
              <w:t>1668 (66.37%)</w:t>
            </w:r>
          </w:p>
        </w:tc>
        <w:tc>
          <w:tcPr>
            <w:tcW w:w="500" w:type="pct"/>
            <w:tcBorders>
              <w:top w:val="single" w:sz="4" w:space="0" w:color="auto"/>
            </w:tcBorders>
            <w:shd w:val="clear" w:color="auto" w:fill="FFFFFF"/>
            <w:noWrap/>
            <w:vAlign w:val="center"/>
          </w:tcPr>
          <w:p w14:paraId="255E4097" w14:textId="77777777" w:rsidR="002B2876" w:rsidRPr="00F11E73" w:rsidRDefault="002B2876" w:rsidP="005041F1">
            <w:pPr>
              <w:jc w:val="right"/>
              <w:rPr>
                <w:sz w:val="22"/>
                <w:szCs w:val="22"/>
              </w:rPr>
            </w:pPr>
            <w:r w:rsidRPr="00F11E73">
              <w:rPr>
                <w:sz w:val="22"/>
                <w:szCs w:val="22"/>
              </w:rPr>
              <w:t>&lt;0.001</w:t>
            </w:r>
          </w:p>
        </w:tc>
      </w:tr>
      <w:tr w:rsidR="002B2876" w:rsidRPr="00F11E73" w14:paraId="454037B3" w14:textId="77777777" w:rsidTr="005041F1">
        <w:trPr>
          <w:trHeight w:val="270"/>
        </w:trPr>
        <w:tc>
          <w:tcPr>
            <w:tcW w:w="1331" w:type="pct"/>
            <w:shd w:val="clear" w:color="auto" w:fill="FFFFFF"/>
            <w:noWrap/>
            <w:vAlign w:val="center"/>
          </w:tcPr>
          <w:p w14:paraId="66B7B839" w14:textId="77777777" w:rsidR="002B2876" w:rsidRPr="00F11E73" w:rsidRDefault="002B2876" w:rsidP="005041F1">
            <w:pPr>
              <w:jc w:val="both"/>
              <w:rPr>
                <w:sz w:val="22"/>
                <w:szCs w:val="22"/>
              </w:rPr>
            </w:pPr>
            <w:r w:rsidRPr="00F11E73">
              <w:rPr>
                <w:sz w:val="22"/>
                <w:szCs w:val="22"/>
              </w:rPr>
              <w:t xml:space="preserve">Mean Age at entry (SD) </w:t>
            </w:r>
          </w:p>
        </w:tc>
        <w:tc>
          <w:tcPr>
            <w:tcW w:w="829" w:type="pct"/>
            <w:shd w:val="clear" w:color="auto" w:fill="FFFFFF"/>
            <w:noWrap/>
            <w:vAlign w:val="center"/>
          </w:tcPr>
          <w:p w14:paraId="3123514D" w14:textId="77777777" w:rsidR="002B2876" w:rsidRPr="00F11E73" w:rsidRDefault="002B2876" w:rsidP="005041F1">
            <w:pPr>
              <w:jc w:val="right"/>
              <w:rPr>
                <w:sz w:val="22"/>
                <w:szCs w:val="22"/>
              </w:rPr>
            </w:pPr>
            <w:r w:rsidRPr="00F11E73">
              <w:rPr>
                <w:sz w:val="22"/>
                <w:szCs w:val="22"/>
              </w:rPr>
              <w:t>57.93 (12.80)</w:t>
            </w:r>
          </w:p>
        </w:tc>
        <w:tc>
          <w:tcPr>
            <w:tcW w:w="780" w:type="pct"/>
            <w:shd w:val="clear" w:color="auto" w:fill="FFFFFF"/>
            <w:noWrap/>
            <w:vAlign w:val="center"/>
          </w:tcPr>
          <w:p w14:paraId="32F2D4B6" w14:textId="77777777" w:rsidR="002B2876" w:rsidRPr="00F11E73" w:rsidRDefault="002B2876" w:rsidP="005041F1">
            <w:pPr>
              <w:jc w:val="right"/>
              <w:rPr>
                <w:sz w:val="22"/>
                <w:szCs w:val="22"/>
              </w:rPr>
            </w:pPr>
            <w:r w:rsidRPr="00F11E73">
              <w:rPr>
                <w:sz w:val="22"/>
                <w:szCs w:val="22"/>
              </w:rPr>
              <w:t>54.26 (13.37)</w:t>
            </w:r>
          </w:p>
        </w:tc>
        <w:tc>
          <w:tcPr>
            <w:tcW w:w="830" w:type="pct"/>
            <w:shd w:val="clear" w:color="auto" w:fill="FFFFFF"/>
            <w:noWrap/>
            <w:vAlign w:val="center"/>
          </w:tcPr>
          <w:p w14:paraId="28D70683" w14:textId="77777777" w:rsidR="002B2876" w:rsidRPr="00F11E73" w:rsidRDefault="002B2876" w:rsidP="005041F1">
            <w:pPr>
              <w:jc w:val="right"/>
              <w:rPr>
                <w:sz w:val="22"/>
                <w:szCs w:val="22"/>
              </w:rPr>
            </w:pPr>
            <w:r w:rsidRPr="00F11E73">
              <w:rPr>
                <w:sz w:val="22"/>
                <w:szCs w:val="22"/>
              </w:rPr>
              <w:t>51.54 (13.53)</w:t>
            </w:r>
          </w:p>
        </w:tc>
        <w:tc>
          <w:tcPr>
            <w:tcW w:w="730" w:type="pct"/>
            <w:shd w:val="clear" w:color="auto" w:fill="FFFFFF"/>
            <w:noWrap/>
            <w:vAlign w:val="center"/>
          </w:tcPr>
          <w:p w14:paraId="5C219280" w14:textId="77777777" w:rsidR="002B2876" w:rsidRPr="00F11E73" w:rsidRDefault="002B2876" w:rsidP="005041F1">
            <w:pPr>
              <w:jc w:val="right"/>
              <w:rPr>
                <w:sz w:val="22"/>
                <w:szCs w:val="22"/>
              </w:rPr>
            </w:pPr>
            <w:r w:rsidRPr="00F11E73">
              <w:rPr>
                <w:sz w:val="22"/>
                <w:szCs w:val="22"/>
              </w:rPr>
              <w:t>51.66 (13.17)</w:t>
            </w:r>
          </w:p>
        </w:tc>
        <w:tc>
          <w:tcPr>
            <w:tcW w:w="500" w:type="pct"/>
            <w:shd w:val="clear" w:color="auto" w:fill="FFFFFF"/>
            <w:noWrap/>
            <w:vAlign w:val="center"/>
          </w:tcPr>
          <w:p w14:paraId="0EFE1A36" w14:textId="77777777" w:rsidR="002B2876" w:rsidRPr="00F11E73" w:rsidRDefault="002B2876" w:rsidP="005041F1">
            <w:pPr>
              <w:jc w:val="right"/>
              <w:rPr>
                <w:sz w:val="22"/>
                <w:szCs w:val="22"/>
              </w:rPr>
            </w:pPr>
            <w:r w:rsidRPr="00F11E73">
              <w:rPr>
                <w:sz w:val="22"/>
                <w:szCs w:val="22"/>
              </w:rPr>
              <w:t>&lt;0.001</w:t>
            </w:r>
          </w:p>
        </w:tc>
      </w:tr>
      <w:tr w:rsidR="002B2876" w:rsidRPr="00F11E73" w14:paraId="10ED5FCE" w14:textId="77777777" w:rsidTr="005041F1">
        <w:trPr>
          <w:trHeight w:val="270"/>
        </w:trPr>
        <w:tc>
          <w:tcPr>
            <w:tcW w:w="1331" w:type="pct"/>
            <w:shd w:val="clear" w:color="auto" w:fill="FFFFFF"/>
            <w:noWrap/>
            <w:vAlign w:val="center"/>
          </w:tcPr>
          <w:p w14:paraId="4BA59CB4" w14:textId="77777777" w:rsidR="002B2876" w:rsidRPr="00F11E73" w:rsidRDefault="002B2876" w:rsidP="005041F1">
            <w:pPr>
              <w:jc w:val="both"/>
              <w:rPr>
                <w:sz w:val="22"/>
                <w:szCs w:val="22"/>
              </w:rPr>
            </w:pPr>
            <w:r w:rsidRPr="00F11E73">
              <w:rPr>
                <w:sz w:val="22"/>
                <w:szCs w:val="22"/>
              </w:rPr>
              <w:t>Race</w:t>
            </w:r>
          </w:p>
        </w:tc>
        <w:tc>
          <w:tcPr>
            <w:tcW w:w="829" w:type="pct"/>
            <w:shd w:val="clear" w:color="auto" w:fill="FFFFFF"/>
            <w:noWrap/>
            <w:vAlign w:val="center"/>
          </w:tcPr>
          <w:p w14:paraId="2B797497" w14:textId="77777777" w:rsidR="002B2876" w:rsidRPr="00F11E73" w:rsidRDefault="002B2876" w:rsidP="005041F1">
            <w:pPr>
              <w:jc w:val="right"/>
              <w:rPr>
                <w:sz w:val="22"/>
                <w:szCs w:val="22"/>
              </w:rPr>
            </w:pPr>
          </w:p>
        </w:tc>
        <w:tc>
          <w:tcPr>
            <w:tcW w:w="780" w:type="pct"/>
            <w:shd w:val="clear" w:color="auto" w:fill="FFFFFF"/>
            <w:noWrap/>
            <w:vAlign w:val="center"/>
          </w:tcPr>
          <w:p w14:paraId="6D7A9E78" w14:textId="77777777" w:rsidR="002B2876" w:rsidRPr="00F11E73" w:rsidRDefault="002B2876" w:rsidP="005041F1">
            <w:pPr>
              <w:jc w:val="right"/>
              <w:rPr>
                <w:sz w:val="22"/>
                <w:szCs w:val="22"/>
              </w:rPr>
            </w:pPr>
          </w:p>
        </w:tc>
        <w:tc>
          <w:tcPr>
            <w:tcW w:w="830" w:type="pct"/>
            <w:shd w:val="clear" w:color="auto" w:fill="FFFFFF"/>
            <w:noWrap/>
            <w:vAlign w:val="center"/>
          </w:tcPr>
          <w:p w14:paraId="141E44BA" w14:textId="77777777" w:rsidR="002B2876" w:rsidRPr="00F11E73" w:rsidRDefault="002B2876" w:rsidP="005041F1">
            <w:pPr>
              <w:jc w:val="right"/>
              <w:rPr>
                <w:sz w:val="22"/>
                <w:szCs w:val="22"/>
              </w:rPr>
            </w:pPr>
          </w:p>
        </w:tc>
        <w:tc>
          <w:tcPr>
            <w:tcW w:w="730" w:type="pct"/>
            <w:shd w:val="clear" w:color="auto" w:fill="FFFFFF"/>
            <w:noWrap/>
            <w:vAlign w:val="center"/>
          </w:tcPr>
          <w:p w14:paraId="683F5308" w14:textId="77777777" w:rsidR="002B2876" w:rsidRPr="00F11E73" w:rsidRDefault="002B2876" w:rsidP="005041F1">
            <w:pPr>
              <w:jc w:val="right"/>
              <w:rPr>
                <w:sz w:val="22"/>
                <w:szCs w:val="22"/>
              </w:rPr>
            </w:pPr>
          </w:p>
        </w:tc>
        <w:tc>
          <w:tcPr>
            <w:tcW w:w="500" w:type="pct"/>
            <w:shd w:val="clear" w:color="auto" w:fill="FFFFFF"/>
            <w:noWrap/>
            <w:vAlign w:val="center"/>
          </w:tcPr>
          <w:p w14:paraId="60615456" w14:textId="77777777" w:rsidR="002B2876" w:rsidRPr="00F11E73" w:rsidRDefault="002B2876" w:rsidP="005041F1">
            <w:pPr>
              <w:jc w:val="right"/>
              <w:rPr>
                <w:sz w:val="22"/>
                <w:szCs w:val="22"/>
              </w:rPr>
            </w:pPr>
            <w:r w:rsidRPr="00F11E73">
              <w:rPr>
                <w:sz w:val="22"/>
                <w:szCs w:val="22"/>
              </w:rPr>
              <w:t>0.008</w:t>
            </w:r>
          </w:p>
        </w:tc>
      </w:tr>
      <w:tr w:rsidR="002B2876" w:rsidRPr="00F11E73" w14:paraId="76449CC0" w14:textId="77777777" w:rsidTr="005041F1">
        <w:trPr>
          <w:trHeight w:val="270"/>
        </w:trPr>
        <w:tc>
          <w:tcPr>
            <w:tcW w:w="1331" w:type="pct"/>
            <w:shd w:val="clear" w:color="auto" w:fill="FFFFFF"/>
            <w:noWrap/>
            <w:vAlign w:val="center"/>
          </w:tcPr>
          <w:p w14:paraId="7D811F46" w14:textId="77777777" w:rsidR="002B2876" w:rsidRPr="00F11E73" w:rsidRDefault="002B2876" w:rsidP="005041F1">
            <w:pPr>
              <w:jc w:val="both"/>
              <w:rPr>
                <w:sz w:val="22"/>
                <w:szCs w:val="22"/>
              </w:rPr>
            </w:pPr>
            <w:r w:rsidRPr="00F11E73">
              <w:rPr>
                <w:sz w:val="22"/>
                <w:szCs w:val="22"/>
              </w:rPr>
              <w:t xml:space="preserve">  White</w:t>
            </w:r>
          </w:p>
        </w:tc>
        <w:tc>
          <w:tcPr>
            <w:tcW w:w="829" w:type="pct"/>
            <w:shd w:val="clear" w:color="auto" w:fill="FFFFFF"/>
            <w:noWrap/>
            <w:vAlign w:val="center"/>
          </w:tcPr>
          <w:p w14:paraId="5D99BE88" w14:textId="77777777" w:rsidR="002B2876" w:rsidRPr="00F11E73" w:rsidRDefault="002B2876" w:rsidP="005041F1">
            <w:pPr>
              <w:jc w:val="right"/>
              <w:rPr>
                <w:sz w:val="22"/>
                <w:szCs w:val="22"/>
              </w:rPr>
            </w:pPr>
            <w:r w:rsidRPr="00F11E73">
              <w:rPr>
                <w:sz w:val="22"/>
                <w:szCs w:val="22"/>
              </w:rPr>
              <w:t>3469 (86.25%)</w:t>
            </w:r>
          </w:p>
        </w:tc>
        <w:tc>
          <w:tcPr>
            <w:tcW w:w="780" w:type="pct"/>
            <w:shd w:val="clear" w:color="auto" w:fill="FFFFFF"/>
            <w:noWrap/>
            <w:vAlign w:val="center"/>
          </w:tcPr>
          <w:p w14:paraId="6E2F5C38" w14:textId="77777777" w:rsidR="002B2876" w:rsidRPr="00F11E73" w:rsidRDefault="002B2876" w:rsidP="005041F1">
            <w:pPr>
              <w:jc w:val="right"/>
              <w:rPr>
                <w:sz w:val="22"/>
                <w:szCs w:val="22"/>
              </w:rPr>
            </w:pPr>
            <w:r w:rsidRPr="00F11E73">
              <w:rPr>
                <w:sz w:val="22"/>
                <w:szCs w:val="22"/>
              </w:rPr>
              <w:t>821 (87.81%)</w:t>
            </w:r>
          </w:p>
        </w:tc>
        <w:tc>
          <w:tcPr>
            <w:tcW w:w="830" w:type="pct"/>
            <w:shd w:val="clear" w:color="auto" w:fill="FFFFFF"/>
            <w:noWrap/>
            <w:vAlign w:val="center"/>
          </w:tcPr>
          <w:p w14:paraId="29F1B101" w14:textId="77777777" w:rsidR="002B2876" w:rsidRPr="00F11E73" w:rsidRDefault="002B2876" w:rsidP="005041F1">
            <w:pPr>
              <w:jc w:val="right"/>
              <w:rPr>
                <w:sz w:val="22"/>
                <w:szCs w:val="22"/>
              </w:rPr>
            </w:pPr>
            <w:r w:rsidRPr="00F11E73">
              <w:rPr>
                <w:sz w:val="22"/>
                <w:szCs w:val="22"/>
              </w:rPr>
              <w:t>1509 (87.73%)</w:t>
            </w:r>
          </w:p>
        </w:tc>
        <w:tc>
          <w:tcPr>
            <w:tcW w:w="730" w:type="pct"/>
            <w:shd w:val="clear" w:color="auto" w:fill="FFFFFF"/>
            <w:noWrap/>
            <w:vAlign w:val="center"/>
          </w:tcPr>
          <w:p w14:paraId="38203321" w14:textId="77777777" w:rsidR="002B2876" w:rsidRPr="00F11E73" w:rsidRDefault="002B2876" w:rsidP="005041F1">
            <w:pPr>
              <w:jc w:val="right"/>
              <w:rPr>
                <w:sz w:val="22"/>
                <w:szCs w:val="22"/>
              </w:rPr>
            </w:pPr>
            <w:r w:rsidRPr="00F11E73">
              <w:rPr>
                <w:sz w:val="22"/>
                <w:szCs w:val="22"/>
              </w:rPr>
              <w:t>2239 (89.10%)</w:t>
            </w:r>
          </w:p>
        </w:tc>
        <w:tc>
          <w:tcPr>
            <w:tcW w:w="500" w:type="pct"/>
            <w:shd w:val="clear" w:color="auto" w:fill="FFFFFF"/>
            <w:noWrap/>
            <w:vAlign w:val="center"/>
          </w:tcPr>
          <w:p w14:paraId="46564291" w14:textId="77777777" w:rsidR="002B2876" w:rsidRPr="00F11E73" w:rsidRDefault="002B2876" w:rsidP="005041F1">
            <w:pPr>
              <w:jc w:val="right"/>
              <w:rPr>
                <w:sz w:val="22"/>
                <w:szCs w:val="22"/>
              </w:rPr>
            </w:pPr>
          </w:p>
        </w:tc>
      </w:tr>
      <w:tr w:rsidR="002B2876" w:rsidRPr="00F11E73" w14:paraId="512CF19F" w14:textId="77777777" w:rsidTr="005041F1">
        <w:trPr>
          <w:trHeight w:val="270"/>
        </w:trPr>
        <w:tc>
          <w:tcPr>
            <w:tcW w:w="1331" w:type="pct"/>
            <w:shd w:val="clear" w:color="auto" w:fill="FFFFFF"/>
            <w:noWrap/>
            <w:vAlign w:val="center"/>
          </w:tcPr>
          <w:p w14:paraId="413E570E" w14:textId="77777777" w:rsidR="002B2876" w:rsidRPr="00F11E73" w:rsidRDefault="002B2876" w:rsidP="005041F1">
            <w:pPr>
              <w:jc w:val="both"/>
              <w:rPr>
                <w:sz w:val="22"/>
                <w:szCs w:val="22"/>
              </w:rPr>
            </w:pPr>
            <w:r w:rsidRPr="00F11E73">
              <w:rPr>
                <w:sz w:val="22"/>
                <w:szCs w:val="22"/>
              </w:rPr>
              <w:t xml:space="preserve">  Black</w:t>
            </w:r>
          </w:p>
        </w:tc>
        <w:tc>
          <w:tcPr>
            <w:tcW w:w="829" w:type="pct"/>
            <w:shd w:val="clear" w:color="auto" w:fill="FFFFFF"/>
            <w:noWrap/>
            <w:vAlign w:val="center"/>
          </w:tcPr>
          <w:p w14:paraId="0F9E7DBE" w14:textId="77777777" w:rsidR="002B2876" w:rsidRPr="00F11E73" w:rsidRDefault="002B2876" w:rsidP="005041F1">
            <w:pPr>
              <w:jc w:val="right"/>
              <w:rPr>
                <w:sz w:val="22"/>
                <w:szCs w:val="22"/>
              </w:rPr>
            </w:pPr>
            <w:r w:rsidRPr="00F11E73">
              <w:rPr>
                <w:sz w:val="22"/>
                <w:szCs w:val="22"/>
              </w:rPr>
              <w:t>474 (11.79%)</w:t>
            </w:r>
          </w:p>
        </w:tc>
        <w:tc>
          <w:tcPr>
            <w:tcW w:w="780" w:type="pct"/>
            <w:shd w:val="clear" w:color="auto" w:fill="FFFFFF"/>
            <w:noWrap/>
            <w:vAlign w:val="center"/>
          </w:tcPr>
          <w:p w14:paraId="4E4AAAB4" w14:textId="77777777" w:rsidR="002B2876" w:rsidRPr="00F11E73" w:rsidRDefault="002B2876" w:rsidP="005041F1">
            <w:pPr>
              <w:jc w:val="right"/>
              <w:rPr>
                <w:sz w:val="22"/>
                <w:szCs w:val="22"/>
              </w:rPr>
            </w:pPr>
            <w:r w:rsidRPr="00F11E73">
              <w:rPr>
                <w:sz w:val="22"/>
                <w:szCs w:val="22"/>
              </w:rPr>
              <w:t>93 (9.95%)</w:t>
            </w:r>
          </w:p>
        </w:tc>
        <w:tc>
          <w:tcPr>
            <w:tcW w:w="830" w:type="pct"/>
            <w:shd w:val="clear" w:color="auto" w:fill="FFFFFF"/>
            <w:noWrap/>
            <w:vAlign w:val="center"/>
          </w:tcPr>
          <w:p w14:paraId="21839C93" w14:textId="77777777" w:rsidR="002B2876" w:rsidRPr="00F11E73" w:rsidRDefault="002B2876" w:rsidP="005041F1">
            <w:pPr>
              <w:jc w:val="right"/>
              <w:rPr>
                <w:sz w:val="22"/>
                <w:szCs w:val="22"/>
              </w:rPr>
            </w:pPr>
            <w:r w:rsidRPr="00F11E73">
              <w:rPr>
                <w:sz w:val="22"/>
                <w:szCs w:val="22"/>
              </w:rPr>
              <w:t>191 (11.10%)</w:t>
            </w:r>
          </w:p>
        </w:tc>
        <w:tc>
          <w:tcPr>
            <w:tcW w:w="730" w:type="pct"/>
            <w:shd w:val="clear" w:color="auto" w:fill="FFFFFF"/>
            <w:noWrap/>
            <w:vAlign w:val="center"/>
          </w:tcPr>
          <w:p w14:paraId="511A7D6E" w14:textId="77777777" w:rsidR="002B2876" w:rsidRPr="00F11E73" w:rsidRDefault="002B2876" w:rsidP="005041F1">
            <w:pPr>
              <w:jc w:val="right"/>
              <w:rPr>
                <w:sz w:val="22"/>
                <w:szCs w:val="22"/>
              </w:rPr>
            </w:pPr>
            <w:r w:rsidRPr="00F11E73">
              <w:rPr>
                <w:sz w:val="22"/>
                <w:szCs w:val="22"/>
              </w:rPr>
              <w:t>233 (9.27%)</w:t>
            </w:r>
          </w:p>
        </w:tc>
        <w:tc>
          <w:tcPr>
            <w:tcW w:w="500" w:type="pct"/>
            <w:shd w:val="clear" w:color="auto" w:fill="FFFFFF"/>
            <w:noWrap/>
            <w:vAlign w:val="center"/>
          </w:tcPr>
          <w:p w14:paraId="004AD07D" w14:textId="77777777" w:rsidR="002B2876" w:rsidRPr="00F11E73" w:rsidRDefault="002B2876" w:rsidP="005041F1">
            <w:pPr>
              <w:jc w:val="right"/>
              <w:rPr>
                <w:sz w:val="22"/>
                <w:szCs w:val="22"/>
              </w:rPr>
            </w:pPr>
          </w:p>
        </w:tc>
      </w:tr>
      <w:tr w:rsidR="002B2876" w:rsidRPr="00F11E73" w14:paraId="18A4C1AD" w14:textId="77777777" w:rsidTr="005041F1">
        <w:trPr>
          <w:trHeight w:val="270"/>
        </w:trPr>
        <w:tc>
          <w:tcPr>
            <w:tcW w:w="1331" w:type="pct"/>
            <w:shd w:val="clear" w:color="auto" w:fill="FFFFFF"/>
            <w:noWrap/>
            <w:vAlign w:val="center"/>
          </w:tcPr>
          <w:p w14:paraId="443E5307" w14:textId="77777777" w:rsidR="002B2876" w:rsidRPr="00F11E73" w:rsidRDefault="002B2876" w:rsidP="005041F1">
            <w:pPr>
              <w:jc w:val="both"/>
              <w:rPr>
                <w:sz w:val="22"/>
                <w:szCs w:val="22"/>
              </w:rPr>
            </w:pPr>
            <w:r w:rsidRPr="00F11E73">
              <w:rPr>
                <w:sz w:val="22"/>
                <w:szCs w:val="22"/>
              </w:rPr>
              <w:t xml:space="preserve">  Other</w:t>
            </w:r>
          </w:p>
        </w:tc>
        <w:tc>
          <w:tcPr>
            <w:tcW w:w="829" w:type="pct"/>
            <w:shd w:val="clear" w:color="auto" w:fill="FFFFFF"/>
            <w:noWrap/>
            <w:vAlign w:val="center"/>
          </w:tcPr>
          <w:p w14:paraId="26041BD8" w14:textId="77777777" w:rsidR="002B2876" w:rsidRPr="00F11E73" w:rsidRDefault="002B2876" w:rsidP="005041F1">
            <w:pPr>
              <w:jc w:val="right"/>
              <w:rPr>
                <w:sz w:val="22"/>
                <w:szCs w:val="22"/>
              </w:rPr>
            </w:pPr>
            <w:r w:rsidRPr="00F11E73">
              <w:rPr>
                <w:sz w:val="22"/>
                <w:szCs w:val="22"/>
              </w:rPr>
              <w:t>79 (1.96%)</w:t>
            </w:r>
          </w:p>
        </w:tc>
        <w:tc>
          <w:tcPr>
            <w:tcW w:w="780" w:type="pct"/>
            <w:shd w:val="clear" w:color="auto" w:fill="FFFFFF"/>
            <w:noWrap/>
            <w:vAlign w:val="center"/>
          </w:tcPr>
          <w:p w14:paraId="06AD0151" w14:textId="77777777" w:rsidR="002B2876" w:rsidRPr="00F11E73" w:rsidRDefault="002B2876" w:rsidP="005041F1">
            <w:pPr>
              <w:jc w:val="right"/>
              <w:rPr>
                <w:sz w:val="22"/>
                <w:szCs w:val="22"/>
              </w:rPr>
            </w:pPr>
            <w:r w:rsidRPr="00F11E73">
              <w:rPr>
                <w:sz w:val="22"/>
                <w:szCs w:val="22"/>
              </w:rPr>
              <w:t>21 (2.24%)</w:t>
            </w:r>
          </w:p>
        </w:tc>
        <w:tc>
          <w:tcPr>
            <w:tcW w:w="830" w:type="pct"/>
            <w:shd w:val="clear" w:color="auto" w:fill="FFFFFF"/>
            <w:noWrap/>
            <w:vAlign w:val="center"/>
          </w:tcPr>
          <w:p w14:paraId="36183DB8" w14:textId="77777777" w:rsidR="002B2876" w:rsidRPr="00F11E73" w:rsidRDefault="002B2876" w:rsidP="005041F1">
            <w:pPr>
              <w:jc w:val="right"/>
              <w:rPr>
                <w:sz w:val="22"/>
                <w:szCs w:val="22"/>
              </w:rPr>
            </w:pPr>
            <w:r w:rsidRPr="00F11E73">
              <w:rPr>
                <w:sz w:val="22"/>
                <w:szCs w:val="22"/>
              </w:rPr>
              <w:t>20 (1.16%)</w:t>
            </w:r>
          </w:p>
        </w:tc>
        <w:tc>
          <w:tcPr>
            <w:tcW w:w="730" w:type="pct"/>
            <w:shd w:val="clear" w:color="auto" w:fill="FFFFFF"/>
            <w:noWrap/>
            <w:vAlign w:val="center"/>
          </w:tcPr>
          <w:p w14:paraId="5B0485A6" w14:textId="77777777" w:rsidR="002B2876" w:rsidRPr="00F11E73" w:rsidRDefault="002B2876" w:rsidP="005041F1">
            <w:pPr>
              <w:jc w:val="right"/>
              <w:rPr>
                <w:sz w:val="22"/>
                <w:szCs w:val="22"/>
              </w:rPr>
            </w:pPr>
            <w:r w:rsidRPr="00F11E73">
              <w:rPr>
                <w:sz w:val="22"/>
                <w:szCs w:val="22"/>
              </w:rPr>
              <w:t>41 (1.63%)</w:t>
            </w:r>
          </w:p>
        </w:tc>
        <w:tc>
          <w:tcPr>
            <w:tcW w:w="500" w:type="pct"/>
            <w:shd w:val="clear" w:color="auto" w:fill="FFFFFF"/>
            <w:noWrap/>
            <w:vAlign w:val="center"/>
          </w:tcPr>
          <w:p w14:paraId="578807EC" w14:textId="77777777" w:rsidR="002B2876" w:rsidRPr="00F11E73" w:rsidRDefault="002B2876" w:rsidP="005041F1">
            <w:pPr>
              <w:jc w:val="right"/>
              <w:rPr>
                <w:sz w:val="22"/>
                <w:szCs w:val="22"/>
              </w:rPr>
            </w:pPr>
          </w:p>
        </w:tc>
      </w:tr>
      <w:tr w:rsidR="002B2876" w:rsidRPr="00F11E73" w14:paraId="07436564" w14:textId="77777777" w:rsidTr="005041F1">
        <w:trPr>
          <w:trHeight w:val="270"/>
        </w:trPr>
        <w:tc>
          <w:tcPr>
            <w:tcW w:w="1331" w:type="pct"/>
            <w:shd w:val="clear" w:color="auto" w:fill="FFFFFF"/>
            <w:noWrap/>
            <w:vAlign w:val="center"/>
          </w:tcPr>
          <w:p w14:paraId="03A6D4A1" w14:textId="77777777" w:rsidR="002B2876" w:rsidRPr="00F11E73" w:rsidRDefault="002B2876" w:rsidP="005041F1">
            <w:pPr>
              <w:jc w:val="both"/>
              <w:rPr>
                <w:sz w:val="22"/>
                <w:szCs w:val="22"/>
              </w:rPr>
            </w:pPr>
            <w:r w:rsidRPr="00F11E73">
              <w:rPr>
                <w:sz w:val="22"/>
                <w:szCs w:val="22"/>
              </w:rPr>
              <w:t>Mean year of schooling (SD)</w:t>
            </w:r>
          </w:p>
        </w:tc>
        <w:tc>
          <w:tcPr>
            <w:tcW w:w="829" w:type="pct"/>
            <w:shd w:val="clear" w:color="auto" w:fill="FFFFFF"/>
            <w:noWrap/>
            <w:vAlign w:val="center"/>
          </w:tcPr>
          <w:p w14:paraId="3237E29B" w14:textId="77777777" w:rsidR="002B2876" w:rsidRPr="00F11E73" w:rsidRDefault="002B2876" w:rsidP="005041F1">
            <w:pPr>
              <w:jc w:val="right"/>
              <w:rPr>
                <w:sz w:val="22"/>
                <w:szCs w:val="22"/>
              </w:rPr>
            </w:pPr>
            <w:r w:rsidRPr="00F11E73">
              <w:rPr>
                <w:sz w:val="22"/>
                <w:szCs w:val="22"/>
              </w:rPr>
              <w:t>9.98 (3.59)</w:t>
            </w:r>
          </w:p>
        </w:tc>
        <w:tc>
          <w:tcPr>
            <w:tcW w:w="780" w:type="pct"/>
            <w:shd w:val="clear" w:color="auto" w:fill="FFFFFF"/>
            <w:noWrap/>
            <w:vAlign w:val="center"/>
          </w:tcPr>
          <w:p w14:paraId="24FD1E0A" w14:textId="77777777" w:rsidR="002B2876" w:rsidRPr="00F11E73" w:rsidRDefault="002B2876" w:rsidP="005041F1">
            <w:pPr>
              <w:jc w:val="right"/>
              <w:rPr>
                <w:sz w:val="22"/>
                <w:szCs w:val="22"/>
              </w:rPr>
            </w:pPr>
            <w:r w:rsidRPr="00F11E73">
              <w:rPr>
                <w:sz w:val="22"/>
                <w:szCs w:val="22"/>
              </w:rPr>
              <w:t>11.03 (3.30)</w:t>
            </w:r>
          </w:p>
        </w:tc>
        <w:tc>
          <w:tcPr>
            <w:tcW w:w="830" w:type="pct"/>
            <w:shd w:val="clear" w:color="auto" w:fill="FFFFFF"/>
            <w:noWrap/>
            <w:vAlign w:val="center"/>
          </w:tcPr>
          <w:p w14:paraId="1D763549" w14:textId="77777777" w:rsidR="002B2876" w:rsidRPr="00F11E73" w:rsidRDefault="002B2876" w:rsidP="005041F1">
            <w:pPr>
              <w:jc w:val="right"/>
              <w:rPr>
                <w:sz w:val="22"/>
                <w:szCs w:val="22"/>
              </w:rPr>
            </w:pPr>
            <w:r w:rsidRPr="00F11E73">
              <w:rPr>
                <w:sz w:val="22"/>
                <w:szCs w:val="22"/>
              </w:rPr>
              <w:t>11.40 (3.41)</w:t>
            </w:r>
          </w:p>
        </w:tc>
        <w:tc>
          <w:tcPr>
            <w:tcW w:w="730" w:type="pct"/>
            <w:shd w:val="clear" w:color="auto" w:fill="FFFFFF"/>
            <w:noWrap/>
            <w:vAlign w:val="center"/>
          </w:tcPr>
          <w:p w14:paraId="5AE6E837" w14:textId="77777777" w:rsidR="002B2876" w:rsidRPr="00F11E73" w:rsidRDefault="002B2876" w:rsidP="005041F1">
            <w:pPr>
              <w:jc w:val="right"/>
              <w:rPr>
                <w:sz w:val="22"/>
                <w:szCs w:val="22"/>
              </w:rPr>
            </w:pPr>
            <w:r w:rsidRPr="00F11E73">
              <w:rPr>
                <w:sz w:val="22"/>
                <w:szCs w:val="22"/>
              </w:rPr>
              <w:t>12.06 (3.30)</w:t>
            </w:r>
          </w:p>
        </w:tc>
        <w:tc>
          <w:tcPr>
            <w:tcW w:w="500" w:type="pct"/>
            <w:shd w:val="clear" w:color="auto" w:fill="FFFFFF"/>
            <w:noWrap/>
            <w:vAlign w:val="center"/>
          </w:tcPr>
          <w:p w14:paraId="676776BF" w14:textId="77777777" w:rsidR="002B2876" w:rsidRPr="00F11E73" w:rsidRDefault="002B2876" w:rsidP="005041F1">
            <w:pPr>
              <w:jc w:val="right"/>
              <w:rPr>
                <w:sz w:val="22"/>
                <w:szCs w:val="22"/>
              </w:rPr>
            </w:pPr>
            <w:r w:rsidRPr="00F11E73">
              <w:rPr>
                <w:sz w:val="22"/>
                <w:szCs w:val="22"/>
              </w:rPr>
              <w:t>&lt;0.001</w:t>
            </w:r>
          </w:p>
        </w:tc>
      </w:tr>
      <w:tr w:rsidR="002B2876" w:rsidRPr="00F11E73" w14:paraId="0BF6C582" w14:textId="77777777" w:rsidTr="005041F1">
        <w:trPr>
          <w:trHeight w:val="270"/>
        </w:trPr>
        <w:tc>
          <w:tcPr>
            <w:tcW w:w="1331" w:type="pct"/>
            <w:shd w:val="clear" w:color="auto" w:fill="FFFFFF"/>
            <w:noWrap/>
            <w:vAlign w:val="center"/>
          </w:tcPr>
          <w:p w14:paraId="3F95654D" w14:textId="77777777" w:rsidR="002B2876" w:rsidRPr="00F11E73" w:rsidRDefault="002B2876" w:rsidP="005041F1">
            <w:pPr>
              <w:jc w:val="both"/>
              <w:rPr>
                <w:sz w:val="22"/>
                <w:szCs w:val="22"/>
              </w:rPr>
            </w:pPr>
            <w:r w:rsidRPr="00F11E73">
              <w:rPr>
                <w:sz w:val="22"/>
                <w:szCs w:val="22"/>
              </w:rPr>
              <w:t>Marital status</w:t>
            </w:r>
          </w:p>
        </w:tc>
        <w:tc>
          <w:tcPr>
            <w:tcW w:w="829" w:type="pct"/>
            <w:shd w:val="clear" w:color="auto" w:fill="FFFFFF"/>
            <w:noWrap/>
            <w:vAlign w:val="center"/>
          </w:tcPr>
          <w:p w14:paraId="615C08BF" w14:textId="77777777" w:rsidR="002B2876" w:rsidRPr="00F11E73" w:rsidRDefault="002B2876" w:rsidP="005041F1">
            <w:pPr>
              <w:jc w:val="right"/>
              <w:rPr>
                <w:sz w:val="22"/>
                <w:szCs w:val="22"/>
              </w:rPr>
            </w:pPr>
          </w:p>
        </w:tc>
        <w:tc>
          <w:tcPr>
            <w:tcW w:w="780" w:type="pct"/>
            <w:shd w:val="clear" w:color="auto" w:fill="FFFFFF"/>
            <w:noWrap/>
            <w:vAlign w:val="center"/>
          </w:tcPr>
          <w:p w14:paraId="22C8760F" w14:textId="77777777" w:rsidR="002B2876" w:rsidRPr="00F11E73" w:rsidRDefault="002B2876" w:rsidP="005041F1">
            <w:pPr>
              <w:jc w:val="right"/>
              <w:rPr>
                <w:sz w:val="22"/>
                <w:szCs w:val="22"/>
              </w:rPr>
            </w:pPr>
          </w:p>
        </w:tc>
        <w:tc>
          <w:tcPr>
            <w:tcW w:w="830" w:type="pct"/>
            <w:shd w:val="clear" w:color="auto" w:fill="FFFFFF"/>
            <w:noWrap/>
            <w:vAlign w:val="center"/>
          </w:tcPr>
          <w:p w14:paraId="7F65DBC9" w14:textId="77777777" w:rsidR="002B2876" w:rsidRPr="00F11E73" w:rsidRDefault="002B2876" w:rsidP="005041F1">
            <w:pPr>
              <w:jc w:val="right"/>
              <w:rPr>
                <w:sz w:val="22"/>
                <w:szCs w:val="22"/>
              </w:rPr>
            </w:pPr>
          </w:p>
        </w:tc>
        <w:tc>
          <w:tcPr>
            <w:tcW w:w="730" w:type="pct"/>
            <w:shd w:val="clear" w:color="auto" w:fill="FFFFFF"/>
            <w:noWrap/>
            <w:vAlign w:val="center"/>
          </w:tcPr>
          <w:p w14:paraId="01ADB305" w14:textId="77777777" w:rsidR="002B2876" w:rsidRPr="00F11E73" w:rsidRDefault="002B2876" w:rsidP="005041F1">
            <w:pPr>
              <w:jc w:val="right"/>
              <w:rPr>
                <w:sz w:val="22"/>
                <w:szCs w:val="22"/>
              </w:rPr>
            </w:pPr>
          </w:p>
        </w:tc>
        <w:tc>
          <w:tcPr>
            <w:tcW w:w="500" w:type="pct"/>
            <w:shd w:val="clear" w:color="auto" w:fill="FFFFFF"/>
            <w:noWrap/>
            <w:vAlign w:val="center"/>
          </w:tcPr>
          <w:p w14:paraId="7FB98A2C" w14:textId="77777777" w:rsidR="002B2876" w:rsidRPr="00F11E73" w:rsidRDefault="002B2876" w:rsidP="005041F1">
            <w:pPr>
              <w:jc w:val="right"/>
              <w:rPr>
                <w:sz w:val="22"/>
                <w:szCs w:val="22"/>
              </w:rPr>
            </w:pPr>
            <w:r w:rsidRPr="00F11E73">
              <w:rPr>
                <w:sz w:val="22"/>
                <w:szCs w:val="22"/>
              </w:rPr>
              <w:t>&lt;0.001</w:t>
            </w:r>
          </w:p>
        </w:tc>
      </w:tr>
      <w:tr w:rsidR="002B2876" w:rsidRPr="00F11E73" w14:paraId="1BD8724F" w14:textId="77777777" w:rsidTr="005041F1">
        <w:trPr>
          <w:trHeight w:val="270"/>
        </w:trPr>
        <w:tc>
          <w:tcPr>
            <w:tcW w:w="1331" w:type="pct"/>
            <w:shd w:val="clear" w:color="auto" w:fill="FFFFFF"/>
            <w:noWrap/>
            <w:vAlign w:val="center"/>
          </w:tcPr>
          <w:p w14:paraId="1503B8A9" w14:textId="77777777" w:rsidR="002B2876" w:rsidRPr="00F11E73" w:rsidRDefault="002B2876" w:rsidP="005041F1">
            <w:pPr>
              <w:jc w:val="both"/>
              <w:rPr>
                <w:sz w:val="22"/>
                <w:szCs w:val="22"/>
              </w:rPr>
            </w:pPr>
            <w:r w:rsidRPr="00F11E73">
              <w:rPr>
                <w:sz w:val="22"/>
                <w:szCs w:val="22"/>
              </w:rPr>
              <w:t xml:space="preserve">  Married</w:t>
            </w:r>
          </w:p>
        </w:tc>
        <w:tc>
          <w:tcPr>
            <w:tcW w:w="829" w:type="pct"/>
            <w:shd w:val="clear" w:color="auto" w:fill="FFFFFF"/>
            <w:noWrap/>
            <w:vAlign w:val="center"/>
          </w:tcPr>
          <w:p w14:paraId="4ACFFA38" w14:textId="77777777" w:rsidR="002B2876" w:rsidRPr="00F11E73" w:rsidRDefault="002B2876" w:rsidP="005041F1">
            <w:pPr>
              <w:jc w:val="right"/>
              <w:rPr>
                <w:sz w:val="22"/>
                <w:szCs w:val="22"/>
              </w:rPr>
            </w:pPr>
            <w:r w:rsidRPr="00F11E73">
              <w:rPr>
                <w:sz w:val="22"/>
                <w:szCs w:val="22"/>
              </w:rPr>
              <w:t>2865 (71.23%)</w:t>
            </w:r>
          </w:p>
        </w:tc>
        <w:tc>
          <w:tcPr>
            <w:tcW w:w="780" w:type="pct"/>
            <w:shd w:val="clear" w:color="auto" w:fill="FFFFFF"/>
            <w:noWrap/>
            <w:vAlign w:val="center"/>
          </w:tcPr>
          <w:p w14:paraId="27BF137B" w14:textId="77777777" w:rsidR="002B2876" w:rsidRPr="00F11E73" w:rsidRDefault="002B2876" w:rsidP="005041F1">
            <w:pPr>
              <w:jc w:val="right"/>
              <w:rPr>
                <w:sz w:val="22"/>
                <w:szCs w:val="22"/>
              </w:rPr>
            </w:pPr>
            <w:r w:rsidRPr="00F11E73">
              <w:rPr>
                <w:sz w:val="22"/>
                <w:szCs w:val="22"/>
              </w:rPr>
              <w:t>679 (72.62%)</w:t>
            </w:r>
          </w:p>
        </w:tc>
        <w:tc>
          <w:tcPr>
            <w:tcW w:w="830" w:type="pct"/>
            <w:shd w:val="clear" w:color="auto" w:fill="FFFFFF"/>
            <w:noWrap/>
            <w:vAlign w:val="center"/>
          </w:tcPr>
          <w:p w14:paraId="685B270E" w14:textId="77777777" w:rsidR="002B2876" w:rsidRPr="00F11E73" w:rsidRDefault="002B2876" w:rsidP="005041F1">
            <w:pPr>
              <w:jc w:val="right"/>
              <w:rPr>
                <w:sz w:val="22"/>
                <w:szCs w:val="22"/>
              </w:rPr>
            </w:pPr>
            <w:r w:rsidRPr="00F11E73">
              <w:rPr>
                <w:sz w:val="22"/>
                <w:szCs w:val="22"/>
              </w:rPr>
              <w:t>1284 (74.65%)</w:t>
            </w:r>
          </w:p>
        </w:tc>
        <w:tc>
          <w:tcPr>
            <w:tcW w:w="730" w:type="pct"/>
            <w:shd w:val="clear" w:color="auto" w:fill="FFFFFF"/>
            <w:noWrap/>
            <w:vAlign w:val="center"/>
          </w:tcPr>
          <w:p w14:paraId="0BF627F8" w14:textId="77777777" w:rsidR="002B2876" w:rsidRPr="00F11E73" w:rsidRDefault="002B2876" w:rsidP="005041F1">
            <w:pPr>
              <w:jc w:val="right"/>
              <w:rPr>
                <w:sz w:val="22"/>
                <w:szCs w:val="22"/>
              </w:rPr>
            </w:pPr>
            <w:r w:rsidRPr="00F11E73">
              <w:rPr>
                <w:sz w:val="22"/>
                <w:szCs w:val="22"/>
              </w:rPr>
              <w:t>1961 (78.03%)</w:t>
            </w:r>
          </w:p>
        </w:tc>
        <w:tc>
          <w:tcPr>
            <w:tcW w:w="500" w:type="pct"/>
            <w:shd w:val="clear" w:color="auto" w:fill="FFFFFF"/>
            <w:noWrap/>
            <w:vAlign w:val="center"/>
          </w:tcPr>
          <w:p w14:paraId="7D680D70" w14:textId="77777777" w:rsidR="002B2876" w:rsidRPr="00F11E73" w:rsidRDefault="002B2876" w:rsidP="005041F1">
            <w:pPr>
              <w:jc w:val="right"/>
              <w:rPr>
                <w:sz w:val="22"/>
                <w:szCs w:val="22"/>
              </w:rPr>
            </w:pPr>
          </w:p>
        </w:tc>
      </w:tr>
      <w:tr w:rsidR="002B2876" w:rsidRPr="00F11E73" w14:paraId="67207141" w14:textId="77777777" w:rsidTr="005041F1">
        <w:trPr>
          <w:trHeight w:val="270"/>
        </w:trPr>
        <w:tc>
          <w:tcPr>
            <w:tcW w:w="1331" w:type="pct"/>
            <w:shd w:val="clear" w:color="auto" w:fill="FFFFFF"/>
            <w:noWrap/>
            <w:vAlign w:val="center"/>
          </w:tcPr>
          <w:p w14:paraId="59A5F479" w14:textId="77777777" w:rsidR="002B2876" w:rsidRPr="00F11E73" w:rsidRDefault="002B2876" w:rsidP="005041F1">
            <w:pPr>
              <w:jc w:val="both"/>
              <w:rPr>
                <w:sz w:val="22"/>
                <w:szCs w:val="22"/>
              </w:rPr>
            </w:pPr>
            <w:r w:rsidRPr="00F11E73">
              <w:rPr>
                <w:sz w:val="22"/>
                <w:szCs w:val="22"/>
              </w:rPr>
              <w:t xml:space="preserve">  Widowed </w:t>
            </w:r>
          </w:p>
        </w:tc>
        <w:tc>
          <w:tcPr>
            <w:tcW w:w="829" w:type="pct"/>
            <w:shd w:val="clear" w:color="auto" w:fill="FFFFFF"/>
            <w:noWrap/>
            <w:vAlign w:val="center"/>
          </w:tcPr>
          <w:p w14:paraId="4EA0B380" w14:textId="77777777" w:rsidR="002B2876" w:rsidRPr="00F11E73" w:rsidRDefault="002B2876" w:rsidP="005041F1">
            <w:pPr>
              <w:jc w:val="right"/>
              <w:rPr>
                <w:sz w:val="22"/>
                <w:szCs w:val="22"/>
              </w:rPr>
            </w:pPr>
            <w:r w:rsidRPr="00F11E73">
              <w:rPr>
                <w:sz w:val="22"/>
                <w:szCs w:val="22"/>
              </w:rPr>
              <w:t>664 (16.51%)</w:t>
            </w:r>
          </w:p>
        </w:tc>
        <w:tc>
          <w:tcPr>
            <w:tcW w:w="780" w:type="pct"/>
            <w:shd w:val="clear" w:color="auto" w:fill="FFFFFF"/>
            <w:noWrap/>
            <w:vAlign w:val="center"/>
          </w:tcPr>
          <w:p w14:paraId="061324C6" w14:textId="77777777" w:rsidR="002B2876" w:rsidRPr="00F11E73" w:rsidRDefault="002B2876" w:rsidP="005041F1">
            <w:pPr>
              <w:jc w:val="right"/>
              <w:rPr>
                <w:sz w:val="22"/>
                <w:szCs w:val="22"/>
              </w:rPr>
            </w:pPr>
            <w:r w:rsidRPr="00F11E73">
              <w:rPr>
                <w:sz w:val="22"/>
                <w:szCs w:val="22"/>
              </w:rPr>
              <w:t>125 (13.37%)</w:t>
            </w:r>
          </w:p>
        </w:tc>
        <w:tc>
          <w:tcPr>
            <w:tcW w:w="830" w:type="pct"/>
            <w:shd w:val="clear" w:color="auto" w:fill="FFFFFF"/>
            <w:noWrap/>
            <w:vAlign w:val="center"/>
          </w:tcPr>
          <w:p w14:paraId="2776694B" w14:textId="77777777" w:rsidR="002B2876" w:rsidRPr="00F11E73" w:rsidRDefault="002B2876" w:rsidP="005041F1">
            <w:pPr>
              <w:jc w:val="right"/>
              <w:rPr>
                <w:sz w:val="22"/>
                <w:szCs w:val="22"/>
              </w:rPr>
            </w:pPr>
            <w:r w:rsidRPr="00F11E73">
              <w:rPr>
                <w:sz w:val="22"/>
                <w:szCs w:val="22"/>
              </w:rPr>
              <w:t>169 (9.83%)</w:t>
            </w:r>
          </w:p>
        </w:tc>
        <w:tc>
          <w:tcPr>
            <w:tcW w:w="730" w:type="pct"/>
            <w:shd w:val="clear" w:color="auto" w:fill="FFFFFF"/>
            <w:noWrap/>
            <w:vAlign w:val="center"/>
          </w:tcPr>
          <w:p w14:paraId="04B21FEB" w14:textId="77777777" w:rsidR="002B2876" w:rsidRPr="00F11E73" w:rsidRDefault="002B2876" w:rsidP="005041F1">
            <w:pPr>
              <w:jc w:val="right"/>
              <w:rPr>
                <w:sz w:val="22"/>
                <w:szCs w:val="22"/>
              </w:rPr>
            </w:pPr>
            <w:r w:rsidRPr="00F11E73">
              <w:rPr>
                <w:sz w:val="22"/>
                <w:szCs w:val="22"/>
              </w:rPr>
              <w:t>168 (6.69%)</w:t>
            </w:r>
          </w:p>
        </w:tc>
        <w:tc>
          <w:tcPr>
            <w:tcW w:w="500" w:type="pct"/>
            <w:shd w:val="clear" w:color="auto" w:fill="FFFFFF"/>
            <w:noWrap/>
            <w:vAlign w:val="center"/>
          </w:tcPr>
          <w:p w14:paraId="407F1A4A" w14:textId="77777777" w:rsidR="002B2876" w:rsidRPr="00F11E73" w:rsidRDefault="002B2876" w:rsidP="005041F1">
            <w:pPr>
              <w:jc w:val="right"/>
              <w:rPr>
                <w:sz w:val="22"/>
                <w:szCs w:val="22"/>
              </w:rPr>
            </w:pPr>
          </w:p>
        </w:tc>
      </w:tr>
      <w:tr w:rsidR="002B2876" w:rsidRPr="00F11E73" w14:paraId="2D7068AA" w14:textId="77777777" w:rsidTr="005041F1">
        <w:trPr>
          <w:trHeight w:val="270"/>
        </w:trPr>
        <w:tc>
          <w:tcPr>
            <w:tcW w:w="1331" w:type="pct"/>
            <w:shd w:val="clear" w:color="auto" w:fill="FFFFFF"/>
            <w:noWrap/>
            <w:vAlign w:val="center"/>
          </w:tcPr>
          <w:p w14:paraId="62A5CBCA" w14:textId="77777777" w:rsidR="002B2876" w:rsidRPr="00F11E73" w:rsidRDefault="002B2876" w:rsidP="005041F1">
            <w:pPr>
              <w:jc w:val="both"/>
              <w:rPr>
                <w:sz w:val="22"/>
                <w:szCs w:val="22"/>
              </w:rPr>
            </w:pPr>
            <w:r w:rsidRPr="00F11E73">
              <w:rPr>
                <w:sz w:val="22"/>
                <w:szCs w:val="22"/>
              </w:rPr>
              <w:t xml:space="preserve">  Divorced </w:t>
            </w:r>
          </w:p>
        </w:tc>
        <w:tc>
          <w:tcPr>
            <w:tcW w:w="829" w:type="pct"/>
            <w:shd w:val="clear" w:color="auto" w:fill="FFFFFF"/>
            <w:noWrap/>
            <w:vAlign w:val="center"/>
          </w:tcPr>
          <w:p w14:paraId="0D87E3EB" w14:textId="77777777" w:rsidR="002B2876" w:rsidRPr="00F11E73" w:rsidRDefault="002B2876" w:rsidP="005041F1">
            <w:pPr>
              <w:jc w:val="right"/>
              <w:rPr>
                <w:sz w:val="22"/>
                <w:szCs w:val="22"/>
              </w:rPr>
            </w:pPr>
            <w:r w:rsidRPr="00F11E73">
              <w:rPr>
                <w:sz w:val="22"/>
                <w:szCs w:val="22"/>
              </w:rPr>
              <w:t>190 (4.72%)</w:t>
            </w:r>
          </w:p>
        </w:tc>
        <w:tc>
          <w:tcPr>
            <w:tcW w:w="780" w:type="pct"/>
            <w:shd w:val="clear" w:color="auto" w:fill="FFFFFF"/>
            <w:noWrap/>
            <w:vAlign w:val="center"/>
          </w:tcPr>
          <w:p w14:paraId="313F788D" w14:textId="77777777" w:rsidR="002B2876" w:rsidRPr="00F11E73" w:rsidRDefault="002B2876" w:rsidP="005041F1">
            <w:pPr>
              <w:jc w:val="right"/>
              <w:rPr>
                <w:sz w:val="22"/>
                <w:szCs w:val="22"/>
              </w:rPr>
            </w:pPr>
            <w:r w:rsidRPr="00F11E73">
              <w:rPr>
                <w:sz w:val="22"/>
                <w:szCs w:val="22"/>
              </w:rPr>
              <w:t>67 (7.17%)</w:t>
            </w:r>
          </w:p>
        </w:tc>
        <w:tc>
          <w:tcPr>
            <w:tcW w:w="830" w:type="pct"/>
            <w:shd w:val="clear" w:color="auto" w:fill="FFFFFF"/>
            <w:noWrap/>
            <w:vAlign w:val="center"/>
          </w:tcPr>
          <w:p w14:paraId="6B008C51" w14:textId="77777777" w:rsidR="002B2876" w:rsidRPr="00F11E73" w:rsidRDefault="002B2876" w:rsidP="005041F1">
            <w:pPr>
              <w:jc w:val="right"/>
              <w:rPr>
                <w:sz w:val="22"/>
                <w:szCs w:val="22"/>
              </w:rPr>
            </w:pPr>
            <w:r w:rsidRPr="00F11E73">
              <w:rPr>
                <w:sz w:val="22"/>
                <w:szCs w:val="22"/>
              </w:rPr>
              <w:t>100 (5.81%)</w:t>
            </w:r>
          </w:p>
        </w:tc>
        <w:tc>
          <w:tcPr>
            <w:tcW w:w="730" w:type="pct"/>
            <w:shd w:val="clear" w:color="auto" w:fill="FFFFFF"/>
            <w:noWrap/>
            <w:vAlign w:val="center"/>
          </w:tcPr>
          <w:p w14:paraId="0F13EA21" w14:textId="77777777" w:rsidR="002B2876" w:rsidRPr="00F11E73" w:rsidRDefault="002B2876" w:rsidP="005041F1">
            <w:pPr>
              <w:jc w:val="right"/>
              <w:rPr>
                <w:sz w:val="22"/>
                <w:szCs w:val="22"/>
              </w:rPr>
            </w:pPr>
            <w:r w:rsidRPr="00F11E73">
              <w:rPr>
                <w:sz w:val="22"/>
                <w:szCs w:val="22"/>
              </w:rPr>
              <w:t>168 (6.69%)</w:t>
            </w:r>
          </w:p>
        </w:tc>
        <w:tc>
          <w:tcPr>
            <w:tcW w:w="500" w:type="pct"/>
            <w:shd w:val="clear" w:color="auto" w:fill="FFFFFF"/>
            <w:noWrap/>
            <w:vAlign w:val="center"/>
          </w:tcPr>
          <w:p w14:paraId="0A099A48" w14:textId="77777777" w:rsidR="002B2876" w:rsidRPr="00F11E73" w:rsidRDefault="002B2876" w:rsidP="005041F1">
            <w:pPr>
              <w:jc w:val="right"/>
              <w:rPr>
                <w:sz w:val="22"/>
                <w:szCs w:val="22"/>
              </w:rPr>
            </w:pPr>
          </w:p>
        </w:tc>
      </w:tr>
      <w:tr w:rsidR="002B2876" w:rsidRPr="00F11E73" w14:paraId="21776CA2" w14:textId="77777777" w:rsidTr="005041F1">
        <w:trPr>
          <w:trHeight w:val="270"/>
        </w:trPr>
        <w:tc>
          <w:tcPr>
            <w:tcW w:w="1331" w:type="pct"/>
            <w:shd w:val="clear" w:color="auto" w:fill="FFFFFF"/>
            <w:noWrap/>
            <w:vAlign w:val="center"/>
          </w:tcPr>
          <w:p w14:paraId="4C6C178D" w14:textId="77777777" w:rsidR="002B2876" w:rsidRPr="00F11E73" w:rsidRDefault="002B2876" w:rsidP="005041F1">
            <w:pPr>
              <w:jc w:val="both"/>
              <w:rPr>
                <w:sz w:val="22"/>
                <w:szCs w:val="22"/>
              </w:rPr>
            </w:pPr>
            <w:r w:rsidRPr="00F11E73">
              <w:rPr>
                <w:sz w:val="22"/>
                <w:szCs w:val="22"/>
              </w:rPr>
              <w:t xml:space="preserve">  Separated </w:t>
            </w:r>
          </w:p>
        </w:tc>
        <w:tc>
          <w:tcPr>
            <w:tcW w:w="829" w:type="pct"/>
            <w:shd w:val="clear" w:color="auto" w:fill="FFFFFF"/>
            <w:noWrap/>
            <w:vAlign w:val="center"/>
          </w:tcPr>
          <w:p w14:paraId="69D0553C" w14:textId="77777777" w:rsidR="002B2876" w:rsidRPr="00F11E73" w:rsidRDefault="002B2876" w:rsidP="005041F1">
            <w:pPr>
              <w:jc w:val="right"/>
              <w:rPr>
                <w:sz w:val="22"/>
                <w:szCs w:val="22"/>
              </w:rPr>
            </w:pPr>
            <w:r w:rsidRPr="00F11E73">
              <w:rPr>
                <w:sz w:val="22"/>
                <w:szCs w:val="22"/>
              </w:rPr>
              <w:t>94 (2.34%)</w:t>
            </w:r>
          </w:p>
        </w:tc>
        <w:tc>
          <w:tcPr>
            <w:tcW w:w="780" w:type="pct"/>
            <w:shd w:val="clear" w:color="auto" w:fill="FFFFFF"/>
            <w:noWrap/>
            <w:vAlign w:val="center"/>
          </w:tcPr>
          <w:p w14:paraId="7862D6E7" w14:textId="77777777" w:rsidR="002B2876" w:rsidRPr="00F11E73" w:rsidRDefault="002B2876" w:rsidP="005041F1">
            <w:pPr>
              <w:jc w:val="right"/>
              <w:rPr>
                <w:sz w:val="22"/>
                <w:szCs w:val="22"/>
              </w:rPr>
            </w:pPr>
            <w:r w:rsidRPr="00F11E73">
              <w:rPr>
                <w:sz w:val="22"/>
                <w:szCs w:val="22"/>
              </w:rPr>
              <w:t>20 (2.14%)</w:t>
            </w:r>
          </w:p>
        </w:tc>
        <w:tc>
          <w:tcPr>
            <w:tcW w:w="830" w:type="pct"/>
            <w:shd w:val="clear" w:color="auto" w:fill="FFFFFF"/>
            <w:noWrap/>
            <w:vAlign w:val="center"/>
          </w:tcPr>
          <w:p w14:paraId="02DB62A5" w14:textId="77777777" w:rsidR="002B2876" w:rsidRPr="00F11E73" w:rsidRDefault="002B2876" w:rsidP="005041F1">
            <w:pPr>
              <w:jc w:val="right"/>
              <w:rPr>
                <w:sz w:val="22"/>
                <w:szCs w:val="22"/>
              </w:rPr>
            </w:pPr>
            <w:r w:rsidRPr="00F11E73">
              <w:rPr>
                <w:sz w:val="22"/>
                <w:szCs w:val="22"/>
              </w:rPr>
              <w:t>59 (3.43%)</w:t>
            </w:r>
          </w:p>
        </w:tc>
        <w:tc>
          <w:tcPr>
            <w:tcW w:w="730" w:type="pct"/>
            <w:shd w:val="clear" w:color="auto" w:fill="FFFFFF"/>
            <w:noWrap/>
            <w:vAlign w:val="center"/>
          </w:tcPr>
          <w:p w14:paraId="3563F7D5" w14:textId="77777777" w:rsidR="002B2876" w:rsidRPr="00F11E73" w:rsidRDefault="002B2876" w:rsidP="005041F1">
            <w:pPr>
              <w:jc w:val="right"/>
              <w:rPr>
                <w:sz w:val="22"/>
                <w:szCs w:val="22"/>
              </w:rPr>
            </w:pPr>
            <w:r w:rsidRPr="00F11E73">
              <w:rPr>
                <w:sz w:val="22"/>
                <w:szCs w:val="22"/>
              </w:rPr>
              <w:t>70 (2.79%)</w:t>
            </w:r>
          </w:p>
        </w:tc>
        <w:tc>
          <w:tcPr>
            <w:tcW w:w="500" w:type="pct"/>
            <w:shd w:val="clear" w:color="auto" w:fill="FFFFFF"/>
            <w:noWrap/>
            <w:vAlign w:val="center"/>
          </w:tcPr>
          <w:p w14:paraId="57278072" w14:textId="77777777" w:rsidR="002B2876" w:rsidRPr="00F11E73" w:rsidRDefault="002B2876" w:rsidP="005041F1">
            <w:pPr>
              <w:jc w:val="right"/>
              <w:rPr>
                <w:sz w:val="22"/>
                <w:szCs w:val="22"/>
              </w:rPr>
            </w:pPr>
          </w:p>
        </w:tc>
      </w:tr>
      <w:tr w:rsidR="002B2876" w:rsidRPr="00F11E73" w14:paraId="4AFAB75F" w14:textId="77777777" w:rsidTr="005041F1">
        <w:trPr>
          <w:trHeight w:val="270"/>
        </w:trPr>
        <w:tc>
          <w:tcPr>
            <w:tcW w:w="1331" w:type="pct"/>
            <w:shd w:val="clear" w:color="auto" w:fill="FFFFFF"/>
            <w:noWrap/>
            <w:vAlign w:val="center"/>
          </w:tcPr>
          <w:p w14:paraId="7D8F46CF" w14:textId="77777777" w:rsidR="002B2876" w:rsidRPr="00F11E73" w:rsidRDefault="002B2876" w:rsidP="005041F1">
            <w:pPr>
              <w:jc w:val="both"/>
              <w:rPr>
                <w:sz w:val="22"/>
                <w:szCs w:val="22"/>
              </w:rPr>
            </w:pPr>
            <w:r w:rsidRPr="00F11E73">
              <w:rPr>
                <w:sz w:val="22"/>
                <w:szCs w:val="22"/>
              </w:rPr>
              <w:t xml:space="preserve">  Never married</w:t>
            </w:r>
          </w:p>
        </w:tc>
        <w:tc>
          <w:tcPr>
            <w:tcW w:w="829" w:type="pct"/>
            <w:shd w:val="clear" w:color="auto" w:fill="FFFFFF"/>
            <w:noWrap/>
            <w:vAlign w:val="center"/>
          </w:tcPr>
          <w:p w14:paraId="7C9C69BB" w14:textId="77777777" w:rsidR="002B2876" w:rsidRPr="00F11E73" w:rsidRDefault="002B2876" w:rsidP="005041F1">
            <w:pPr>
              <w:jc w:val="right"/>
              <w:rPr>
                <w:sz w:val="22"/>
                <w:szCs w:val="22"/>
              </w:rPr>
            </w:pPr>
            <w:r w:rsidRPr="00F11E73">
              <w:rPr>
                <w:sz w:val="22"/>
                <w:szCs w:val="22"/>
              </w:rPr>
              <w:t>200 (4.97%)</w:t>
            </w:r>
          </w:p>
        </w:tc>
        <w:tc>
          <w:tcPr>
            <w:tcW w:w="780" w:type="pct"/>
            <w:shd w:val="clear" w:color="auto" w:fill="FFFFFF"/>
            <w:noWrap/>
            <w:vAlign w:val="center"/>
          </w:tcPr>
          <w:p w14:paraId="179138ED" w14:textId="77777777" w:rsidR="002B2876" w:rsidRPr="00F11E73" w:rsidRDefault="002B2876" w:rsidP="005041F1">
            <w:pPr>
              <w:jc w:val="right"/>
              <w:rPr>
                <w:sz w:val="22"/>
                <w:szCs w:val="22"/>
              </w:rPr>
            </w:pPr>
            <w:r w:rsidRPr="00F11E73">
              <w:rPr>
                <w:sz w:val="22"/>
                <w:szCs w:val="22"/>
              </w:rPr>
              <w:t>40 (4.28%)</w:t>
            </w:r>
          </w:p>
        </w:tc>
        <w:tc>
          <w:tcPr>
            <w:tcW w:w="830" w:type="pct"/>
            <w:shd w:val="clear" w:color="auto" w:fill="FFFFFF"/>
            <w:noWrap/>
            <w:vAlign w:val="center"/>
          </w:tcPr>
          <w:p w14:paraId="394197AB" w14:textId="77777777" w:rsidR="002B2876" w:rsidRPr="00F11E73" w:rsidRDefault="002B2876" w:rsidP="005041F1">
            <w:pPr>
              <w:jc w:val="right"/>
              <w:rPr>
                <w:sz w:val="22"/>
                <w:szCs w:val="22"/>
              </w:rPr>
            </w:pPr>
            <w:r w:rsidRPr="00F11E73">
              <w:rPr>
                <w:sz w:val="22"/>
                <w:szCs w:val="22"/>
              </w:rPr>
              <w:t>103 (5.99%)</w:t>
            </w:r>
          </w:p>
        </w:tc>
        <w:tc>
          <w:tcPr>
            <w:tcW w:w="730" w:type="pct"/>
            <w:shd w:val="clear" w:color="auto" w:fill="FFFFFF"/>
            <w:noWrap/>
            <w:vAlign w:val="center"/>
          </w:tcPr>
          <w:p w14:paraId="24643E1C" w14:textId="77777777" w:rsidR="002B2876" w:rsidRPr="00F11E73" w:rsidRDefault="002B2876" w:rsidP="005041F1">
            <w:pPr>
              <w:jc w:val="right"/>
              <w:rPr>
                <w:sz w:val="22"/>
                <w:szCs w:val="22"/>
              </w:rPr>
            </w:pPr>
            <w:r w:rsidRPr="00F11E73">
              <w:rPr>
                <w:sz w:val="22"/>
                <w:szCs w:val="22"/>
              </w:rPr>
              <w:t>139 (5.53%)</w:t>
            </w:r>
          </w:p>
        </w:tc>
        <w:tc>
          <w:tcPr>
            <w:tcW w:w="500" w:type="pct"/>
            <w:shd w:val="clear" w:color="auto" w:fill="FFFFFF"/>
            <w:noWrap/>
            <w:vAlign w:val="center"/>
          </w:tcPr>
          <w:p w14:paraId="34AF7A7C" w14:textId="77777777" w:rsidR="002B2876" w:rsidRPr="00F11E73" w:rsidRDefault="002B2876" w:rsidP="005041F1">
            <w:pPr>
              <w:jc w:val="right"/>
              <w:rPr>
                <w:sz w:val="22"/>
                <w:szCs w:val="22"/>
              </w:rPr>
            </w:pPr>
          </w:p>
        </w:tc>
      </w:tr>
      <w:tr w:rsidR="002B2876" w:rsidRPr="00F11E73" w14:paraId="750D93FE" w14:textId="77777777" w:rsidTr="005041F1">
        <w:trPr>
          <w:trHeight w:val="270"/>
        </w:trPr>
        <w:tc>
          <w:tcPr>
            <w:tcW w:w="1331" w:type="pct"/>
            <w:shd w:val="clear" w:color="auto" w:fill="FFFFFF"/>
            <w:noWrap/>
            <w:vAlign w:val="center"/>
          </w:tcPr>
          <w:p w14:paraId="0F598690" w14:textId="77777777" w:rsidR="002B2876" w:rsidRPr="00F11E73" w:rsidRDefault="002B2876" w:rsidP="005041F1">
            <w:pPr>
              <w:jc w:val="both"/>
              <w:rPr>
                <w:sz w:val="22"/>
                <w:szCs w:val="22"/>
              </w:rPr>
            </w:pPr>
            <w:r w:rsidRPr="00F11E73">
              <w:rPr>
                <w:sz w:val="22"/>
                <w:szCs w:val="22"/>
              </w:rPr>
              <w:t xml:space="preserve">  Unknown</w:t>
            </w:r>
          </w:p>
        </w:tc>
        <w:tc>
          <w:tcPr>
            <w:tcW w:w="829" w:type="pct"/>
            <w:shd w:val="clear" w:color="auto" w:fill="FFFFFF"/>
            <w:noWrap/>
            <w:vAlign w:val="center"/>
          </w:tcPr>
          <w:p w14:paraId="788C0DFD" w14:textId="77777777" w:rsidR="002B2876" w:rsidRPr="00F11E73" w:rsidRDefault="002B2876" w:rsidP="005041F1">
            <w:pPr>
              <w:jc w:val="right"/>
              <w:rPr>
                <w:sz w:val="22"/>
                <w:szCs w:val="22"/>
              </w:rPr>
            </w:pPr>
            <w:r w:rsidRPr="00F11E73">
              <w:rPr>
                <w:sz w:val="22"/>
                <w:szCs w:val="22"/>
              </w:rPr>
              <w:t>9 (0.22%)</w:t>
            </w:r>
          </w:p>
        </w:tc>
        <w:tc>
          <w:tcPr>
            <w:tcW w:w="780" w:type="pct"/>
            <w:shd w:val="clear" w:color="auto" w:fill="FFFFFF"/>
            <w:noWrap/>
            <w:vAlign w:val="center"/>
          </w:tcPr>
          <w:p w14:paraId="30018E49" w14:textId="77777777" w:rsidR="002B2876" w:rsidRPr="00F11E73" w:rsidRDefault="002B2876" w:rsidP="005041F1">
            <w:pPr>
              <w:jc w:val="right"/>
              <w:rPr>
                <w:sz w:val="22"/>
                <w:szCs w:val="22"/>
              </w:rPr>
            </w:pPr>
            <w:r w:rsidRPr="00F11E73">
              <w:rPr>
                <w:sz w:val="22"/>
                <w:szCs w:val="22"/>
              </w:rPr>
              <w:t>4 (0.43%)</w:t>
            </w:r>
          </w:p>
        </w:tc>
        <w:tc>
          <w:tcPr>
            <w:tcW w:w="830" w:type="pct"/>
            <w:shd w:val="clear" w:color="auto" w:fill="FFFFFF"/>
            <w:noWrap/>
            <w:vAlign w:val="center"/>
          </w:tcPr>
          <w:p w14:paraId="46BC453C" w14:textId="77777777" w:rsidR="002B2876" w:rsidRPr="00F11E73" w:rsidRDefault="002B2876" w:rsidP="005041F1">
            <w:pPr>
              <w:jc w:val="right"/>
              <w:rPr>
                <w:sz w:val="22"/>
                <w:szCs w:val="22"/>
              </w:rPr>
            </w:pPr>
            <w:r w:rsidRPr="00F11E73">
              <w:rPr>
                <w:sz w:val="22"/>
                <w:szCs w:val="22"/>
              </w:rPr>
              <w:t>5 (0.29%)</w:t>
            </w:r>
          </w:p>
        </w:tc>
        <w:tc>
          <w:tcPr>
            <w:tcW w:w="730" w:type="pct"/>
            <w:shd w:val="clear" w:color="auto" w:fill="FFFFFF"/>
            <w:noWrap/>
            <w:vAlign w:val="center"/>
          </w:tcPr>
          <w:p w14:paraId="3FB8E9E9" w14:textId="77777777" w:rsidR="002B2876" w:rsidRPr="00F11E73" w:rsidRDefault="002B2876" w:rsidP="005041F1">
            <w:pPr>
              <w:jc w:val="right"/>
              <w:rPr>
                <w:sz w:val="22"/>
                <w:szCs w:val="22"/>
              </w:rPr>
            </w:pPr>
            <w:r w:rsidRPr="00F11E73">
              <w:rPr>
                <w:sz w:val="22"/>
                <w:szCs w:val="22"/>
              </w:rPr>
              <w:t>7 (0.28%)</w:t>
            </w:r>
          </w:p>
        </w:tc>
        <w:tc>
          <w:tcPr>
            <w:tcW w:w="500" w:type="pct"/>
            <w:shd w:val="clear" w:color="auto" w:fill="FFFFFF"/>
            <w:noWrap/>
            <w:vAlign w:val="center"/>
          </w:tcPr>
          <w:p w14:paraId="33F264B0" w14:textId="77777777" w:rsidR="002B2876" w:rsidRPr="00F11E73" w:rsidRDefault="002B2876" w:rsidP="005041F1">
            <w:pPr>
              <w:jc w:val="right"/>
              <w:rPr>
                <w:sz w:val="22"/>
                <w:szCs w:val="22"/>
              </w:rPr>
            </w:pPr>
          </w:p>
        </w:tc>
      </w:tr>
      <w:tr w:rsidR="002B2876" w:rsidRPr="00F11E73" w14:paraId="7211D503" w14:textId="77777777" w:rsidTr="005041F1">
        <w:trPr>
          <w:trHeight w:val="270"/>
        </w:trPr>
        <w:tc>
          <w:tcPr>
            <w:tcW w:w="1331" w:type="pct"/>
            <w:shd w:val="clear" w:color="auto" w:fill="FFFFFF"/>
            <w:noWrap/>
            <w:vAlign w:val="center"/>
          </w:tcPr>
          <w:p w14:paraId="24F3723C" w14:textId="77777777" w:rsidR="002B2876" w:rsidRPr="00F11E73" w:rsidRDefault="002B2876" w:rsidP="005041F1">
            <w:pPr>
              <w:jc w:val="both"/>
              <w:rPr>
                <w:sz w:val="22"/>
                <w:szCs w:val="22"/>
              </w:rPr>
            </w:pPr>
            <w:r w:rsidRPr="00F11E73">
              <w:rPr>
                <w:sz w:val="22"/>
                <w:szCs w:val="22"/>
              </w:rPr>
              <w:t xml:space="preserve">Mean </w:t>
            </w:r>
            <w:r>
              <w:rPr>
                <w:sz w:val="22"/>
                <w:szCs w:val="22"/>
              </w:rPr>
              <w:t>cigarettes</w:t>
            </w:r>
            <w:r w:rsidRPr="00F11E73">
              <w:rPr>
                <w:sz w:val="22"/>
                <w:szCs w:val="22"/>
              </w:rPr>
              <w:t xml:space="preserve"> per day (SD)</w:t>
            </w:r>
          </w:p>
        </w:tc>
        <w:tc>
          <w:tcPr>
            <w:tcW w:w="829" w:type="pct"/>
            <w:shd w:val="clear" w:color="auto" w:fill="FFFFFF"/>
            <w:noWrap/>
            <w:vAlign w:val="center"/>
          </w:tcPr>
          <w:p w14:paraId="2A721E1F" w14:textId="77777777" w:rsidR="002B2876" w:rsidRPr="00F11E73" w:rsidRDefault="002B2876" w:rsidP="005041F1">
            <w:pPr>
              <w:jc w:val="right"/>
              <w:rPr>
                <w:sz w:val="22"/>
                <w:szCs w:val="22"/>
              </w:rPr>
            </w:pPr>
            <w:r w:rsidRPr="00F11E73">
              <w:rPr>
                <w:sz w:val="22"/>
                <w:szCs w:val="22"/>
              </w:rPr>
              <w:t>4.81 (10.85)</w:t>
            </w:r>
          </w:p>
        </w:tc>
        <w:tc>
          <w:tcPr>
            <w:tcW w:w="780" w:type="pct"/>
            <w:shd w:val="clear" w:color="auto" w:fill="FFFFFF"/>
            <w:noWrap/>
            <w:vAlign w:val="center"/>
          </w:tcPr>
          <w:p w14:paraId="76FA592F" w14:textId="77777777" w:rsidR="002B2876" w:rsidRPr="00F11E73" w:rsidRDefault="002B2876" w:rsidP="005041F1">
            <w:pPr>
              <w:jc w:val="right"/>
              <w:rPr>
                <w:sz w:val="22"/>
                <w:szCs w:val="22"/>
              </w:rPr>
            </w:pPr>
            <w:r w:rsidRPr="00F11E73">
              <w:rPr>
                <w:sz w:val="22"/>
                <w:szCs w:val="22"/>
              </w:rPr>
              <w:t>6.75 (12.65)</w:t>
            </w:r>
          </w:p>
        </w:tc>
        <w:tc>
          <w:tcPr>
            <w:tcW w:w="830" w:type="pct"/>
            <w:shd w:val="clear" w:color="auto" w:fill="FFFFFF"/>
            <w:noWrap/>
            <w:vAlign w:val="center"/>
          </w:tcPr>
          <w:p w14:paraId="7D3C5CAD" w14:textId="77777777" w:rsidR="002B2876" w:rsidRPr="00F11E73" w:rsidRDefault="002B2876" w:rsidP="005041F1">
            <w:pPr>
              <w:jc w:val="right"/>
              <w:rPr>
                <w:sz w:val="22"/>
                <w:szCs w:val="22"/>
              </w:rPr>
            </w:pPr>
            <w:r w:rsidRPr="00F11E73">
              <w:rPr>
                <w:sz w:val="22"/>
                <w:szCs w:val="22"/>
              </w:rPr>
              <w:t>8.27 (13.78)</w:t>
            </w:r>
          </w:p>
        </w:tc>
        <w:tc>
          <w:tcPr>
            <w:tcW w:w="730" w:type="pct"/>
            <w:shd w:val="clear" w:color="auto" w:fill="FFFFFF"/>
            <w:noWrap/>
            <w:vAlign w:val="center"/>
          </w:tcPr>
          <w:p w14:paraId="0FBC5BC0" w14:textId="77777777" w:rsidR="002B2876" w:rsidRPr="00F11E73" w:rsidRDefault="002B2876" w:rsidP="005041F1">
            <w:pPr>
              <w:jc w:val="right"/>
              <w:rPr>
                <w:sz w:val="22"/>
                <w:szCs w:val="22"/>
              </w:rPr>
            </w:pPr>
            <w:r w:rsidRPr="00F11E73">
              <w:rPr>
                <w:sz w:val="22"/>
                <w:szCs w:val="22"/>
              </w:rPr>
              <w:t>9.10 (13.92)</w:t>
            </w:r>
          </w:p>
        </w:tc>
        <w:tc>
          <w:tcPr>
            <w:tcW w:w="500" w:type="pct"/>
            <w:shd w:val="clear" w:color="auto" w:fill="FFFFFF"/>
            <w:noWrap/>
            <w:vAlign w:val="center"/>
          </w:tcPr>
          <w:p w14:paraId="481894D0" w14:textId="77777777" w:rsidR="002B2876" w:rsidRPr="00F11E73" w:rsidRDefault="002B2876" w:rsidP="005041F1">
            <w:pPr>
              <w:jc w:val="right"/>
              <w:rPr>
                <w:sz w:val="22"/>
                <w:szCs w:val="22"/>
              </w:rPr>
            </w:pPr>
            <w:r w:rsidRPr="00F11E73">
              <w:rPr>
                <w:sz w:val="22"/>
                <w:szCs w:val="22"/>
              </w:rPr>
              <w:t>&lt;0.001</w:t>
            </w:r>
          </w:p>
        </w:tc>
      </w:tr>
      <w:tr w:rsidR="002B2876" w:rsidRPr="00F11E73" w14:paraId="1FF071EB" w14:textId="77777777" w:rsidTr="005041F1">
        <w:trPr>
          <w:trHeight w:val="270"/>
        </w:trPr>
        <w:tc>
          <w:tcPr>
            <w:tcW w:w="1331" w:type="pct"/>
            <w:shd w:val="clear" w:color="auto" w:fill="FFFFFF"/>
            <w:noWrap/>
            <w:vAlign w:val="center"/>
          </w:tcPr>
          <w:p w14:paraId="3125D20C" w14:textId="77777777" w:rsidR="002B2876" w:rsidRPr="00F11E73" w:rsidRDefault="002B2876" w:rsidP="005041F1">
            <w:pPr>
              <w:jc w:val="both"/>
              <w:rPr>
                <w:sz w:val="22"/>
                <w:szCs w:val="22"/>
              </w:rPr>
            </w:pPr>
            <w:r w:rsidRPr="00F11E73">
              <w:rPr>
                <w:sz w:val="22"/>
                <w:szCs w:val="22"/>
              </w:rPr>
              <w:t xml:space="preserve">Hypertension at baseline, </w:t>
            </w:r>
            <w:proofErr w:type="gramStart"/>
            <w:r w:rsidRPr="00F11E73">
              <w:rPr>
                <w:sz w:val="22"/>
                <w:szCs w:val="22"/>
              </w:rPr>
              <w:t>Yes</w:t>
            </w:r>
            <w:proofErr w:type="gramEnd"/>
          </w:p>
        </w:tc>
        <w:tc>
          <w:tcPr>
            <w:tcW w:w="829" w:type="pct"/>
            <w:shd w:val="clear" w:color="auto" w:fill="FFFFFF"/>
            <w:noWrap/>
            <w:vAlign w:val="center"/>
          </w:tcPr>
          <w:p w14:paraId="12F7D6E0" w14:textId="77777777" w:rsidR="002B2876" w:rsidRPr="00F11E73" w:rsidRDefault="002B2876" w:rsidP="005041F1">
            <w:pPr>
              <w:jc w:val="right"/>
              <w:rPr>
                <w:sz w:val="22"/>
                <w:szCs w:val="22"/>
              </w:rPr>
            </w:pPr>
            <w:r w:rsidRPr="00F11E73">
              <w:rPr>
                <w:sz w:val="22"/>
                <w:szCs w:val="22"/>
              </w:rPr>
              <w:t>1630 (40.53%)</w:t>
            </w:r>
          </w:p>
        </w:tc>
        <w:tc>
          <w:tcPr>
            <w:tcW w:w="780" w:type="pct"/>
            <w:shd w:val="clear" w:color="auto" w:fill="FFFFFF"/>
            <w:noWrap/>
            <w:vAlign w:val="center"/>
          </w:tcPr>
          <w:p w14:paraId="48FB11E9" w14:textId="77777777" w:rsidR="002B2876" w:rsidRPr="00F11E73" w:rsidRDefault="002B2876" w:rsidP="005041F1">
            <w:pPr>
              <w:jc w:val="right"/>
              <w:rPr>
                <w:sz w:val="22"/>
                <w:szCs w:val="22"/>
              </w:rPr>
            </w:pPr>
            <w:r w:rsidRPr="00F11E73">
              <w:rPr>
                <w:sz w:val="22"/>
                <w:szCs w:val="22"/>
              </w:rPr>
              <w:t>307 (32.83%)</w:t>
            </w:r>
          </w:p>
        </w:tc>
        <w:tc>
          <w:tcPr>
            <w:tcW w:w="830" w:type="pct"/>
            <w:shd w:val="clear" w:color="auto" w:fill="FFFFFF"/>
            <w:noWrap/>
            <w:vAlign w:val="center"/>
          </w:tcPr>
          <w:p w14:paraId="62EAFCDF" w14:textId="77777777" w:rsidR="002B2876" w:rsidRPr="00F11E73" w:rsidRDefault="002B2876" w:rsidP="005041F1">
            <w:pPr>
              <w:jc w:val="right"/>
              <w:rPr>
                <w:sz w:val="22"/>
                <w:szCs w:val="22"/>
              </w:rPr>
            </w:pPr>
            <w:r w:rsidRPr="00F11E73">
              <w:rPr>
                <w:sz w:val="22"/>
                <w:szCs w:val="22"/>
              </w:rPr>
              <w:t>508 (29.53%)</w:t>
            </w:r>
          </w:p>
        </w:tc>
        <w:tc>
          <w:tcPr>
            <w:tcW w:w="730" w:type="pct"/>
            <w:shd w:val="clear" w:color="auto" w:fill="FFFFFF"/>
            <w:noWrap/>
            <w:vAlign w:val="center"/>
          </w:tcPr>
          <w:p w14:paraId="6BF3E00F" w14:textId="77777777" w:rsidR="002B2876" w:rsidRPr="00F11E73" w:rsidRDefault="002B2876" w:rsidP="005041F1">
            <w:pPr>
              <w:jc w:val="right"/>
              <w:rPr>
                <w:sz w:val="22"/>
                <w:szCs w:val="22"/>
              </w:rPr>
            </w:pPr>
            <w:r w:rsidRPr="00F11E73">
              <w:rPr>
                <w:sz w:val="22"/>
                <w:szCs w:val="22"/>
              </w:rPr>
              <w:t>718 (28.57%)</w:t>
            </w:r>
          </w:p>
        </w:tc>
        <w:tc>
          <w:tcPr>
            <w:tcW w:w="500" w:type="pct"/>
            <w:shd w:val="clear" w:color="auto" w:fill="FFFFFF"/>
            <w:noWrap/>
            <w:vAlign w:val="center"/>
          </w:tcPr>
          <w:p w14:paraId="05E7929E" w14:textId="77777777" w:rsidR="002B2876" w:rsidRPr="00F11E73" w:rsidRDefault="002B2876" w:rsidP="005041F1">
            <w:pPr>
              <w:jc w:val="right"/>
              <w:rPr>
                <w:sz w:val="22"/>
                <w:szCs w:val="22"/>
              </w:rPr>
            </w:pPr>
            <w:r w:rsidRPr="00F11E73">
              <w:rPr>
                <w:sz w:val="22"/>
                <w:szCs w:val="22"/>
              </w:rPr>
              <w:t>&lt;0.001</w:t>
            </w:r>
          </w:p>
        </w:tc>
      </w:tr>
      <w:tr w:rsidR="002B2876" w:rsidRPr="00F11E73" w14:paraId="0965908E" w14:textId="77777777" w:rsidTr="005041F1">
        <w:trPr>
          <w:trHeight w:val="270"/>
        </w:trPr>
        <w:tc>
          <w:tcPr>
            <w:tcW w:w="1331" w:type="pct"/>
            <w:shd w:val="clear" w:color="auto" w:fill="FFFFFF"/>
            <w:noWrap/>
            <w:vAlign w:val="center"/>
          </w:tcPr>
          <w:p w14:paraId="664F18E3" w14:textId="77777777" w:rsidR="002B2876" w:rsidRPr="00F11E73" w:rsidRDefault="002B2876" w:rsidP="005041F1">
            <w:pPr>
              <w:jc w:val="both"/>
              <w:rPr>
                <w:sz w:val="22"/>
                <w:szCs w:val="22"/>
              </w:rPr>
            </w:pPr>
            <w:r w:rsidRPr="00F11E73">
              <w:rPr>
                <w:sz w:val="22"/>
                <w:szCs w:val="22"/>
              </w:rPr>
              <w:lastRenderedPageBreak/>
              <w:t>Mean RBC (SD)</w:t>
            </w:r>
          </w:p>
        </w:tc>
        <w:tc>
          <w:tcPr>
            <w:tcW w:w="829" w:type="pct"/>
            <w:shd w:val="clear" w:color="auto" w:fill="FFFFFF"/>
            <w:noWrap/>
            <w:vAlign w:val="center"/>
          </w:tcPr>
          <w:p w14:paraId="037AB87A" w14:textId="77777777" w:rsidR="002B2876" w:rsidRPr="00F11E73" w:rsidRDefault="002B2876" w:rsidP="005041F1">
            <w:pPr>
              <w:jc w:val="right"/>
              <w:rPr>
                <w:sz w:val="22"/>
                <w:szCs w:val="22"/>
              </w:rPr>
            </w:pPr>
            <w:r w:rsidRPr="00F11E73">
              <w:rPr>
                <w:sz w:val="22"/>
                <w:szCs w:val="22"/>
              </w:rPr>
              <w:t>4.72 (0.72)</w:t>
            </w:r>
          </w:p>
        </w:tc>
        <w:tc>
          <w:tcPr>
            <w:tcW w:w="780" w:type="pct"/>
            <w:shd w:val="clear" w:color="auto" w:fill="FFFFFF"/>
            <w:noWrap/>
            <w:vAlign w:val="center"/>
          </w:tcPr>
          <w:p w14:paraId="1603C50A" w14:textId="77777777" w:rsidR="002B2876" w:rsidRPr="00F11E73" w:rsidRDefault="002B2876" w:rsidP="005041F1">
            <w:pPr>
              <w:jc w:val="right"/>
              <w:rPr>
                <w:sz w:val="22"/>
                <w:szCs w:val="22"/>
              </w:rPr>
            </w:pPr>
            <w:r w:rsidRPr="00F11E73">
              <w:rPr>
                <w:sz w:val="22"/>
                <w:szCs w:val="22"/>
              </w:rPr>
              <w:t>4.76 (0.72)</w:t>
            </w:r>
          </w:p>
        </w:tc>
        <w:tc>
          <w:tcPr>
            <w:tcW w:w="830" w:type="pct"/>
            <w:shd w:val="clear" w:color="auto" w:fill="FFFFFF"/>
            <w:noWrap/>
            <w:vAlign w:val="center"/>
          </w:tcPr>
          <w:p w14:paraId="29AAC443" w14:textId="77777777" w:rsidR="002B2876" w:rsidRPr="00F11E73" w:rsidRDefault="002B2876" w:rsidP="005041F1">
            <w:pPr>
              <w:jc w:val="right"/>
              <w:rPr>
                <w:sz w:val="22"/>
                <w:szCs w:val="22"/>
              </w:rPr>
            </w:pPr>
            <w:r w:rsidRPr="00F11E73">
              <w:rPr>
                <w:sz w:val="22"/>
                <w:szCs w:val="22"/>
              </w:rPr>
              <w:t>4.74 (0.70)</w:t>
            </w:r>
          </w:p>
        </w:tc>
        <w:tc>
          <w:tcPr>
            <w:tcW w:w="730" w:type="pct"/>
            <w:shd w:val="clear" w:color="auto" w:fill="FFFFFF"/>
            <w:noWrap/>
            <w:vAlign w:val="center"/>
          </w:tcPr>
          <w:p w14:paraId="1737F796" w14:textId="77777777" w:rsidR="002B2876" w:rsidRPr="00F11E73" w:rsidRDefault="002B2876" w:rsidP="005041F1">
            <w:pPr>
              <w:jc w:val="right"/>
              <w:rPr>
                <w:sz w:val="22"/>
                <w:szCs w:val="22"/>
              </w:rPr>
            </w:pPr>
            <w:r w:rsidRPr="00F11E73">
              <w:rPr>
                <w:sz w:val="22"/>
                <w:szCs w:val="22"/>
              </w:rPr>
              <w:t>4.78 (0.70)</w:t>
            </w:r>
          </w:p>
        </w:tc>
        <w:tc>
          <w:tcPr>
            <w:tcW w:w="500" w:type="pct"/>
            <w:shd w:val="clear" w:color="auto" w:fill="FFFFFF"/>
            <w:noWrap/>
            <w:vAlign w:val="center"/>
          </w:tcPr>
          <w:p w14:paraId="592206A3" w14:textId="77777777" w:rsidR="002B2876" w:rsidRPr="00F11E73" w:rsidRDefault="002B2876" w:rsidP="005041F1">
            <w:pPr>
              <w:jc w:val="right"/>
              <w:rPr>
                <w:sz w:val="22"/>
                <w:szCs w:val="22"/>
              </w:rPr>
            </w:pPr>
            <w:r w:rsidRPr="00F11E73">
              <w:rPr>
                <w:sz w:val="22"/>
                <w:szCs w:val="22"/>
              </w:rPr>
              <w:t>0.712</w:t>
            </w:r>
          </w:p>
        </w:tc>
      </w:tr>
      <w:tr w:rsidR="002B2876" w:rsidRPr="00F11E73" w14:paraId="4EDB0055" w14:textId="77777777" w:rsidTr="005041F1">
        <w:trPr>
          <w:trHeight w:val="270"/>
        </w:trPr>
        <w:tc>
          <w:tcPr>
            <w:tcW w:w="1331" w:type="pct"/>
            <w:shd w:val="clear" w:color="auto" w:fill="FFFFFF"/>
            <w:noWrap/>
            <w:vAlign w:val="center"/>
          </w:tcPr>
          <w:p w14:paraId="18675C4C" w14:textId="77777777" w:rsidR="002B2876" w:rsidRPr="00F11E73" w:rsidRDefault="002B2876" w:rsidP="005041F1">
            <w:pPr>
              <w:jc w:val="both"/>
              <w:rPr>
                <w:sz w:val="22"/>
                <w:szCs w:val="22"/>
              </w:rPr>
            </w:pPr>
            <w:r w:rsidRPr="00F11E73">
              <w:rPr>
                <w:sz w:val="22"/>
                <w:szCs w:val="22"/>
              </w:rPr>
              <w:t xml:space="preserve">Diagnosed MI at baseline, </w:t>
            </w:r>
            <w:proofErr w:type="gramStart"/>
            <w:r w:rsidRPr="00F11E73">
              <w:rPr>
                <w:sz w:val="22"/>
                <w:szCs w:val="22"/>
              </w:rPr>
              <w:t>Yes</w:t>
            </w:r>
            <w:proofErr w:type="gramEnd"/>
          </w:p>
        </w:tc>
        <w:tc>
          <w:tcPr>
            <w:tcW w:w="829" w:type="pct"/>
            <w:shd w:val="clear" w:color="auto" w:fill="FFFFFF"/>
            <w:noWrap/>
            <w:vAlign w:val="center"/>
          </w:tcPr>
          <w:p w14:paraId="504C98BD" w14:textId="77777777" w:rsidR="002B2876" w:rsidRPr="00F11E73" w:rsidRDefault="002B2876" w:rsidP="005041F1">
            <w:pPr>
              <w:jc w:val="right"/>
              <w:rPr>
                <w:sz w:val="22"/>
                <w:szCs w:val="22"/>
              </w:rPr>
            </w:pPr>
            <w:r w:rsidRPr="00F11E73">
              <w:rPr>
                <w:sz w:val="22"/>
                <w:szCs w:val="22"/>
              </w:rPr>
              <w:t>280 (6.96%)</w:t>
            </w:r>
          </w:p>
        </w:tc>
        <w:tc>
          <w:tcPr>
            <w:tcW w:w="780" w:type="pct"/>
            <w:shd w:val="clear" w:color="auto" w:fill="FFFFFF"/>
            <w:noWrap/>
            <w:vAlign w:val="center"/>
          </w:tcPr>
          <w:p w14:paraId="258C6F4A" w14:textId="77777777" w:rsidR="002B2876" w:rsidRPr="00F11E73" w:rsidRDefault="002B2876" w:rsidP="005041F1">
            <w:pPr>
              <w:jc w:val="right"/>
              <w:rPr>
                <w:sz w:val="22"/>
                <w:szCs w:val="22"/>
              </w:rPr>
            </w:pPr>
            <w:r w:rsidRPr="00F11E73">
              <w:rPr>
                <w:sz w:val="22"/>
                <w:szCs w:val="22"/>
              </w:rPr>
              <w:t>55 (5.88%)</w:t>
            </w:r>
          </w:p>
        </w:tc>
        <w:tc>
          <w:tcPr>
            <w:tcW w:w="830" w:type="pct"/>
            <w:shd w:val="clear" w:color="auto" w:fill="FFFFFF"/>
            <w:noWrap/>
            <w:vAlign w:val="center"/>
          </w:tcPr>
          <w:p w14:paraId="1796418D" w14:textId="77777777" w:rsidR="002B2876" w:rsidRPr="00F11E73" w:rsidRDefault="002B2876" w:rsidP="005041F1">
            <w:pPr>
              <w:jc w:val="right"/>
              <w:rPr>
                <w:sz w:val="22"/>
                <w:szCs w:val="22"/>
              </w:rPr>
            </w:pPr>
            <w:r w:rsidRPr="00F11E73">
              <w:rPr>
                <w:sz w:val="22"/>
                <w:szCs w:val="22"/>
              </w:rPr>
              <w:t>82 (4.77%)</w:t>
            </w:r>
          </w:p>
        </w:tc>
        <w:tc>
          <w:tcPr>
            <w:tcW w:w="730" w:type="pct"/>
            <w:shd w:val="clear" w:color="auto" w:fill="FFFFFF"/>
            <w:noWrap/>
            <w:vAlign w:val="center"/>
          </w:tcPr>
          <w:p w14:paraId="7A5D85A0" w14:textId="77777777" w:rsidR="002B2876" w:rsidRPr="00F11E73" w:rsidRDefault="002B2876" w:rsidP="005041F1">
            <w:pPr>
              <w:jc w:val="right"/>
              <w:rPr>
                <w:sz w:val="22"/>
                <w:szCs w:val="22"/>
              </w:rPr>
            </w:pPr>
            <w:r w:rsidRPr="00F11E73">
              <w:rPr>
                <w:sz w:val="22"/>
                <w:szCs w:val="22"/>
              </w:rPr>
              <w:t>116 (4.62%)</w:t>
            </w:r>
          </w:p>
        </w:tc>
        <w:tc>
          <w:tcPr>
            <w:tcW w:w="500" w:type="pct"/>
            <w:shd w:val="clear" w:color="auto" w:fill="FFFFFF"/>
            <w:noWrap/>
            <w:vAlign w:val="center"/>
          </w:tcPr>
          <w:p w14:paraId="70DC4F4C" w14:textId="77777777" w:rsidR="002B2876" w:rsidRPr="00F11E73" w:rsidRDefault="002B2876" w:rsidP="005041F1">
            <w:pPr>
              <w:jc w:val="right"/>
              <w:rPr>
                <w:sz w:val="22"/>
                <w:szCs w:val="22"/>
              </w:rPr>
            </w:pPr>
            <w:r w:rsidRPr="00F11E73">
              <w:rPr>
                <w:sz w:val="22"/>
                <w:szCs w:val="22"/>
              </w:rPr>
              <w:t>&lt;0.001</w:t>
            </w:r>
          </w:p>
        </w:tc>
      </w:tr>
      <w:tr w:rsidR="002B2876" w:rsidRPr="00F11E73" w14:paraId="2AA957B2" w14:textId="77777777" w:rsidTr="005041F1">
        <w:trPr>
          <w:trHeight w:val="270"/>
        </w:trPr>
        <w:tc>
          <w:tcPr>
            <w:tcW w:w="1331" w:type="pct"/>
            <w:tcBorders>
              <w:bottom w:val="single" w:sz="4" w:space="0" w:color="auto"/>
            </w:tcBorders>
            <w:shd w:val="clear" w:color="auto" w:fill="FFFFFF"/>
            <w:noWrap/>
            <w:vAlign w:val="center"/>
          </w:tcPr>
          <w:p w14:paraId="42A8A21B" w14:textId="77777777" w:rsidR="002B2876" w:rsidRPr="00F11E73" w:rsidRDefault="002B2876" w:rsidP="005041F1">
            <w:pPr>
              <w:jc w:val="both"/>
              <w:rPr>
                <w:sz w:val="22"/>
                <w:szCs w:val="22"/>
              </w:rPr>
            </w:pPr>
            <w:r w:rsidRPr="00F11E73">
              <w:rPr>
                <w:sz w:val="22"/>
                <w:szCs w:val="22"/>
              </w:rPr>
              <w:t xml:space="preserve">Diabetes at baseline, </w:t>
            </w:r>
            <w:proofErr w:type="gramStart"/>
            <w:r w:rsidRPr="00F11E73">
              <w:rPr>
                <w:sz w:val="22"/>
                <w:szCs w:val="22"/>
              </w:rPr>
              <w:t>Yes</w:t>
            </w:r>
            <w:proofErr w:type="gramEnd"/>
          </w:p>
        </w:tc>
        <w:tc>
          <w:tcPr>
            <w:tcW w:w="829" w:type="pct"/>
            <w:tcBorders>
              <w:bottom w:val="single" w:sz="4" w:space="0" w:color="auto"/>
            </w:tcBorders>
            <w:shd w:val="clear" w:color="auto" w:fill="FFFFFF"/>
            <w:noWrap/>
            <w:vAlign w:val="center"/>
          </w:tcPr>
          <w:p w14:paraId="5A5FCEDB" w14:textId="77777777" w:rsidR="002B2876" w:rsidRPr="00F11E73" w:rsidRDefault="002B2876" w:rsidP="005041F1">
            <w:pPr>
              <w:jc w:val="right"/>
              <w:rPr>
                <w:sz w:val="22"/>
                <w:szCs w:val="22"/>
              </w:rPr>
            </w:pPr>
            <w:r w:rsidRPr="00F11E73">
              <w:rPr>
                <w:sz w:val="22"/>
                <w:szCs w:val="22"/>
              </w:rPr>
              <w:t>368 (9.15%)</w:t>
            </w:r>
          </w:p>
        </w:tc>
        <w:tc>
          <w:tcPr>
            <w:tcW w:w="780" w:type="pct"/>
            <w:tcBorders>
              <w:bottom w:val="single" w:sz="4" w:space="0" w:color="auto"/>
            </w:tcBorders>
            <w:shd w:val="clear" w:color="auto" w:fill="FFFFFF"/>
            <w:noWrap/>
            <w:vAlign w:val="center"/>
          </w:tcPr>
          <w:p w14:paraId="288F9ABA" w14:textId="77777777" w:rsidR="002B2876" w:rsidRPr="00F11E73" w:rsidRDefault="002B2876" w:rsidP="005041F1">
            <w:pPr>
              <w:jc w:val="right"/>
              <w:rPr>
                <w:sz w:val="22"/>
                <w:szCs w:val="22"/>
              </w:rPr>
            </w:pPr>
            <w:r w:rsidRPr="00F11E73">
              <w:rPr>
                <w:sz w:val="22"/>
                <w:szCs w:val="22"/>
              </w:rPr>
              <w:t>53 (5.67%)</w:t>
            </w:r>
          </w:p>
        </w:tc>
        <w:tc>
          <w:tcPr>
            <w:tcW w:w="830" w:type="pct"/>
            <w:tcBorders>
              <w:bottom w:val="single" w:sz="4" w:space="0" w:color="auto"/>
            </w:tcBorders>
            <w:shd w:val="clear" w:color="auto" w:fill="FFFFFF"/>
            <w:noWrap/>
            <w:vAlign w:val="center"/>
          </w:tcPr>
          <w:p w14:paraId="282F8C04" w14:textId="77777777" w:rsidR="002B2876" w:rsidRPr="00F11E73" w:rsidRDefault="002B2876" w:rsidP="005041F1">
            <w:pPr>
              <w:jc w:val="right"/>
              <w:rPr>
                <w:sz w:val="22"/>
                <w:szCs w:val="22"/>
              </w:rPr>
            </w:pPr>
            <w:r w:rsidRPr="00F11E73">
              <w:rPr>
                <w:sz w:val="22"/>
                <w:szCs w:val="22"/>
              </w:rPr>
              <w:t>57 (3.31%)</w:t>
            </w:r>
          </w:p>
        </w:tc>
        <w:tc>
          <w:tcPr>
            <w:tcW w:w="730" w:type="pct"/>
            <w:tcBorders>
              <w:bottom w:val="single" w:sz="4" w:space="0" w:color="auto"/>
            </w:tcBorders>
            <w:shd w:val="clear" w:color="auto" w:fill="FFFFFF"/>
            <w:noWrap/>
            <w:vAlign w:val="center"/>
          </w:tcPr>
          <w:p w14:paraId="431B4301" w14:textId="77777777" w:rsidR="002B2876" w:rsidRPr="00F11E73" w:rsidRDefault="002B2876" w:rsidP="005041F1">
            <w:pPr>
              <w:jc w:val="right"/>
              <w:rPr>
                <w:sz w:val="22"/>
                <w:szCs w:val="22"/>
              </w:rPr>
            </w:pPr>
            <w:r w:rsidRPr="00F11E73">
              <w:rPr>
                <w:sz w:val="22"/>
                <w:szCs w:val="22"/>
              </w:rPr>
              <w:t>62 (2.47%)</w:t>
            </w:r>
          </w:p>
        </w:tc>
        <w:tc>
          <w:tcPr>
            <w:tcW w:w="500" w:type="pct"/>
            <w:tcBorders>
              <w:bottom w:val="single" w:sz="4" w:space="0" w:color="auto"/>
            </w:tcBorders>
            <w:shd w:val="clear" w:color="auto" w:fill="FFFFFF"/>
            <w:noWrap/>
            <w:vAlign w:val="center"/>
          </w:tcPr>
          <w:p w14:paraId="07E65722" w14:textId="77777777" w:rsidR="002B2876" w:rsidRPr="00F11E73" w:rsidRDefault="002B2876" w:rsidP="005041F1">
            <w:pPr>
              <w:jc w:val="right"/>
              <w:rPr>
                <w:sz w:val="22"/>
                <w:szCs w:val="22"/>
              </w:rPr>
            </w:pPr>
            <w:r w:rsidRPr="00F11E73">
              <w:rPr>
                <w:sz w:val="22"/>
                <w:szCs w:val="22"/>
              </w:rPr>
              <w:t>&lt;0.001</w:t>
            </w:r>
          </w:p>
        </w:tc>
      </w:tr>
    </w:tbl>
    <w:p w14:paraId="3B1EFADF" w14:textId="77777777" w:rsidR="00332761" w:rsidRPr="00F11E73" w:rsidRDefault="00332761" w:rsidP="00F11E73">
      <w:pPr>
        <w:jc w:val="both"/>
        <w:rPr>
          <w:sz w:val="22"/>
          <w:szCs w:val="22"/>
        </w:rPr>
      </w:pPr>
    </w:p>
    <w:p w14:paraId="2E8B1BB9" w14:textId="19709C57" w:rsidR="00332761" w:rsidRPr="00F11E73" w:rsidRDefault="002B2876" w:rsidP="00F11E73">
      <w:pPr>
        <w:jc w:val="both"/>
        <w:rPr>
          <w:sz w:val="22"/>
          <w:szCs w:val="22"/>
        </w:rPr>
      </w:pPr>
      <w:r>
        <w:rPr>
          <w:sz w:val="22"/>
          <w:szCs w:val="22"/>
        </w:rPr>
        <w:t>In the main analysis, we conducted Cox proportional hazard models for the risk of death from cancer with a homogeneity effect assumption</w:t>
      </w:r>
      <w:r w:rsidR="00332761" w:rsidRPr="00F11E73">
        <w:rPr>
          <w:sz w:val="22"/>
          <w:szCs w:val="22"/>
        </w:rPr>
        <w:t>. Table 2 presents results of five Cox regression models through two settings. Considering alcohol consumption as a categorical variable, we observe</w:t>
      </w:r>
      <w:r>
        <w:rPr>
          <w:sz w:val="22"/>
          <w:szCs w:val="22"/>
        </w:rPr>
        <w:t>d</w:t>
      </w:r>
      <w:r w:rsidR="00332761" w:rsidRPr="00F11E73">
        <w:rPr>
          <w:sz w:val="22"/>
          <w:szCs w:val="22"/>
        </w:rPr>
        <w:t xml:space="preserve"> that there </w:t>
      </w:r>
      <w:r>
        <w:rPr>
          <w:sz w:val="22"/>
          <w:szCs w:val="22"/>
        </w:rPr>
        <w:t>we</w:t>
      </w:r>
      <w:r w:rsidR="00332761" w:rsidRPr="00F11E73">
        <w:rPr>
          <w:sz w:val="22"/>
          <w:szCs w:val="22"/>
        </w:rPr>
        <w:t>re no significant associations for alcohol consumption of 0-0.5 drinks per week and 0.5-2 drinks per week compared to 0 drinks per week. For the category &gt;2 drinks per week, the first approach yield</w:t>
      </w:r>
      <w:r>
        <w:rPr>
          <w:sz w:val="22"/>
          <w:szCs w:val="22"/>
        </w:rPr>
        <w:t>ed</w:t>
      </w:r>
      <w:r w:rsidR="00332761" w:rsidRPr="00F11E73">
        <w:rPr>
          <w:sz w:val="22"/>
          <w:szCs w:val="22"/>
        </w:rPr>
        <w:t xml:space="preserve"> an HR of 1.57 (95% CI, 1.29, 1.91) in the crude model and 1.25 (95% CI, 1.00, 1.54) in the MV-adjusted model. Following the second approach, the estimated HR </w:t>
      </w:r>
      <w:r>
        <w:rPr>
          <w:sz w:val="22"/>
          <w:szCs w:val="22"/>
        </w:rPr>
        <w:t>wa</w:t>
      </w:r>
      <w:r w:rsidR="00332761" w:rsidRPr="00F11E73">
        <w:rPr>
          <w:sz w:val="22"/>
          <w:szCs w:val="22"/>
        </w:rPr>
        <w:t xml:space="preserve">s 1.15 (95% CI, 0.94, 1.39) in the crude model and </w:t>
      </w:r>
      <w:r>
        <w:rPr>
          <w:sz w:val="22"/>
          <w:szCs w:val="22"/>
        </w:rPr>
        <w:t>wa</w:t>
      </w:r>
      <w:r w:rsidR="00332761" w:rsidRPr="00F11E73">
        <w:rPr>
          <w:sz w:val="22"/>
          <w:szCs w:val="22"/>
        </w:rPr>
        <w:t xml:space="preserve">s 1.24 (95% CI, 1.00, 1.55) in the MV-adjusted model. </w:t>
      </w:r>
      <w:r>
        <w:rPr>
          <w:sz w:val="22"/>
          <w:szCs w:val="22"/>
        </w:rPr>
        <w:t>C</w:t>
      </w:r>
      <w:r w:rsidR="00332761" w:rsidRPr="00F11E73">
        <w:rPr>
          <w:sz w:val="22"/>
          <w:szCs w:val="22"/>
        </w:rPr>
        <w:t xml:space="preserve">onsuming &gt;2 drinks per week </w:t>
      </w:r>
      <w:r>
        <w:rPr>
          <w:sz w:val="22"/>
          <w:szCs w:val="22"/>
        </w:rPr>
        <w:t>showed</w:t>
      </w:r>
      <w:r w:rsidR="00332761" w:rsidRPr="00F11E73">
        <w:rPr>
          <w:sz w:val="22"/>
          <w:szCs w:val="22"/>
        </w:rPr>
        <w:t xml:space="preserve"> detrimental effect on the cancer death than consuming no drink. All the five models yield</w:t>
      </w:r>
      <w:r>
        <w:rPr>
          <w:sz w:val="22"/>
          <w:szCs w:val="22"/>
        </w:rPr>
        <w:t>ed</w:t>
      </w:r>
      <w:r w:rsidR="00332761" w:rsidRPr="00F11E73">
        <w:rPr>
          <w:sz w:val="22"/>
          <w:szCs w:val="22"/>
        </w:rPr>
        <w:t xml:space="preserve"> similar results for the association between continuous alcohol consumption and the hazard of cancer death: the point estimates</w:t>
      </w:r>
      <w:r>
        <w:rPr>
          <w:sz w:val="22"/>
          <w:szCs w:val="22"/>
        </w:rPr>
        <w:t xml:space="preserve"> were</w:t>
      </w:r>
      <w:r w:rsidR="00332761" w:rsidRPr="00F11E73">
        <w:rPr>
          <w:sz w:val="22"/>
          <w:szCs w:val="22"/>
        </w:rPr>
        <w:t xml:space="preserve"> around 1.03 and </w:t>
      </w:r>
      <w:r>
        <w:rPr>
          <w:sz w:val="22"/>
          <w:szCs w:val="22"/>
        </w:rPr>
        <w:t>were</w:t>
      </w:r>
      <w:r w:rsidR="00332761" w:rsidRPr="00F11E73">
        <w:rPr>
          <w:sz w:val="22"/>
          <w:szCs w:val="22"/>
        </w:rPr>
        <w:t xml:space="preserve"> of marginal significance. </w:t>
      </w:r>
    </w:p>
    <w:p w14:paraId="5F6F52EE" w14:textId="71316E01" w:rsidR="00332761" w:rsidRDefault="00332761" w:rsidP="00F11E73">
      <w:pPr>
        <w:jc w:val="both"/>
        <w:rPr>
          <w:sz w:val="22"/>
          <w:szCs w:val="22"/>
        </w:rPr>
      </w:pPr>
      <w:r w:rsidRPr="00F11E73">
        <w:rPr>
          <w:sz w:val="22"/>
          <w:szCs w:val="22"/>
        </w:rPr>
        <w:t>To test the sensitivity of the findings to the model specification, we conducted logistic and Poisson regression with time since baseline as the time scale (</w:t>
      </w:r>
      <w:r w:rsidR="00C96A0E" w:rsidRPr="00C96A0E">
        <w:rPr>
          <w:i/>
          <w:iCs/>
          <w:sz w:val="22"/>
          <w:szCs w:val="22"/>
        </w:rPr>
        <w:t>Table S2</w:t>
      </w:r>
      <w:r w:rsidR="00C96A0E">
        <w:rPr>
          <w:sz w:val="22"/>
          <w:szCs w:val="22"/>
        </w:rPr>
        <w:t xml:space="preserve"> in appendix</w:t>
      </w:r>
      <w:r w:rsidRPr="00F11E73">
        <w:rPr>
          <w:sz w:val="22"/>
          <w:szCs w:val="22"/>
        </w:rPr>
        <w:t>). The results</w:t>
      </w:r>
      <w:r w:rsidR="00C96A0E">
        <w:rPr>
          <w:sz w:val="22"/>
          <w:szCs w:val="22"/>
        </w:rPr>
        <w:t xml:space="preserve"> we</w:t>
      </w:r>
      <w:r w:rsidRPr="00F11E73">
        <w:rPr>
          <w:sz w:val="22"/>
          <w:szCs w:val="22"/>
        </w:rPr>
        <w:t xml:space="preserve">re consistent with the </w:t>
      </w:r>
      <w:r w:rsidR="00C96A0E">
        <w:rPr>
          <w:sz w:val="22"/>
          <w:szCs w:val="22"/>
        </w:rPr>
        <w:t>findings obtained using Cox models</w:t>
      </w:r>
      <w:r w:rsidRPr="00F11E73">
        <w:rPr>
          <w:sz w:val="22"/>
          <w:szCs w:val="22"/>
        </w:rPr>
        <w:t xml:space="preserve">. Only the group with &gt;2 drinks per week has a statistically significant association with death from cancer. The odds ratio from the MV-adjusted logistic regression </w:t>
      </w:r>
      <w:r w:rsidR="00C96A0E">
        <w:rPr>
          <w:sz w:val="22"/>
          <w:szCs w:val="22"/>
        </w:rPr>
        <w:t>wa</w:t>
      </w:r>
      <w:r w:rsidRPr="00F11E73">
        <w:rPr>
          <w:sz w:val="22"/>
          <w:szCs w:val="22"/>
        </w:rPr>
        <w:t xml:space="preserve">s </w:t>
      </w:r>
      <w:r w:rsidRPr="00C96A0E">
        <w:rPr>
          <w:sz w:val="22"/>
          <w:szCs w:val="22"/>
        </w:rPr>
        <w:t>1.29 (95% CI, 1.02, 1.63</w:t>
      </w:r>
      <w:r w:rsidRPr="00F11E73">
        <w:rPr>
          <w:sz w:val="22"/>
          <w:szCs w:val="22"/>
        </w:rPr>
        <w:t xml:space="preserve">), and the incidence rate ratio from the MV-adjusted Poisson regression is 1.24 (95% CI 1.00, 1.55). Consistent with the beforementioned Cox regressions, the continuous alcohol consumption demonstrated statistically significant </w:t>
      </w:r>
      <w:r w:rsidR="00C96A0E">
        <w:rPr>
          <w:sz w:val="22"/>
          <w:szCs w:val="22"/>
        </w:rPr>
        <w:t>but</w:t>
      </w:r>
      <w:r w:rsidRPr="00F11E73">
        <w:rPr>
          <w:sz w:val="22"/>
          <w:szCs w:val="22"/>
        </w:rPr>
        <w:t xml:space="preserve"> weak association with cancer death in the MV-adjusted logistic regression (OR = </w:t>
      </w:r>
      <w:r w:rsidRPr="00C96A0E">
        <w:rPr>
          <w:sz w:val="22"/>
          <w:szCs w:val="22"/>
        </w:rPr>
        <w:t>1.03, 95% CI, 1.01, 1.04</w:t>
      </w:r>
      <w:r w:rsidRPr="00F11E73">
        <w:rPr>
          <w:sz w:val="22"/>
          <w:szCs w:val="22"/>
        </w:rPr>
        <w:t>) and MV-adjusted Poisson regression (IRR = 1.02, 95% CI, 1.01, 1.09).</w:t>
      </w:r>
      <w:r w:rsidR="00C96A0E" w:rsidRPr="00C96A0E">
        <w:rPr>
          <w:sz w:val="22"/>
          <w:szCs w:val="22"/>
        </w:rPr>
        <w:t xml:space="preserve"> </w:t>
      </w:r>
      <w:r w:rsidR="00C96A0E">
        <w:rPr>
          <w:sz w:val="22"/>
          <w:szCs w:val="22"/>
        </w:rPr>
        <w:t>To sum up, alcohol consumption showed a detrimental effect for death from cancer only with &gt;2 drinks per week as a categorical variable, and a weak but significant harmful effect as a continuous variable.</w:t>
      </w:r>
    </w:p>
    <w:p w14:paraId="1056081D" w14:textId="77777777" w:rsidR="00C96A0E" w:rsidRPr="00F11E73" w:rsidRDefault="00C96A0E" w:rsidP="00F11E73">
      <w:pPr>
        <w:jc w:val="both"/>
        <w:rPr>
          <w:sz w:val="22"/>
          <w:szCs w:val="22"/>
        </w:rPr>
      </w:pPr>
    </w:p>
    <w:p w14:paraId="1C952557" w14:textId="77777777" w:rsidR="00C96A0E" w:rsidRPr="00F11E73" w:rsidRDefault="00C96A0E" w:rsidP="00C96A0E">
      <w:pPr>
        <w:jc w:val="center"/>
        <w:rPr>
          <w:sz w:val="22"/>
          <w:szCs w:val="22"/>
        </w:rPr>
      </w:pPr>
      <w:r w:rsidRPr="00F11E73">
        <w:rPr>
          <w:sz w:val="22"/>
          <w:szCs w:val="22"/>
        </w:rPr>
        <w:t>Table 2. Association between alcohol intake and hazard of death from cancer in overall NHANES II (N=9190).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83"/>
        <w:gridCol w:w="990"/>
        <w:gridCol w:w="1835"/>
        <w:gridCol w:w="1892"/>
        <w:gridCol w:w="1756"/>
        <w:gridCol w:w="1844"/>
        <w:gridCol w:w="900"/>
      </w:tblGrid>
      <w:tr w:rsidR="00C96A0E" w:rsidRPr="00F11E73" w14:paraId="7A4EDB3A" w14:textId="77777777" w:rsidTr="005041F1">
        <w:tc>
          <w:tcPr>
            <w:tcW w:w="1583" w:type="dxa"/>
            <w:tcBorders>
              <w:top w:val="single" w:sz="4" w:space="0" w:color="auto"/>
              <w:bottom w:val="single" w:sz="4" w:space="0" w:color="auto"/>
            </w:tcBorders>
            <w:vAlign w:val="center"/>
          </w:tcPr>
          <w:p w14:paraId="20C6404B" w14:textId="77777777" w:rsidR="00C96A0E" w:rsidRPr="00F11E73" w:rsidRDefault="00C96A0E" w:rsidP="005041F1">
            <w:pPr>
              <w:jc w:val="both"/>
              <w:rPr>
                <w:sz w:val="22"/>
                <w:szCs w:val="22"/>
              </w:rPr>
            </w:pPr>
          </w:p>
        </w:tc>
        <w:tc>
          <w:tcPr>
            <w:tcW w:w="990" w:type="dxa"/>
            <w:tcBorders>
              <w:top w:val="single" w:sz="4" w:space="0" w:color="auto"/>
              <w:bottom w:val="single" w:sz="4" w:space="0" w:color="auto"/>
            </w:tcBorders>
            <w:vAlign w:val="center"/>
          </w:tcPr>
          <w:p w14:paraId="709D44E0" w14:textId="77777777" w:rsidR="00C96A0E" w:rsidRPr="00F11E73" w:rsidRDefault="00C96A0E" w:rsidP="00C96A0E">
            <w:pPr>
              <w:jc w:val="right"/>
              <w:rPr>
                <w:sz w:val="22"/>
                <w:szCs w:val="22"/>
              </w:rPr>
            </w:pPr>
            <w:r w:rsidRPr="00F11E73">
              <w:rPr>
                <w:sz w:val="22"/>
                <w:szCs w:val="22"/>
              </w:rPr>
              <w:t>0/week</w:t>
            </w:r>
          </w:p>
        </w:tc>
        <w:tc>
          <w:tcPr>
            <w:tcW w:w="1835" w:type="dxa"/>
            <w:tcBorders>
              <w:top w:val="single" w:sz="4" w:space="0" w:color="auto"/>
              <w:bottom w:val="single" w:sz="4" w:space="0" w:color="auto"/>
            </w:tcBorders>
            <w:vAlign w:val="center"/>
          </w:tcPr>
          <w:p w14:paraId="5C683817" w14:textId="77777777" w:rsidR="00C96A0E" w:rsidRPr="00F11E73" w:rsidRDefault="00C96A0E" w:rsidP="00C96A0E">
            <w:pPr>
              <w:jc w:val="right"/>
              <w:rPr>
                <w:sz w:val="22"/>
                <w:szCs w:val="22"/>
              </w:rPr>
            </w:pPr>
            <w:r w:rsidRPr="00F11E73">
              <w:rPr>
                <w:sz w:val="22"/>
                <w:szCs w:val="22"/>
              </w:rPr>
              <w:t>0-0.5/week</w:t>
            </w:r>
          </w:p>
        </w:tc>
        <w:tc>
          <w:tcPr>
            <w:tcW w:w="1892" w:type="dxa"/>
            <w:tcBorders>
              <w:top w:val="single" w:sz="4" w:space="0" w:color="auto"/>
              <w:bottom w:val="single" w:sz="4" w:space="0" w:color="auto"/>
            </w:tcBorders>
            <w:vAlign w:val="center"/>
          </w:tcPr>
          <w:p w14:paraId="253CA7CB" w14:textId="77777777" w:rsidR="00C96A0E" w:rsidRPr="00F11E73" w:rsidRDefault="00C96A0E" w:rsidP="00C96A0E">
            <w:pPr>
              <w:jc w:val="right"/>
              <w:rPr>
                <w:sz w:val="22"/>
                <w:szCs w:val="22"/>
              </w:rPr>
            </w:pPr>
            <w:r w:rsidRPr="00F11E73">
              <w:rPr>
                <w:sz w:val="22"/>
                <w:szCs w:val="22"/>
              </w:rPr>
              <w:t>0.5-2/week</w:t>
            </w:r>
          </w:p>
        </w:tc>
        <w:tc>
          <w:tcPr>
            <w:tcW w:w="1756" w:type="dxa"/>
            <w:tcBorders>
              <w:top w:val="single" w:sz="4" w:space="0" w:color="auto"/>
              <w:bottom w:val="single" w:sz="4" w:space="0" w:color="auto"/>
            </w:tcBorders>
            <w:vAlign w:val="center"/>
          </w:tcPr>
          <w:p w14:paraId="22FDDDA1" w14:textId="77777777" w:rsidR="00C96A0E" w:rsidRPr="00F11E73" w:rsidRDefault="00C96A0E" w:rsidP="00C96A0E">
            <w:pPr>
              <w:jc w:val="right"/>
              <w:rPr>
                <w:sz w:val="22"/>
                <w:szCs w:val="22"/>
              </w:rPr>
            </w:pPr>
            <w:r w:rsidRPr="00F11E73">
              <w:rPr>
                <w:sz w:val="22"/>
                <w:szCs w:val="22"/>
              </w:rPr>
              <w:t>&gt;2/week</w:t>
            </w:r>
          </w:p>
        </w:tc>
        <w:tc>
          <w:tcPr>
            <w:tcW w:w="1844" w:type="dxa"/>
            <w:tcBorders>
              <w:top w:val="single" w:sz="4" w:space="0" w:color="auto"/>
              <w:bottom w:val="single" w:sz="4" w:space="0" w:color="auto"/>
            </w:tcBorders>
            <w:vAlign w:val="center"/>
          </w:tcPr>
          <w:p w14:paraId="002C3CE3" w14:textId="77777777" w:rsidR="00C96A0E" w:rsidRPr="00F11E73" w:rsidRDefault="00C96A0E" w:rsidP="00C96A0E">
            <w:pPr>
              <w:jc w:val="right"/>
              <w:rPr>
                <w:sz w:val="22"/>
                <w:szCs w:val="22"/>
              </w:rPr>
            </w:pPr>
            <w:r w:rsidRPr="00F11E73">
              <w:rPr>
                <w:sz w:val="22"/>
                <w:szCs w:val="22"/>
              </w:rPr>
              <w:t>Continuous</w:t>
            </w:r>
          </w:p>
        </w:tc>
        <w:tc>
          <w:tcPr>
            <w:tcW w:w="900" w:type="dxa"/>
            <w:tcBorders>
              <w:top w:val="single" w:sz="4" w:space="0" w:color="auto"/>
              <w:bottom w:val="single" w:sz="4" w:space="0" w:color="auto"/>
            </w:tcBorders>
            <w:vAlign w:val="center"/>
          </w:tcPr>
          <w:p w14:paraId="3C288A4F" w14:textId="77777777" w:rsidR="00C96A0E" w:rsidRPr="00F11E73" w:rsidRDefault="00C96A0E" w:rsidP="00C96A0E">
            <w:pPr>
              <w:jc w:val="right"/>
              <w:rPr>
                <w:sz w:val="22"/>
                <w:szCs w:val="22"/>
              </w:rPr>
            </w:pPr>
            <w:proofErr w:type="spellStart"/>
            <w:r w:rsidRPr="00F11E73">
              <w:rPr>
                <w:sz w:val="22"/>
                <w:szCs w:val="22"/>
              </w:rPr>
              <w:t>P</w:t>
            </w:r>
            <w:r w:rsidRPr="00F11E73">
              <w:rPr>
                <w:sz w:val="22"/>
                <w:szCs w:val="22"/>
                <w:vertAlign w:val="subscript"/>
              </w:rPr>
              <w:t>trend</w:t>
            </w:r>
            <w:proofErr w:type="spellEnd"/>
          </w:p>
        </w:tc>
      </w:tr>
      <w:tr w:rsidR="00C96A0E" w:rsidRPr="00F11E73" w14:paraId="502D9FDC" w14:textId="77777777" w:rsidTr="005041F1">
        <w:tc>
          <w:tcPr>
            <w:tcW w:w="10800" w:type="dxa"/>
            <w:gridSpan w:val="7"/>
            <w:tcBorders>
              <w:top w:val="single" w:sz="4" w:space="0" w:color="auto"/>
              <w:bottom w:val="single" w:sz="4" w:space="0" w:color="auto"/>
            </w:tcBorders>
            <w:vAlign w:val="center"/>
          </w:tcPr>
          <w:p w14:paraId="3E3D4931" w14:textId="77777777" w:rsidR="00C96A0E" w:rsidRPr="00F11E73" w:rsidRDefault="00C96A0E" w:rsidP="005041F1">
            <w:pPr>
              <w:jc w:val="both"/>
              <w:rPr>
                <w:sz w:val="22"/>
                <w:szCs w:val="22"/>
              </w:rPr>
            </w:pPr>
            <w:r w:rsidRPr="00F11E73">
              <w:rPr>
                <w:sz w:val="22"/>
                <w:szCs w:val="22"/>
              </w:rPr>
              <w:t>First approach, defining the exposure as alcohol intake age 21-entry, time scale as age</w:t>
            </w:r>
          </w:p>
        </w:tc>
      </w:tr>
      <w:tr w:rsidR="00C96A0E" w:rsidRPr="00F11E73" w14:paraId="18017A37" w14:textId="77777777" w:rsidTr="005041F1">
        <w:tc>
          <w:tcPr>
            <w:tcW w:w="1583" w:type="dxa"/>
            <w:tcBorders>
              <w:top w:val="single" w:sz="4" w:space="0" w:color="auto"/>
            </w:tcBorders>
            <w:vAlign w:val="center"/>
          </w:tcPr>
          <w:p w14:paraId="015AAA92" w14:textId="77777777" w:rsidR="00C96A0E" w:rsidRPr="00F11E73" w:rsidRDefault="00C96A0E" w:rsidP="005041F1">
            <w:pPr>
              <w:jc w:val="both"/>
              <w:rPr>
                <w:sz w:val="22"/>
                <w:szCs w:val="22"/>
              </w:rPr>
            </w:pPr>
            <w:r w:rsidRPr="00F11E73">
              <w:rPr>
                <w:sz w:val="22"/>
                <w:szCs w:val="22"/>
              </w:rPr>
              <w:t>Crude model</w:t>
            </w:r>
          </w:p>
        </w:tc>
        <w:tc>
          <w:tcPr>
            <w:tcW w:w="990" w:type="dxa"/>
            <w:tcBorders>
              <w:top w:val="single" w:sz="4" w:space="0" w:color="auto"/>
            </w:tcBorders>
            <w:vAlign w:val="center"/>
          </w:tcPr>
          <w:p w14:paraId="0E4E48E2" w14:textId="77777777" w:rsidR="00C96A0E" w:rsidRPr="00F11E73" w:rsidRDefault="00C96A0E" w:rsidP="00C96A0E">
            <w:pPr>
              <w:jc w:val="right"/>
              <w:rPr>
                <w:sz w:val="22"/>
                <w:szCs w:val="22"/>
              </w:rPr>
            </w:pPr>
            <w:r w:rsidRPr="00F11E73">
              <w:rPr>
                <w:sz w:val="22"/>
                <w:szCs w:val="22"/>
              </w:rPr>
              <w:t>Ref</w:t>
            </w:r>
          </w:p>
        </w:tc>
        <w:tc>
          <w:tcPr>
            <w:tcW w:w="1835" w:type="dxa"/>
            <w:tcBorders>
              <w:top w:val="single" w:sz="4" w:space="0" w:color="auto"/>
            </w:tcBorders>
            <w:vAlign w:val="center"/>
          </w:tcPr>
          <w:p w14:paraId="6C4EAF29" w14:textId="77777777" w:rsidR="00C96A0E" w:rsidRPr="00F11E73" w:rsidRDefault="00C96A0E" w:rsidP="00C96A0E">
            <w:pPr>
              <w:jc w:val="right"/>
              <w:rPr>
                <w:sz w:val="22"/>
                <w:szCs w:val="22"/>
              </w:rPr>
            </w:pPr>
            <w:r w:rsidRPr="00F11E73">
              <w:rPr>
                <w:sz w:val="22"/>
                <w:szCs w:val="22"/>
              </w:rPr>
              <w:t>1.10 (0.82, 1.48)</w:t>
            </w:r>
          </w:p>
        </w:tc>
        <w:tc>
          <w:tcPr>
            <w:tcW w:w="1892" w:type="dxa"/>
            <w:tcBorders>
              <w:top w:val="single" w:sz="4" w:space="0" w:color="auto"/>
            </w:tcBorders>
            <w:vAlign w:val="center"/>
          </w:tcPr>
          <w:p w14:paraId="21A2B1EB" w14:textId="77777777" w:rsidR="00C96A0E" w:rsidRPr="00F11E73" w:rsidRDefault="00C96A0E" w:rsidP="00C96A0E">
            <w:pPr>
              <w:jc w:val="right"/>
              <w:rPr>
                <w:sz w:val="22"/>
                <w:szCs w:val="22"/>
              </w:rPr>
            </w:pPr>
            <w:r w:rsidRPr="00F11E73">
              <w:rPr>
                <w:sz w:val="22"/>
                <w:szCs w:val="22"/>
              </w:rPr>
              <w:t>1.13 (0.88, 1.44)</w:t>
            </w:r>
          </w:p>
        </w:tc>
        <w:tc>
          <w:tcPr>
            <w:tcW w:w="1756" w:type="dxa"/>
            <w:tcBorders>
              <w:top w:val="single" w:sz="4" w:space="0" w:color="auto"/>
            </w:tcBorders>
            <w:vAlign w:val="center"/>
          </w:tcPr>
          <w:p w14:paraId="79904388" w14:textId="77777777" w:rsidR="00C96A0E" w:rsidRPr="00F11E73" w:rsidRDefault="00C96A0E" w:rsidP="00C96A0E">
            <w:pPr>
              <w:jc w:val="right"/>
              <w:rPr>
                <w:sz w:val="22"/>
                <w:szCs w:val="22"/>
              </w:rPr>
            </w:pPr>
            <w:r w:rsidRPr="00F11E73">
              <w:rPr>
                <w:sz w:val="22"/>
                <w:szCs w:val="22"/>
              </w:rPr>
              <w:t>1.57 (1.29, 1.91)</w:t>
            </w:r>
          </w:p>
        </w:tc>
        <w:tc>
          <w:tcPr>
            <w:tcW w:w="1844" w:type="dxa"/>
            <w:tcBorders>
              <w:top w:val="single" w:sz="4" w:space="0" w:color="auto"/>
            </w:tcBorders>
            <w:vAlign w:val="center"/>
          </w:tcPr>
          <w:p w14:paraId="2E7BBD55" w14:textId="77777777" w:rsidR="00C96A0E" w:rsidRPr="00F11E73" w:rsidRDefault="00C96A0E" w:rsidP="00C96A0E">
            <w:pPr>
              <w:jc w:val="right"/>
              <w:rPr>
                <w:sz w:val="22"/>
                <w:szCs w:val="22"/>
              </w:rPr>
            </w:pPr>
            <w:r w:rsidRPr="00F11E73">
              <w:rPr>
                <w:sz w:val="22"/>
                <w:szCs w:val="22"/>
              </w:rPr>
              <w:t>1.04 (1.03, 1.05)</w:t>
            </w:r>
          </w:p>
        </w:tc>
        <w:tc>
          <w:tcPr>
            <w:tcW w:w="900" w:type="dxa"/>
            <w:tcBorders>
              <w:top w:val="single" w:sz="4" w:space="0" w:color="auto"/>
            </w:tcBorders>
            <w:vAlign w:val="center"/>
          </w:tcPr>
          <w:p w14:paraId="5C1B2258" w14:textId="77777777" w:rsidR="00C96A0E" w:rsidRPr="00F11E73" w:rsidRDefault="00C96A0E" w:rsidP="00C96A0E">
            <w:pPr>
              <w:jc w:val="right"/>
              <w:rPr>
                <w:sz w:val="22"/>
                <w:szCs w:val="22"/>
              </w:rPr>
            </w:pPr>
            <w:r w:rsidRPr="00F11E73">
              <w:rPr>
                <w:sz w:val="22"/>
                <w:szCs w:val="22"/>
              </w:rPr>
              <w:t>&lt;0.001</w:t>
            </w:r>
          </w:p>
        </w:tc>
      </w:tr>
      <w:tr w:rsidR="00C96A0E" w:rsidRPr="00F11E73" w14:paraId="6B989728" w14:textId="77777777" w:rsidTr="005041F1">
        <w:tc>
          <w:tcPr>
            <w:tcW w:w="1583" w:type="dxa"/>
            <w:vAlign w:val="center"/>
          </w:tcPr>
          <w:p w14:paraId="0BBA4735" w14:textId="77777777" w:rsidR="00C96A0E" w:rsidRPr="00F11E73" w:rsidRDefault="00C96A0E" w:rsidP="005041F1">
            <w:pPr>
              <w:jc w:val="both"/>
              <w:rPr>
                <w:sz w:val="22"/>
                <w:szCs w:val="22"/>
              </w:rPr>
            </w:pPr>
            <w:r w:rsidRPr="00F11E73">
              <w:rPr>
                <w:sz w:val="22"/>
                <w:szCs w:val="22"/>
              </w:rPr>
              <w:t>Age-adjusted</w:t>
            </w:r>
          </w:p>
        </w:tc>
        <w:tc>
          <w:tcPr>
            <w:tcW w:w="990" w:type="dxa"/>
            <w:vAlign w:val="center"/>
          </w:tcPr>
          <w:p w14:paraId="044A6AB7" w14:textId="77777777" w:rsidR="00C96A0E" w:rsidRPr="00F11E73" w:rsidRDefault="00C96A0E" w:rsidP="00C96A0E">
            <w:pPr>
              <w:jc w:val="right"/>
              <w:rPr>
                <w:sz w:val="22"/>
                <w:szCs w:val="22"/>
              </w:rPr>
            </w:pPr>
            <w:r w:rsidRPr="00F11E73">
              <w:rPr>
                <w:sz w:val="22"/>
                <w:szCs w:val="22"/>
              </w:rPr>
              <w:t>Ref</w:t>
            </w:r>
          </w:p>
        </w:tc>
        <w:tc>
          <w:tcPr>
            <w:tcW w:w="1835" w:type="dxa"/>
            <w:vAlign w:val="center"/>
          </w:tcPr>
          <w:p w14:paraId="35EC9345" w14:textId="77777777" w:rsidR="00C96A0E" w:rsidRPr="00F11E73" w:rsidRDefault="00C96A0E" w:rsidP="00C96A0E">
            <w:pPr>
              <w:jc w:val="right"/>
              <w:rPr>
                <w:sz w:val="22"/>
                <w:szCs w:val="22"/>
              </w:rPr>
            </w:pPr>
            <w:r w:rsidRPr="00F11E73">
              <w:rPr>
                <w:sz w:val="22"/>
                <w:szCs w:val="22"/>
              </w:rPr>
              <w:t>-</w:t>
            </w:r>
          </w:p>
        </w:tc>
        <w:tc>
          <w:tcPr>
            <w:tcW w:w="1892" w:type="dxa"/>
            <w:vAlign w:val="center"/>
          </w:tcPr>
          <w:p w14:paraId="4FDA9F06" w14:textId="77777777" w:rsidR="00C96A0E" w:rsidRPr="00F11E73" w:rsidRDefault="00C96A0E" w:rsidP="00C96A0E">
            <w:pPr>
              <w:jc w:val="right"/>
              <w:rPr>
                <w:sz w:val="22"/>
                <w:szCs w:val="22"/>
              </w:rPr>
            </w:pPr>
            <w:r w:rsidRPr="00F11E73">
              <w:rPr>
                <w:sz w:val="22"/>
                <w:szCs w:val="22"/>
              </w:rPr>
              <w:t>-</w:t>
            </w:r>
          </w:p>
        </w:tc>
        <w:tc>
          <w:tcPr>
            <w:tcW w:w="1756" w:type="dxa"/>
            <w:vAlign w:val="center"/>
          </w:tcPr>
          <w:p w14:paraId="111384AC" w14:textId="77777777" w:rsidR="00C96A0E" w:rsidRPr="00F11E73" w:rsidRDefault="00C96A0E" w:rsidP="00C96A0E">
            <w:pPr>
              <w:jc w:val="right"/>
              <w:rPr>
                <w:sz w:val="22"/>
                <w:szCs w:val="22"/>
              </w:rPr>
            </w:pPr>
            <w:r w:rsidRPr="00F11E73">
              <w:rPr>
                <w:sz w:val="22"/>
                <w:szCs w:val="22"/>
              </w:rPr>
              <w:t>-</w:t>
            </w:r>
          </w:p>
        </w:tc>
        <w:tc>
          <w:tcPr>
            <w:tcW w:w="1844" w:type="dxa"/>
            <w:vAlign w:val="center"/>
          </w:tcPr>
          <w:p w14:paraId="34D565A5" w14:textId="77777777" w:rsidR="00C96A0E" w:rsidRPr="00F11E73" w:rsidRDefault="00C96A0E" w:rsidP="00C96A0E">
            <w:pPr>
              <w:jc w:val="right"/>
              <w:rPr>
                <w:sz w:val="22"/>
                <w:szCs w:val="22"/>
              </w:rPr>
            </w:pPr>
            <w:r w:rsidRPr="00F11E73">
              <w:rPr>
                <w:sz w:val="22"/>
                <w:szCs w:val="22"/>
              </w:rPr>
              <w:t>-</w:t>
            </w:r>
          </w:p>
        </w:tc>
        <w:tc>
          <w:tcPr>
            <w:tcW w:w="900" w:type="dxa"/>
            <w:vAlign w:val="center"/>
          </w:tcPr>
          <w:p w14:paraId="79A93664" w14:textId="77777777" w:rsidR="00C96A0E" w:rsidRPr="00F11E73" w:rsidRDefault="00C96A0E" w:rsidP="00C96A0E">
            <w:pPr>
              <w:jc w:val="right"/>
              <w:rPr>
                <w:sz w:val="22"/>
                <w:szCs w:val="22"/>
              </w:rPr>
            </w:pPr>
            <w:r w:rsidRPr="00F11E73">
              <w:rPr>
                <w:sz w:val="22"/>
                <w:szCs w:val="22"/>
              </w:rPr>
              <w:t>-</w:t>
            </w:r>
          </w:p>
        </w:tc>
      </w:tr>
      <w:tr w:rsidR="00C96A0E" w:rsidRPr="00F11E73" w14:paraId="559148EC" w14:textId="77777777" w:rsidTr="005041F1">
        <w:tc>
          <w:tcPr>
            <w:tcW w:w="1583" w:type="dxa"/>
            <w:tcBorders>
              <w:bottom w:val="single" w:sz="4" w:space="0" w:color="auto"/>
            </w:tcBorders>
            <w:vAlign w:val="center"/>
          </w:tcPr>
          <w:p w14:paraId="57EBCB0C" w14:textId="77777777" w:rsidR="00C96A0E" w:rsidRPr="00F11E73" w:rsidRDefault="00C96A0E" w:rsidP="005041F1">
            <w:pPr>
              <w:jc w:val="both"/>
              <w:rPr>
                <w:sz w:val="22"/>
                <w:szCs w:val="22"/>
                <w:vertAlign w:val="superscript"/>
              </w:rPr>
            </w:pPr>
            <w:r w:rsidRPr="00F11E73">
              <w:rPr>
                <w:sz w:val="22"/>
                <w:szCs w:val="22"/>
              </w:rPr>
              <w:t>MV-</w:t>
            </w:r>
            <w:proofErr w:type="spellStart"/>
            <w:r w:rsidRPr="00F11E73">
              <w:rPr>
                <w:sz w:val="22"/>
                <w:szCs w:val="22"/>
              </w:rPr>
              <w:t>adjusted</w:t>
            </w:r>
            <w:r w:rsidRPr="00F11E73">
              <w:rPr>
                <w:sz w:val="22"/>
                <w:szCs w:val="22"/>
                <w:vertAlign w:val="superscript"/>
              </w:rPr>
              <w:t>a</w:t>
            </w:r>
            <w:proofErr w:type="spellEnd"/>
          </w:p>
        </w:tc>
        <w:tc>
          <w:tcPr>
            <w:tcW w:w="990" w:type="dxa"/>
            <w:tcBorders>
              <w:bottom w:val="single" w:sz="4" w:space="0" w:color="auto"/>
            </w:tcBorders>
            <w:vAlign w:val="center"/>
          </w:tcPr>
          <w:p w14:paraId="0BD96C65" w14:textId="77777777" w:rsidR="00C96A0E" w:rsidRPr="00F11E73" w:rsidRDefault="00C96A0E" w:rsidP="00C96A0E">
            <w:pPr>
              <w:jc w:val="right"/>
              <w:rPr>
                <w:sz w:val="22"/>
                <w:szCs w:val="22"/>
              </w:rPr>
            </w:pPr>
            <w:r w:rsidRPr="00F11E73">
              <w:rPr>
                <w:sz w:val="22"/>
                <w:szCs w:val="22"/>
              </w:rPr>
              <w:t>Ref</w:t>
            </w:r>
          </w:p>
        </w:tc>
        <w:tc>
          <w:tcPr>
            <w:tcW w:w="1835" w:type="dxa"/>
            <w:tcBorders>
              <w:bottom w:val="single" w:sz="4" w:space="0" w:color="auto"/>
            </w:tcBorders>
            <w:vAlign w:val="center"/>
          </w:tcPr>
          <w:p w14:paraId="2F201AC9" w14:textId="77777777" w:rsidR="00C96A0E" w:rsidRPr="00F11E73" w:rsidRDefault="00C96A0E" w:rsidP="00C96A0E">
            <w:pPr>
              <w:jc w:val="right"/>
              <w:rPr>
                <w:sz w:val="22"/>
                <w:szCs w:val="22"/>
              </w:rPr>
            </w:pPr>
            <w:r w:rsidRPr="00F11E73">
              <w:rPr>
                <w:sz w:val="22"/>
                <w:szCs w:val="22"/>
              </w:rPr>
              <w:t>1.06 (0.78, 1.43)</w:t>
            </w:r>
          </w:p>
        </w:tc>
        <w:tc>
          <w:tcPr>
            <w:tcW w:w="1892" w:type="dxa"/>
            <w:tcBorders>
              <w:bottom w:val="single" w:sz="4" w:space="0" w:color="auto"/>
            </w:tcBorders>
            <w:vAlign w:val="center"/>
          </w:tcPr>
          <w:p w14:paraId="7DB05E6B" w14:textId="77777777" w:rsidR="00C96A0E" w:rsidRPr="00F11E73" w:rsidRDefault="00C96A0E" w:rsidP="00C96A0E">
            <w:pPr>
              <w:jc w:val="right"/>
              <w:rPr>
                <w:sz w:val="22"/>
                <w:szCs w:val="22"/>
              </w:rPr>
            </w:pPr>
            <w:r w:rsidRPr="00F11E73">
              <w:rPr>
                <w:sz w:val="22"/>
                <w:szCs w:val="22"/>
              </w:rPr>
              <w:t>0.98 (0.76, 1.27)</w:t>
            </w:r>
          </w:p>
        </w:tc>
        <w:tc>
          <w:tcPr>
            <w:tcW w:w="1756" w:type="dxa"/>
            <w:tcBorders>
              <w:bottom w:val="single" w:sz="4" w:space="0" w:color="auto"/>
            </w:tcBorders>
            <w:vAlign w:val="center"/>
          </w:tcPr>
          <w:p w14:paraId="7223210F" w14:textId="77777777" w:rsidR="00C96A0E" w:rsidRPr="00F11E73" w:rsidRDefault="00C96A0E" w:rsidP="00C96A0E">
            <w:pPr>
              <w:jc w:val="right"/>
              <w:rPr>
                <w:sz w:val="22"/>
                <w:szCs w:val="22"/>
              </w:rPr>
            </w:pPr>
            <w:r w:rsidRPr="00F11E73">
              <w:rPr>
                <w:sz w:val="22"/>
                <w:szCs w:val="22"/>
              </w:rPr>
              <w:t>1.25 (1.00, 1.55)</w:t>
            </w:r>
          </w:p>
        </w:tc>
        <w:tc>
          <w:tcPr>
            <w:tcW w:w="1844" w:type="dxa"/>
            <w:tcBorders>
              <w:bottom w:val="single" w:sz="4" w:space="0" w:color="auto"/>
            </w:tcBorders>
            <w:vAlign w:val="center"/>
          </w:tcPr>
          <w:p w14:paraId="48B835C2" w14:textId="77777777" w:rsidR="00C96A0E" w:rsidRPr="00F11E73" w:rsidRDefault="00C96A0E" w:rsidP="00C96A0E">
            <w:pPr>
              <w:jc w:val="right"/>
              <w:rPr>
                <w:sz w:val="22"/>
                <w:szCs w:val="22"/>
              </w:rPr>
            </w:pPr>
            <w:r w:rsidRPr="00F11E73">
              <w:rPr>
                <w:sz w:val="22"/>
                <w:szCs w:val="22"/>
              </w:rPr>
              <w:t>1.02 (1.01, 1.04)</w:t>
            </w:r>
          </w:p>
        </w:tc>
        <w:tc>
          <w:tcPr>
            <w:tcW w:w="900" w:type="dxa"/>
            <w:tcBorders>
              <w:bottom w:val="single" w:sz="4" w:space="0" w:color="auto"/>
            </w:tcBorders>
            <w:vAlign w:val="center"/>
          </w:tcPr>
          <w:p w14:paraId="5DF33050" w14:textId="77777777" w:rsidR="00C96A0E" w:rsidRPr="00F11E73" w:rsidRDefault="00C96A0E" w:rsidP="00C96A0E">
            <w:pPr>
              <w:jc w:val="right"/>
              <w:rPr>
                <w:sz w:val="22"/>
                <w:szCs w:val="22"/>
              </w:rPr>
            </w:pPr>
            <w:r w:rsidRPr="00F11E73">
              <w:rPr>
                <w:sz w:val="22"/>
                <w:szCs w:val="22"/>
              </w:rPr>
              <w:t>0.084</w:t>
            </w:r>
          </w:p>
        </w:tc>
      </w:tr>
      <w:tr w:rsidR="00C96A0E" w:rsidRPr="00F11E73" w14:paraId="5103EE4B" w14:textId="77777777" w:rsidTr="005041F1">
        <w:tc>
          <w:tcPr>
            <w:tcW w:w="10800" w:type="dxa"/>
            <w:gridSpan w:val="7"/>
            <w:tcBorders>
              <w:top w:val="single" w:sz="4" w:space="0" w:color="auto"/>
              <w:bottom w:val="single" w:sz="4" w:space="0" w:color="auto"/>
            </w:tcBorders>
            <w:vAlign w:val="center"/>
          </w:tcPr>
          <w:p w14:paraId="41A77A19" w14:textId="77777777" w:rsidR="00C96A0E" w:rsidRPr="00F11E73" w:rsidRDefault="00C96A0E" w:rsidP="005041F1">
            <w:pPr>
              <w:jc w:val="both"/>
              <w:rPr>
                <w:sz w:val="22"/>
                <w:szCs w:val="22"/>
              </w:rPr>
            </w:pPr>
            <w:r w:rsidRPr="00F11E73">
              <w:rPr>
                <w:sz w:val="22"/>
                <w:szCs w:val="22"/>
              </w:rPr>
              <w:t>Second approach, defining the exposure as prevalent alcohol intake at baseline, time scale as years since entry</w:t>
            </w:r>
          </w:p>
        </w:tc>
      </w:tr>
      <w:tr w:rsidR="00C96A0E" w:rsidRPr="00F11E73" w14:paraId="265F71A4" w14:textId="77777777" w:rsidTr="005041F1">
        <w:tc>
          <w:tcPr>
            <w:tcW w:w="1583" w:type="dxa"/>
            <w:tcBorders>
              <w:top w:val="single" w:sz="4" w:space="0" w:color="auto"/>
            </w:tcBorders>
            <w:vAlign w:val="center"/>
          </w:tcPr>
          <w:p w14:paraId="1ED98B97" w14:textId="77777777" w:rsidR="00C96A0E" w:rsidRPr="00F11E73" w:rsidRDefault="00C96A0E" w:rsidP="005041F1">
            <w:pPr>
              <w:jc w:val="both"/>
              <w:rPr>
                <w:sz w:val="22"/>
                <w:szCs w:val="22"/>
              </w:rPr>
            </w:pPr>
            <w:r w:rsidRPr="00F11E73">
              <w:rPr>
                <w:sz w:val="22"/>
                <w:szCs w:val="22"/>
              </w:rPr>
              <w:t>Crude model</w:t>
            </w:r>
          </w:p>
        </w:tc>
        <w:tc>
          <w:tcPr>
            <w:tcW w:w="990" w:type="dxa"/>
            <w:tcBorders>
              <w:top w:val="single" w:sz="4" w:space="0" w:color="auto"/>
            </w:tcBorders>
            <w:vAlign w:val="center"/>
          </w:tcPr>
          <w:p w14:paraId="1ACCD941" w14:textId="77777777" w:rsidR="00C96A0E" w:rsidRPr="00F11E73" w:rsidRDefault="00C96A0E" w:rsidP="00C96A0E">
            <w:pPr>
              <w:jc w:val="right"/>
              <w:rPr>
                <w:sz w:val="22"/>
                <w:szCs w:val="22"/>
              </w:rPr>
            </w:pPr>
            <w:r w:rsidRPr="00F11E73">
              <w:rPr>
                <w:sz w:val="22"/>
                <w:szCs w:val="22"/>
              </w:rPr>
              <w:t>Ref</w:t>
            </w:r>
          </w:p>
        </w:tc>
        <w:tc>
          <w:tcPr>
            <w:tcW w:w="1835" w:type="dxa"/>
            <w:tcBorders>
              <w:top w:val="single" w:sz="4" w:space="0" w:color="auto"/>
            </w:tcBorders>
            <w:vAlign w:val="center"/>
          </w:tcPr>
          <w:p w14:paraId="3FB74B56" w14:textId="77777777" w:rsidR="00C96A0E" w:rsidRPr="00F11E73" w:rsidRDefault="00C96A0E" w:rsidP="00C96A0E">
            <w:pPr>
              <w:jc w:val="right"/>
              <w:rPr>
                <w:sz w:val="22"/>
                <w:szCs w:val="22"/>
              </w:rPr>
            </w:pPr>
            <w:r w:rsidRPr="00F11E73">
              <w:rPr>
                <w:sz w:val="22"/>
                <w:szCs w:val="22"/>
              </w:rPr>
              <w:t>0.95 (0.70, 1.28)</w:t>
            </w:r>
          </w:p>
        </w:tc>
        <w:tc>
          <w:tcPr>
            <w:tcW w:w="1892" w:type="dxa"/>
            <w:tcBorders>
              <w:top w:val="single" w:sz="4" w:space="0" w:color="auto"/>
            </w:tcBorders>
            <w:vAlign w:val="center"/>
          </w:tcPr>
          <w:p w14:paraId="75D1E8F9" w14:textId="77777777" w:rsidR="00C96A0E" w:rsidRPr="00F11E73" w:rsidRDefault="00C96A0E" w:rsidP="00C96A0E">
            <w:pPr>
              <w:jc w:val="right"/>
              <w:rPr>
                <w:sz w:val="22"/>
                <w:szCs w:val="22"/>
              </w:rPr>
            </w:pPr>
            <w:r w:rsidRPr="00F11E73">
              <w:rPr>
                <w:sz w:val="22"/>
                <w:szCs w:val="22"/>
              </w:rPr>
              <w:t>0.83 (0.65, 1.06)</w:t>
            </w:r>
          </w:p>
        </w:tc>
        <w:tc>
          <w:tcPr>
            <w:tcW w:w="1756" w:type="dxa"/>
            <w:tcBorders>
              <w:top w:val="single" w:sz="4" w:space="0" w:color="auto"/>
            </w:tcBorders>
            <w:vAlign w:val="center"/>
          </w:tcPr>
          <w:p w14:paraId="10E38448" w14:textId="77777777" w:rsidR="00C96A0E" w:rsidRPr="00F11E73" w:rsidRDefault="00C96A0E" w:rsidP="00C96A0E">
            <w:pPr>
              <w:jc w:val="right"/>
              <w:rPr>
                <w:sz w:val="22"/>
                <w:szCs w:val="22"/>
              </w:rPr>
            </w:pPr>
            <w:r w:rsidRPr="00F11E73">
              <w:rPr>
                <w:sz w:val="22"/>
                <w:szCs w:val="22"/>
              </w:rPr>
              <w:t>1.15 (0.94, 1.39)</w:t>
            </w:r>
          </w:p>
        </w:tc>
        <w:tc>
          <w:tcPr>
            <w:tcW w:w="1844" w:type="dxa"/>
            <w:tcBorders>
              <w:top w:val="single" w:sz="4" w:space="0" w:color="auto"/>
            </w:tcBorders>
            <w:vAlign w:val="center"/>
          </w:tcPr>
          <w:p w14:paraId="03568052" w14:textId="77777777" w:rsidR="00C96A0E" w:rsidRPr="00F11E73" w:rsidRDefault="00C96A0E" w:rsidP="00C96A0E">
            <w:pPr>
              <w:jc w:val="right"/>
              <w:rPr>
                <w:sz w:val="22"/>
                <w:szCs w:val="22"/>
              </w:rPr>
            </w:pPr>
            <w:r w:rsidRPr="00F11E73">
              <w:rPr>
                <w:sz w:val="22"/>
                <w:szCs w:val="22"/>
              </w:rPr>
              <w:t>1.03 (1.02, 1.04)</w:t>
            </w:r>
          </w:p>
        </w:tc>
        <w:tc>
          <w:tcPr>
            <w:tcW w:w="900" w:type="dxa"/>
            <w:tcBorders>
              <w:top w:val="single" w:sz="4" w:space="0" w:color="auto"/>
            </w:tcBorders>
            <w:vAlign w:val="center"/>
          </w:tcPr>
          <w:p w14:paraId="28858C2D" w14:textId="77777777" w:rsidR="00C96A0E" w:rsidRPr="00F11E73" w:rsidRDefault="00C96A0E" w:rsidP="00C96A0E">
            <w:pPr>
              <w:jc w:val="right"/>
              <w:rPr>
                <w:sz w:val="22"/>
                <w:szCs w:val="22"/>
              </w:rPr>
            </w:pPr>
            <w:r w:rsidRPr="00F11E73">
              <w:rPr>
                <w:sz w:val="22"/>
                <w:szCs w:val="22"/>
              </w:rPr>
              <w:t>0.335</w:t>
            </w:r>
          </w:p>
        </w:tc>
      </w:tr>
      <w:tr w:rsidR="00C96A0E" w:rsidRPr="00F11E73" w14:paraId="1274D17D" w14:textId="77777777" w:rsidTr="005041F1">
        <w:tc>
          <w:tcPr>
            <w:tcW w:w="1583" w:type="dxa"/>
            <w:vAlign w:val="center"/>
          </w:tcPr>
          <w:p w14:paraId="36976B82" w14:textId="77777777" w:rsidR="00C96A0E" w:rsidRPr="00F11E73" w:rsidRDefault="00C96A0E" w:rsidP="005041F1">
            <w:pPr>
              <w:jc w:val="both"/>
              <w:rPr>
                <w:sz w:val="22"/>
                <w:szCs w:val="22"/>
              </w:rPr>
            </w:pPr>
            <w:r w:rsidRPr="00F11E73">
              <w:rPr>
                <w:sz w:val="22"/>
                <w:szCs w:val="22"/>
              </w:rPr>
              <w:t>Age-adjusted</w:t>
            </w:r>
          </w:p>
        </w:tc>
        <w:tc>
          <w:tcPr>
            <w:tcW w:w="990" w:type="dxa"/>
            <w:vAlign w:val="center"/>
          </w:tcPr>
          <w:p w14:paraId="6A042647" w14:textId="77777777" w:rsidR="00C96A0E" w:rsidRPr="00F11E73" w:rsidRDefault="00C96A0E" w:rsidP="00C96A0E">
            <w:pPr>
              <w:jc w:val="right"/>
              <w:rPr>
                <w:sz w:val="22"/>
                <w:szCs w:val="22"/>
              </w:rPr>
            </w:pPr>
            <w:r w:rsidRPr="00F11E73">
              <w:rPr>
                <w:sz w:val="22"/>
                <w:szCs w:val="22"/>
              </w:rPr>
              <w:t>Ref</w:t>
            </w:r>
          </w:p>
        </w:tc>
        <w:tc>
          <w:tcPr>
            <w:tcW w:w="1835" w:type="dxa"/>
            <w:vAlign w:val="center"/>
          </w:tcPr>
          <w:p w14:paraId="3C3D59A5" w14:textId="77777777" w:rsidR="00C96A0E" w:rsidRPr="00F11E73" w:rsidRDefault="00C96A0E" w:rsidP="00C96A0E">
            <w:pPr>
              <w:jc w:val="right"/>
              <w:rPr>
                <w:sz w:val="22"/>
                <w:szCs w:val="22"/>
              </w:rPr>
            </w:pPr>
            <w:r w:rsidRPr="00F11E73">
              <w:rPr>
                <w:sz w:val="22"/>
                <w:szCs w:val="22"/>
              </w:rPr>
              <w:t>1.11 (0.82, 1.45)</w:t>
            </w:r>
          </w:p>
        </w:tc>
        <w:tc>
          <w:tcPr>
            <w:tcW w:w="1892" w:type="dxa"/>
            <w:vAlign w:val="center"/>
          </w:tcPr>
          <w:p w14:paraId="18A4DF58" w14:textId="77777777" w:rsidR="00C96A0E" w:rsidRPr="00F11E73" w:rsidRDefault="00C96A0E" w:rsidP="00C96A0E">
            <w:pPr>
              <w:jc w:val="right"/>
              <w:rPr>
                <w:sz w:val="22"/>
                <w:szCs w:val="22"/>
              </w:rPr>
            </w:pPr>
            <w:r w:rsidRPr="00F11E73">
              <w:rPr>
                <w:sz w:val="22"/>
                <w:szCs w:val="22"/>
              </w:rPr>
              <w:t>1.13 (0.88, 1.45)</w:t>
            </w:r>
          </w:p>
        </w:tc>
        <w:tc>
          <w:tcPr>
            <w:tcW w:w="1756" w:type="dxa"/>
            <w:vAlign w:val="center"/>
          </w:tcPr>
          <w:p w14:paraId="0818E2A0" w14:textId="77777777" w:rsidR="00C96A0E" w:rsidRPr="00F11E73" w:rsidRDefault="00C96A0E" w:rsidP="00C96A0E">
            <w:pPr>
              <w:jc w:val="right"/>
              <w:rPr>
                <w:sz w:val="22"/>
                <w:szCs w:val="22"/>
              </w:rPr>
            </w:pPr>
            <w:r w:rsidRPr="00F11E73">
              <w:rPr>
                <w:sz w:val="22"/>
                <w:szCs w:val="22"/>
              </w:rPr>
              <w:t>1.59 (1.30, 1.94)</w:t>
            </w:r>
          </w:p>
        </w:tc>
        <w:tc>
          <w:tcPr>
            <w:tcW w:w="1844" w:type="dxa"/>
            <w:vAlign w:val="center"/>
          </w:tcPr>
          <w:p w14:paraId="3DBADBAF" w14:textId="77777777" w:rsidR="00C96A0E" w:rsidRPr="00F11E73" w:rsidRDefault="00C96A0E" w:rsidP="00C96A0E">
            <w:pPr>
              <w:jc w:val="right"/>
              <w:rPr>
                <w:sz w:val="22"/>
                <w:szCs w:val="22"/>
              </w:rPr>
            </w:pPr>
            <w:r w:rsidRPr="00F11E73">
              <w:rPr>
                <w:sz w:val="22"/>
                <w:szCs w:val="22"/>
              </w:rPr>
              <w:t>1.04 (1.03, 1.05)</w:t>
            </w:r>
          </w:p>
        </w:tc>
        <w:tc>
          <w:tcPr>
            <w:tcW w:w="900" w:type="dxa"/>
            <w:vAlign w:val="center"/>
          </w:tcPr>
          <w:p w14:paraId="448A8DF5" w14:textId="77777777" w:rsidR="00C96A0E" w:rsidRPr="00F11E73" w:rsidRDefault="00C96A0E" w:rsidP="00C96A0E">
            <w:pPr>
              <w:jc w:val="right"/>
              <w:rPr>
                <w:sz w:val="22"/>
                <w:szCs w:val="22"/>
              </w:rPr>
            </w:pPr>
            <w:r w:rsidRPr="00F11E73">
              <w:rPr>
                <w:sz w:val="22"/>
                <w:szCs w:val="22"/>
              </w:rPr>
              <w:t>&lt;0.001</w:t>
            </w:r>
          </w:p>
        </w:tc>
      </w:tr>
      <w:tr w:rsidR="00C96A0E" w:rsidRPr="00F11E73" w14:paraId="1CE784A6" w14:textId="77777777" w:rsidTr="005041F1">
        <w:tc>
          <w:tcPr>
            <w:tcW w:w="1583" w:type="dxa"/>
            <w:tcBorders>
              <w:bottom w:val="single" w:sz="4" w:space="0" w:color="auto"/>
            </w:tcBorders>
            <w:vAlign w:val="center"/>
          </w:tcPr>
          <w:p w14:paraId="269567F4" w14:textId="77777777" w:rsidR="00C96A0E" w:rsidRPr="00F11E73" w:rsidRDefault="00C96A0E" w:rsidP="005041F1">
            <w:pPr>
              <w:jc w:val="both"/>
              <w:rPr>
                <w:sz w:val="22"/>
                <w:szCs w:val="22"/>
                <w:vertAlign w:val="superscript"/>
              </w:rPr>
            </w:pPr>
            <w:r w:rsidRPr="00F11E73">
              <w:rPr>
                <w:sz w:val="22"/>
                <w:szCs w:val="22"/>
              </w:rPr>
              <w:t>MV-</w:t>
            </w:r>
            <w:proofErr w:type="spellStart"/>
            <w:r w:rsidRPr="00F11E73">
              <w:rPr>
                <w:sz w:val="22"/>
                <w:szCs w:val="22"/>
              </w:rPr>
              <w:t>adjusted</w:t>
            </w:r>
            <w:r w:rsidRPr="00F11E73">
              <w:rPr>
                <w:sz w:val="22"/>
                <w:szCs w:val="22"/>
                <w:vertAlign w:val="superscript"/>
              </w:rPr>
              <w:t>b</w:t>
            </w:r>
            <w:proofErr w:type="spellEnd"/>
          </w:p>
        </w:tc>
        <w:tc>
          <w:tcPr>
            <w:tcW w:w="990" w:type="dxa"/>
            <w:tcBorders>
              <w:bottom w:val="single" w:sz="4" w:space="0" w:color="auto"/>
            </w:tcBorders>
            <w:vAlign w:val="center"/>
          </w:tcPr>
          <w:p w14:paraId="4CC1B051" w14:textId="77777777" w:rsidR="00C96A0E" w:rsidRPr="00F11E73" w:rsidRDefault="00C96A0E" w:rsidP="00C96A0E">
            <w:pPr>
              <w:jc w:val="right"/>
              <w:rPr>
                <w:sz w:val="22"/>
                <w:szCs w:val="22"/>
              </w:rPr>
            </w:pPr>
            <w:r w:rsidRPr="00F11E73">
              <w:rPr>
                <w:sz w:val="22"/>
                <w:szCs w:val="22"/>
              </w:rPr>
              <w:t>Ref</w:t>
            </w:r>
          </w:p>
        </w:tc>
        <w:tc>
          <w:tcPr>
            <w:tcW w:w="1835" w:type="dxa"/>
            <w:tcBorders>
              <w:bottom w:val="single" w:sz="4" w:space="0" w:color="auto"/>
            </w:tcBorders>
            <w:vAlign w:val="center"/>
          </w:tcPr>
          <w:p w14:paraId="3D95E180" w14:textId="77777777" w:rsidR="00C96A0E" w:rsidRPr="00F11E73" w:rsidRDefault="00C96A0E" w:rsidP="00C96A0E">
            <w:pPr>
              <w:jc w:val="right"/>
              <w:rPr>
                <w:sz w:val="22"/>
                <w:szCs w:val="22"/>
              </w:rPr>
            </w:pPr>
            <w:r w:rsidRPr="00F11E73">
              <w:rPr>
                <w:sz w:val="22"/>
                <w:szCs w:val="22"/>
              </w:rPr>
              <w:t>1.06 (0.79, 1.44)</w:t>
            </w:r>
          </w:p>
        </w:tc>
        <w:tc>
          <w:tcPr>
            <w:tcW w:w="1892" w:type="dxa"/>
            <w:tcBorders>
              <w:bottom w:val="single" w:sz="4" w:space="0" w:color="auto"/>
            </w:tcBorders>
            <w:vAlign w:val="center"/>
          </w:tcPr>
          <w:p w14:paraId="39F8CFAE" w14:textId="77777777" w:rsidR="00C96A0E" w:rsidRPr="00F11E73" w:rsidRDefault="00C96A0E" w:rsidP="00C96A0E">
            <w:pPr>
              <w:jc w:val="right"/>
              <w:rPr>
                <w:sz w:val="22"/>
                <w:szCs w:val="22"/>
              </w:rPr>
            </w:pPr>
            <w:r w:rsidRPr="00F11E73">
              <w:rPr>
                <w:sz w:val="22"/>
                <w:szCs w:val="22"/>
              </w:rPr>
              <w:t>0.98 (0.76, 1.26)</w:t>
            </w:r>
          </w:p>
        </w:tc>
        <w:tc>
          <w:tcPr>
            <w:tcW w:w="1756" w:type="dxa"/>
            <w:tcBorders>
              <w:bottom w:val="single" w:sz="4" w:space="0" w:color="auto"/>
            </w:tcBorders>
            <w:vAlign w:val="center"/>
          </w:tcPr>
          <w:p w14:paraId="19441A6F" w14:textId="77777777" w:rsidR="00C96A0E" w:rsidRPr="00F11E73" w:rsidRDefault="00C96A0E" w:rsidP="00C96A0E">
            <w:pPr>
              <w:jc w:val="right"/>
              <w:rPr>
                <w:sz w:val="22"/>
                <w:szCs w:val="22"/>
              </w:rPr>
            </w:pPr>
            <w:r w:rsidRPr="00F11E73">
              <w:rPr>
                <w:sz w:val="22"/>
                <w:szCs w:val="22"/>
              </w:rPr>
              <w:t>1.24 (1.00, 1.55)</w:t>
            </w:r>
          </w:p>
        </w:tc>
        <w:tc>
          <w:tcPr>
            <w:tcW w:w="1844" w:type="dxa"/>
            <w:tcBorders>
              <w:bottom w:val="single" w:sz="4" w:space="0" w:color="auto"/>
            </w:tcBorders>
            <w:vAlign w:val="center"/>
          </w:tcPr>
          <w:p w14:paraId="64B6CE18" w14:textId="77777777" w:rsidR="00C96A0E" w:rsidRPr="00F11E73" w:rsidRDefault="00C96A0E" w:rsidP="00C96A0E">
            <w:pPr>
              <w:jc w:val="right"/>
              <w:rPr>
                <w:sz w:val="22"/>
                <w:szCs w:val="22"/>
              </w:rPr>
            </w:pPr>
            <w:r w:rsidRPr="00F11E73">
              <w:rPr>
                <w:sz w:val="22"/>
                <w:szCs w:val="22"/>
              </w:rPr>
              <w:t>1.03 (1.01, 1.04)</w:t>
            </w:r>
          </w:p>
        </w:tc>
        <w:tc>
          <w:tcPr>
            <w:tcW w:w="900" w:type="dxa"/>
            <w:tcBorders>
              <w:bottom w:val="single" w:sz="4" w:space="0" w:color="auto"/>
            </w:tcBorders>
            <w:vAlign w:val="center"/>
          </w:tcPr>
          <w:p w14:paraId="540D4A48" w14:textId="77777777" w:rsidR="00C96A0E" w:rsidRPr="00F11E73" w:rsidRDefault="00C96A0E" w:rsidP="00C96A0E">
            <w:pPr>
              <w:jc w:val="right"/>
              <w:rPr>
                <w:sz w:val="22"/>
                <w:szCs w:val="22"/>
              </w:rPr>
            </w:pPr>
            <w:r w:rsidRPr="00F11E73">
              <w:rPr>
                <w:sz w:val="22"/>
                <w:szCs w:val="22"/>
              </w:rPr>
              <w:t>0.092</w:t>
            </w:r>
          </w:p>
        </w:tc>
      </w:tr>
    </w:tbl>
    <w:p w14:paraId="78D89BA2" w14:textId="64BCF4FB" w:rsidR="00C96A0E" w:rsidRPr="00F11E73" w:rsidRDefault="00C96A0E" w:rsidP="00C96A0E">
      <w:pPr>
        <w:jc w:val="both"/>
        <w:rPr>
          <w:sz w:val="22"/>
          <w:szCs w:val="22"/>
        </w:rPr>
      </w:pPr>
      <w:r w:rsidRPr="00F11E73">
        <w:rPr>
          <w:sz w:val="22"/>
          <w:szCs w:val="22"/>
        </w:rPr>
        <w:t>a.</w:t>
      </w:r>
      <w:r w:rsidRPr="00F11E73">
        <w:rPr>
          <w:sz w:val="22"/>
          <w:szCs w:val="22"/>
        </w:rPr>
        <w:tab/>
      </w:r>
      <w:r w:rsidR="008B55A5">
        <w:rPr>
          <w:sz w:val="22"/>
          <w:szCs w:val="22"/>
        </w:rPr>
        <w:t>W</w:t>
      </w:r>
      <w:r w:rsidRPr="00F11E73">
        <w:rPr>
          <w:sz w:val="22"/>
          <w:szCs w:val="22"/>
        </w:rPr>
        <w:t>e adjusted for sex, race (categorical), education years, marital status (categorical), size of place (categorical), average cigarettes per day, Standard Metropolitan Statistical Area (categorical), and residence in urban region.</w:t>
      </w:r>
    </w:p>
    <w:p w14:paraId="28D7930F" w14:textId="273A0FBE" w:rsidR="00C96A0E" w:rsidRPr="00F11E73" w:rsidRDefault="00C96A0E" w:rsidP="00C96A0E">
      <w:pPr>
        <w:jc w:val="both"/>
        <w:rPr>
          <w:sz w:val="22"/>
          <w:szCs w:val="22"/>
        </w:rPr>
      </w:pPr>
      <w:r w:rsidRPr="00F11E73">
        <w:rPr>
          <w:sz w:val="22"/>
          <w:szCs w:val="22"/>
        </w:rPr>
        <w:t>b.</w:t>
      </w:r>
      <w:r w:rsidRPr="00F11E73">
        <w:rPr>
          <w:sz w:val="22"/>
          <w:szCs w:val="22"/>
        </w:rPr>
        <w:tab/>
        <w:t xml:space="preserve">In addition to the covariates in a., we adjusted for hypertension at baseline, RBC, diagnosed </w:t>
      </w:r>
      <w:r w:rsidR="008B55A5" w:rsidRPr="00F11E73">
        <w:rPr>
          <w:sz w:val="22"/>
          <w:szCs w:val="22"/>
        </w:rPr>
        <w:t>myocardial infarction</w:t>
      </w:r>
      <w:r w:rsidRPr="00F11E73">
        <w:rPr>
          <w:sz w:val="22"/>
          <w:szCs w:val="22"/>
        </w:rPr>
        <w:t xml:space="preserve">, and diabetes. </w:t>
      </w:r>
    </w:p>
    <w:p w14:paraId="4CCD5B0A" w14:textId="77777777" w:rsidR="00332761" w:rsidRPr="00F11E73" w:rsidRDefault="00332761" w:rsidP="00F11E73">
      <w:pPr>
        <w:jc w:val="both"/>
        <w:rPr>
          <w:sz w:val="22"/>
          <w:szCs w:val="22"/>
        </w:rPr>
      </w:pPr>
    </w:p>
    <w:p w14:paraId="7D2A5BA8" w14:textId="33BA9EC7" w:rsidR="00332761" w:rsidRPr="00F11E73" w:rsidRDefault="00C96A0E" w:rsidP="00F11E73">
      <w:pPr>
        <w:jc w:val="both"/>
        <w:rPr>
          <w:sz w:val="22"/>
          <w:szCs w:val="22"/>
        </w:rPr>
      </w:pPr>
      <w:r>
        <w:rPr>
          <w:sz w:val="22"/>
          <w:szCs w:val="22"/>
        </w:rPr>
        <w:t>With</w:t>
      </w:r>
      <w:r w:rsidR="00332761" w:rsidRPr="00F11E73">
        <w:rPr>
          <w:sz w:val="22"/>
          <w:szCs w:val="22"/>
        </w:rPr>
        <w:t xml:space="preserve"> Scofield’s residuals, we checked the proportional hazard assumption in the MV-adjusted Cox models (</w:t>
      </w:r>
      <w:r w:rsidRPr="00C96A0E">
        <w:rPr>
          <w:i/>
          <w:iCs/>
          <w:sz w:val="22"/>
          <w:szCs w:val="22"/>
        </w:rPr>
        <w:t>Table S3</w:t>
      </w:r>
      <w:r>
        <w:rPr>
          <w:sz w:val="22"/>
          <w:szCs w:val="22"/>
        </w:rPr>
        <w:t xml:space="preserve"> in appendix</w:t>
      </w:r>
      <w:r w:rsidR="00332761" w:rsidRPr="00F11E73">
        <w:rPr>
          <w:sz w:val="22"/>
          <w:szCs w:val="22"/>
        </w:rPr>
        <w:t>). Based on the corresponding chi-squared statistics and p-values for the exposure and for the whole model, we conclude</w:t>
      </w:r>
      <w:r>
        <w:rPr>
          <w:sz w:val="22"/>
          <w:szCs w:val="22"/>
        </w:rPr>
        <w:t>d</w:t>
      </w:r>
      <w:r w:rsidR="00332761" w:rsidRPr="00F11E73">
        <w:rPr>
          <w:sz w:val="22"/>
          <w:szCs w:val="22"/>
        </w:rPr>
        <w:t xml:space="preserve"> that the assumption satisfied </w:t>
      </w:r>
      <w:r>
        <w:rPr>
          <w:sz w:val="22"/>
          <w:szCs w:val="22"/>
        </w:rPr>
        <w:t xml:space="preserve">for </w:t>
      </w:r>
      <w:r w:rsidR="00332761" w:rsidRPr="00F11E73">
        <w:rPr>
          <w:sz w:val="22"/>
          <w:szCs w:val="22"/>
        </w:rPr>
        <w:t xml:space="preserve">the alcohol consumption in all MV-adjusted Cox models. </w:t>
      </w:r>
    </w:p>
    <w:p w14:paraId="7D641B28" w14:textId="77777777" w:rsidR="00332761" w:rsidRPr="00F11E73" w:rsidRDefault="00332761" w:rsidP="00F11E73">
      <w:pPr>
        <w:jc w:val="both"/>
        <w:rPr>
          <w:sz w:val="22"/>
          <w:szCs w:val="22"/>
        </w:rPr>
      </w:pPr>
    </w:p>
    <w:p w14:paraId="0472D648" w14:textId="776730AF" w:rsidR="00332761" w:rsidRPr="00F11E73" w:rsidRDefault="008B55A5" w:rsidP="00F11E73">
      <w:pPr>
        <w:jc w:val="both"/>
        <w:rPr>
          <w:sz w:val="22"/>
          <w:szCs w:val="22"/>
        </w:rPr>
      </w:pPr>
      <w:r>
        <w:rPr>
          <w:sz w:val="22"/>
          <w:szCs w:val="22"/>
        </w:rPr>
        <w:t>W</w:t>
      </w:r>
      <w:r w:rsidR="00332761" w:rsidRPr="00F11E73">
        <w:rPr>
          <w:sz w:val="22"/>
          <w:szCs w:val="22"/>
        </w:rPr>
        <w:t xml:space="preserve">e examined the potential modification of sex in MV-adjusted Cox models (Table 3). First, we compared the estimated hazard rate (HR) comparing &gt;2 drinks per week to 0 drinks per week across males and females. </w:t>
      </w:r>
      <w:r>
        <w:rPr>
          <w:sz w:val="22"/>
          <w:szCs w:val="22"/>
        </w:rPr>
        <w:t xml:space="preserve">We chose this comparison because this is the only one showing statistical significance with alcohol consumption as a categorical variable. </w:t>
      </w:r>
      <w:r w:rsidR="00332761" w:rsidRPr="00F11E73">
        <w:rPr>
          <w:sz w:val="22"/>
          <w:szCs w:val="22"/>
        </w:rPr>
        <w:t xml:space="preserve">The HRs estimated in the females </w:t>
      </w:r>
      <w:r>
        <w:rPr>
          <w:sz w:val="22"/>
          <w:szCs w:val="22"/>
        </w:rPr>
        <w:t>we</w:t>
      </w:r>
      <w:r w:rsidR="00332761" w:rsidRPr="00F11E73">
        <w:rPr>
          <w:sz w:val="22"/>
          <w:szCs w:val="22"/>
        </w:rPr>
        <w:t xml:space="preserve">re greater than in the males in all the models, indicating that alcohol consumption’s harmful effects </w:t>
      </w:r>
      <w:r w:rsidR="00DF618C">
        <w:rPr>
          <w:sz w:val="22"/>
          <w:szCs w:val="22"/>
        </w:rPr>
        <w:t>were</w:t>
      </w:r>
      <w:r w:rsidR="00332761" w:rsidRPr="00F11E73">
        <w:rPr>
          <w:sz w:val="22"/>
          <w:szCs w:val="22"/>
        </w:rPr>
        <w:t xml:space="preserve"> more pronounced in the females than in the males. However, </w:t>
      </w:r>
      <w:r w:rsidR="00DF618C">
        <w:rPr>
          <w:sz w:val="22"/>
          <w:szCs w:val="22"/>
        </w:rPr>
        <w:t>none of</w:t>
      </w:r>
      <w:r w:rsidR="00332761" w:rsidRPr="00F11E73">
        <w:rPr>
          <w:sz w:val="22"/>
          <w:szCs w:val="22"/>
        </w:rPr>
        <w:t xml:space="preserve"> </w:t>
      </w:r>
      <w:r w:rsidR="00DF618C">
        <w:rPr>
          <w:sz w:val="22"/>
          <w:szCs w:val="22"/>
        </w:rPr>
        <w:t xml:space="preserve">these </w:t>
      </w:r>
      <w:r w:rsidR="00332761" w:rsidRPr="00F11E73">
        <w:rPr>
          <w:sz w:val="22"/>
          <w:szCs w:val="22"/>
        </w:rPr>
        <w:t xml:space="preserve">differences </w:t>
      </w:r>
      <w:r w:rsidR="00DF618C">
        <w:rPr>
          <w:sz w:val="22"/>
          <w:szCs w:val="22"/>
        </w:rPr>
        <w:t>was</w:t>
      </w:r>
      <w:r w:rsidR="00332761" w:rsidRPr="00F11E73">
        <w:rPr>
          <w:sz w:val="22"/>
          <w:szCs w:val="22"/>
        </w:rPr>
        <w:t xml:space="preserve"> statistically significant across all the six models. Then we treated alcohol consumption as a continuous variable. All the six models yield</w:t>
      </w:r>
      <w:r w:rsidR="00DF618C">
        <w:rPr>
          <w:sz w:val="22"/>
          <w:szCs w:val="22"/>
        </w:rPr>
        <w:t>ed</w:t>
      </w:r>
      <w:r w:rsidR="00332761" w:rsidRPr="00F11E73">
        <w:rPr>
          <w:sz w:val="22"/>
          <w:szCs w:val="22"/>
        </w:rPr>
        <w:t xml:space="preserve"> similar HR for males and females, very close to the estimates in the overall sample analysis in Table </w:t>
      </w:r>
      <w:r w:rsidR="00DF618C">
        <w:rPr>
          <w:sz w:val="22"/>
          <w:szCs w:val="22"/>
        </w:rPr>
        <w:t>2. T</w:t>
      </w:r>
      <w:r w:rsidR="00332761" w:rsidRPr="00F11E73">
        <w:rPr>
          <w:sz w:val="22"/>
          <w:szCs w:val="22"/>
        </w:rPr>
        <w:t>he difference</w:t>
      </w:r>
      <w:r w:rsidR="00DF618C">
        <w:rPr>
          <w:sz w:val="22"/>
          <w:szCs w:val="22"/>
        </w:rPr>
        <w:t>s</w:t>
      </w:r>
      <w:r w:rsidR="00332761" w:rsidRPr="00F11E73">
        <w:rPr>
          <w:sz w:val="22"/>
          <w:szCs w:val="22"/>
        </w:rPr>
        <w:t xml:space="preserve"> in HR by sex </w:t>
      </w:r>
      <w:r w:rsidR="00DF618C">
        <w:rPr>
          <w:sz w:val="22"/>
          <w:szCs w:val="22"/>
        </w:rPr>
        <w:t>we</w:t>
      </w:r>
      <w:r w:rsidR="00332761" w:rsidRPr="00F11E73">
        <w:rPr>
          <w:sz w:val="22"/>
          <w:szCs w:val="22"/>
        </w:rPr>
        <w:t>re of no statistical significance. Overall, no matter focusing on categorical or continuous alcohol consumption, we detected no statistically significant effect modification by sex.</w:t>
      </w:r>
    </w:p>
    <w:p w14:paraId="3CE27E00" w14:textId="77777777" w:rsidR="00332761" w:rsidRPr="00F11E73" w:rsidRDefault="00332761" w:rsidP="00F11E73">
      <w:pPr>
        <w:jc w:val="both"/>
        <w:rPr>
          <w:sz w:val="22"/>
          <w:szCs w:val="22"/>
        </w:rPr>
      </w:pPr>
    </w:p>
    <w:p w14:paraId="1E9254F7" w14:textId="37E787BD" w:rsidR="008B55A5" w:rsidRPr="00F11E73" w:rsidRDefault="008B55A5" w:rsidP="008B55A5">
      <w:pPr>
        <w:jc w:val="both"/>
        <w:rPr>
          <w:sz w:val="22"/>
          <w:szCs w:val="22"/>
        </w:rPr>
      </w:pPr>
      <w:r w:rsidRPr="00F11E73">
        <w:rPr>
          <w:sz w:val="22"/>
          <w:szCs w:val="22"/>
        </w:rPr>
        <w:t xml:space="preserve">Table 3. Associations between alcohol intake and hazard of death from cancer in males and females from NHANES II </w:t>
      </w:r>
      <w:r w:rsidRPr="00F11E73">
        <w:rPr>
          <w:rFonts w:eastAsia="SimSun"/>
          <w:color w:val="000000"/>
          <w:sz w:val="22"/>
          <w:szCs w:val="22"/>
          <w:lang w:bidi="ar"/>
        </w:rPr>
        <w:t>(N=</w:t>
      </w:r>
      <w:proofErr w:type="gramStart"/>
      <w:r w:rsidRPr="00F11E73">
        <w:rPr>
          <w:rFonts w:eastAsia="SimSun"/>
          <w:color w:val="000000"/>
          <w:sz w:val="22"/>
          <w:szCs w:val="22"/>
          <w:lang w:bidi="ar"/>
        </w:rPr>
        <w:t>9190)</w:t>
      </w:r>
      <w:r w:rsidR="00DF618C">
        <w:rPr>
          <w:rFonts w:eastAsia="SimSun"/>
          <w:color w:val="000000"/>
          <w:sz w:val="22"/>
          <w:szCs w:val="22"/>
          <w:vertAlign w:val="superscript"/>
          <w:lang w:bidi="ar"/>
        </w:rPr>
        <w:t>a</w:t>
      </w:r>
      <w:r w:rsidRPr="00F11E73">
        <w:rPr>
          <w:sz w:val="22"/>
          <w:szCs w:val="22"/>
        </w:rPr>
        <w:t>.</w:t>
      </w:r>
      <w:proofErr w:type="gramEnd"/>
      <w:r w:rsidRPr="00F11E73">
        <w:rPr>
          <w:sz w:val="22"/>
          <w:szCs w:val="22"/>
        </w:rPr>
        <w:t xml:space="preserve"> </w:t>
      </w: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9"/>
        <w:gridCol w:w="2396"/>
        <w:gridCol w:w="2397"/>
        <w:gridCol w:w="2396"/>
        <w:gridCol w:w="2397"/>
      </w:tblGrid>
      <w:tr w:rsidR="00DF618C" w:rsidRPr="00F11E73" w14:paraId="20D11D76" w14:textId="77777777" w:rsidTr="00DF618C">
        <w:tc>
          <w:tcPr>
            <w:tcW w:w="1209" w:type="dxa"/>
            <w:tcBorders>
              <w:top w:val="single" w:sz="4" w:space="0" w:color="auto"/>
              <w:bottom w:val="single" w:sz="4" w:space="0" w:color="auto"/>
            </w:tcBorders>
          </w:tcPr>
          <w:p w14:paraId="3C5F16AA" w14:textId="77777777" w:rsidR="00DF618C" w:rsidRPr="00F11E73" w:rsidRDefault="00DF618C" w:rsidP="005041F1">
            <w:pPr>
              <w:jc w:val="both"/>
              <w:rPr>
                <w:sz w:val="22"/>
                <w:szCs w:val="22"/>
              </w:rPr>
            </w:pPr>
          </w:p>
        </w:tc>
        <w:tc>
          <w:tcPr>
            <w:tcW w:w="9586" w:type="dxa"/>
            <w:gridSpan w:val="4"/>
            <w:tcBorders>
              <w:top w:val="single" w:sz="4" w:space="0" w:color="auto"/>
              <w:bottom w:val="single" w:sz="4" w:space="0" w:color="auto"/>
            </w:tcBorders>
          </w:tcPr>
          <w:p w14:paraId="2D0E8355" w14:textId="17EAC7CB" w:rsidR="00DF618C" w:rsidRPr="00F11E73" w:rsidRDefault="00DF618C" w:rsidP="00DF618C">
            <w:pPr>
              <w:jc w:val="center"/>
              <w:rPr>
                <w:sz w:val="22"/>
                <w:szCs w:val="22"/>
              </w:rPr>
            </w:pPr>
            <w:r>
              <w:rPr>
                <w:sz w:val="22"/>
                <w:szCs w:val="22"/>
              </w:rPr>
              <w:t>Alcohol consumption</w:t>
            </w:r>
          </w:p>
        </w:tc>
      </w:tr>
      <w:tr w:rsidR="008B55A5" w:rsidRPr="00F11E73" w14:paraId="1235D345" w14:textId="77777777" w:rsidTr="00DF618C">
        <w:tc>
          <w:tcPr>
            <w:tcW w:w="1209" w:type="dxa"/>
            <w:tcBorders>
              <w:top w:val="single" w:sz="4" w:space="0" w:color="auto"/>
              <w:bottom w:val="single" w:sz="4" w:space="0" w:color="auto"/>
            </w:tcBorders>
          </w:tcPr>
          <w:p w14:paraId="6ED24FCF" w14:textId="77777777" w:rsidR="008B55A5" w:rsidRPr="00F11E73" w:rsidRDefault="008B55A5" w:rsidP="005041F1">
            <w:pPr>
              <w:jc w:val="both"/>
              <w:rPr>
                <w:sz w:val="22"/>
                <w:szCs w:val="22"/>
              </w:rPr>
            </w:pPr>
          </w:p>
        </w:tc>
        <w:tc>
          <w:tcPr>
            <w:tcW w:w="4793" w:type="dxa"/>
            <w:gridSpan w:val="2"/>
            <w:tcBorders>
              <w:top w:val="single" w:sz="4" w:space="0" w:color="auto"/>
              <w:bottom w:val="single" w:sz="4" w:space="0" w:color="auto"/>
            </w:tcBorders>
          </w:tcPr>
          <w:p w14:paraId="154CAE5D" w14:textId="77777777" w:rsidR="008B55A5" w:rsidRPr="00F11E73" w:rsidRDefault="008B55A5" w:rsidP="005041F1">
            <w:pPr>
              <w:jc w:val="both"/>
              <w:rPr>
                <w:sz w:val="22"/>
                <w:szCs w:val="22"/>
              </w:rPr>
            </w:pPr>
            <w:r w:rsidRPr="00F11E73">
              <w:rPr>
                <w:sz w:val="22"/>
                <w:szCs w:val="22"/>
              </w:rPr>
              <w:t>&gt;2/week vs 0/week</w:t>
            </w:r>
          </w:p>
        </w:tc>
        <w:tc>
          <w:tcPr>
            <w:tcW w:w="4793" w:type="dxa"/>
            <w:gridSpan w:val="2"/>
            <w:tcBorders>
              <w:top w:val="single" w:sz="4" w:space="0" w:color="auto"/>
              <w:bottom w:val="single" w:sz="4" w:space="0" w:color="auto"/>
            </w:tcBorders>
          </w:tcPr>
          <w:p w14:paraId="39C9EA7F" w14:textId="77777777" w:rsidR="008B55A5" w:rsidRPr="00F11E73" w:rsidRDefault="008B55A5" w:rsidP="005041F1">
            <w:pPr>
              <w:jc w:val="both"/>
              <w:rPr>
                <w:sz w:val="22"/>
                <w:szCs w:val="22"/>
              </w:rPr>
            </w:pPr>
            <w:r w:rsidRPr="00F11E73">
              <w:rPr>
                <w:sz w:val="22"/>
                <w:szCs w:val="22"/>
              </w:rPr>
              <w:t>Continuous</w:t>
            </w:r>
          </w:p>
        </w:tc>
      </w:tr>
      <w:tr w:rsidR="008B55A5" w:rsidRPr="00F11E73" w14:paraId="55A3E08B" w14:textId="77777777" w:rsidTr="00DF618C">
        <w:tc>
          <w:tcPr>
            <w:tcW w:w="10795" w:type="dxa"/>
            <w:gridSpan w:val="5"/>
            <w:tcBorders>
              <w:top w:val="single" w:sz="4" w:space="0" w:color="auto"/>
              <w:bottom w:val="single" w:sz="4" w:space="0" w:color="auto"/>
            </w:tcBorders>
          </w:tcPr>
          <w:p w14:paraId="35F6BC55" w14:textId="77777777" w:rsidR="008B55A5" w:rsidRPr="00F11E73" w:rsidRDefault="008B55A5" w:rsidP="005041F1">
            <w:pPr>
              <w:jc w:val="both"/>
              <w:rPr>
                <w:sz w:val="22"/>
                <w:szCs w:val="22"/>
              </w:rPr>
            </w:pPr>
            <w:r w:rsidRPr="00F11E73">
              <w:rPr>
                <w:sz w:val="22"/>
                <w:szCs w:val="22"/>
              </w:rPr>
              <w:t>First approach, defining the exposure as alcohol intake age 21-entry, time scale as age</w:t>
            </w:r>
          </w:p>
        </w:tc>
      </w:tr>
      <w:tr w:rsidR="008B55A5" w:rsidRPr="00F11E73" w14:paraId="53316883" w14:textId="77777777" w:rsidTr="00DF618C">
        <w:tc>
          <w:tcPr>
            <w:tcW w:w="10795" w:type="dxa"/>
            <w:gridSpan w:val="5"/>
            <w:tcBorders>
              <w:top w:val="single" w:sz="4" w:space="0" w:color="auto"/>
              <w:bottom w:val="single" w:sz="4" w:space="0" w:color="auto"/>
            </w:tcBorders>
          </w:tcPr>
          <w:p w14:paraId="0AEA2245" w14:textId="77777777" w:rsidR="008B55A5" w:rsidRPr="00F11E73" w:rsidRDefault="008B55A5" w:rsidP="005041F1">
            <w:pPr>
              <w:jc w:val="both"/>
              <w:rPr>
                <w:sz w:val="22"/>
                <w:szCs w:val="22"/>
              </w:rPr>
            </w:pPr>
            <w:r w:rsidRPr="00F11E73">
              <w:rPr>
                <w:sz w:val="22"/>
                <w:szCs w:val="22"/>
              </w:rPr>
              <w:t>Adding interaction term</w:t>
            </w:r>
          </w:p>
        </w:tc>
      </w:tr>
      <w:tr w:rsidR="008B55A5" w:rsidRPr="00F11E73" w14:paraId="68D99201" w14:textId="77777777" w:rsidTr="00DF618C">
        <w:tc>
          <w:tcPr>
            <w:tcW w:w="1209" w:type="dxa"/>
            <w:tcBorders>
              <w:top w:val="single" w:sz="4" w:space="0" w:color="auto"/>
            </w:tcBorders>
          </w:tcPr>
          <w:p w14:paraId="29835351" w14:textId="77777777" w:rsidR="008B55A5" w:rsidRPr="00F11E73" w:rsidRDefault="008B55A5" w:rsidP="005041F1">
            <w:pPr>
              <w:jc w:val="both"/>
              <w:rPr>
                <w:sz w:val="22"/>
                <w:szCs w:val="22"/>
              </w:rPr>
            </w:pPr>
          </w:p>
        </w:tc>
        <w:tc>
          <w:tcPr>
            <w:tcW w:w="2396" w:type="dxa"/>
            <w:tcBorders>
              <w:top w:val="single" w:sz="4" w:space="0" w:color="auto"/>
            </w:tcBorders>
          </w:tcPr>
          <w:p w14:paraId="2E200938"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1E0E6510" w14:textId="3270CF50" w:rsidR="008B55A5" w:rsidRPr="00F11E73" w:rsidRDefault="00264152" w:rsidP="00DF618C">
            <w:pPr>
              <w:jc w:val="right"/>
              <w:rPr>
                <w:sz w:val="22"/>
                <w:szCs w:val="22"/>
                <w:vertAlign w:val="subscript"/>
              </w:rPr>
            </w:pPr>
            <w:r w:rsidRPr="00264152">
              <w:rPr>
                <w:sz w:val="22"/>
                <w:szCs w:val="22"/>
              </w:rPr>
              <w:t>p</w:t>
            </w:r>
            <w:r>
              <w:rPr>
                <w:sz w:val="22"/>
                <w:szCs w:val="22"/>
              </w:rPr>
              <w:t>-</w:t>
            </w:r>
            <w:proofErr w:type="spellStart"/>
            <w:r>
              <w:rPr>
                <w:sz w:val="22"/>
                <w:szCs w:val="22"/>
              </w:rPr>
              <w:t>value</w:t>
            </w:r>
            <w:r w:rsidR="008B55A5" w:rsidRPr="00264152">
              <w:rPr>
                <w:sz w:val="22"/>
                <w:szCs w:val="22"/>
                <w:vertAlign w:val="superscript"/>
              </w:rPr>
              <w:t>Heterogeneity</w:t>
            </w:r>
            <w:proofErr w:type="spellEnd"/>
          </w:p>
        </w:tc>
        <w:tc>
          <w:tcPr>
            <w:tcW w:w="2396" w:type="dxa"/>
            <w:tcBorders>
              <w:top w:val="single" w:sz="4" w:space="0" w:color="auto"/>
            </w:tcBorders>
          </w:tcPr>
          <w:p w14:paraId="2947E7BD"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4691F7BB" w14:textId="75CBB676"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27363383" w14:textId="77777777" w:rsidTr="00DF618C">
        <w:tc>
          <w:tcPr>
            <w:tcW w:w="1209" w:type="dxa"/>
          </w:tcPr>
          <w:p w14:paraId="7DC31EBB" w14:textId="77777777" w:rsidR="008B55A5" w:rsidRPr="00F11E73" w:rsidRDefault="008B55A5" w:rsidP="005041F1">
            <w:pPr>
              <w:jc w:val="both"/>
              <w:rPr>
                <w:sz w:val="22"/>
                <w:szCs w:val="22"/>
              </w:rPr>
            </w:pPr>
            <w:r w:rsidRPr="00F11E73">
              <w:rPr>
                <w:sz w:val="22"/>
                <w:szCs w:val="22"/>
              </w:rPr>
              <w:t>Female</w:t>
            </w:r>
          </w:p>
        </w:tc>
        <w:tc>
          <w:tcPr>
            <w:tcW w:w="2396" w:type="dxa"/>
          </w:tcPr>
          <w:p w14:paraId="417EDB21" w14:textId="77777777" w:rsidR="008B55A5" w:rsidRPr="00F11E73" w:rsidRDefault="008B55A5" w:rsidP="00DF618C">
            <w:pPr>
              <w:jc w:val="right"/>
              <w:rPr>
                <w:sz w:val="22"/>
                <w:szCs w:val="22"/>
              </w:rPr>
            </w:pPr>
            <w:r w:rsidRPr="00F11E73">
              <w:rPr>
                <w:sz w:val="22"/>
                <w:szCs w:val="22"/>
              </w:rPr>
              <w:t>1.06 (0.82, 1.36)</w:t>
            </w:r>
          </w:p>
        </w:tc>
        <w:tc>
          <w:tcPr>
            <w:tcW w:w="2397" w:type="dxa"/>
          </w:tcPr>
          <w:p w14:paraId="3AA949BF" w14:textId="77777777" w:rsidR="008B55A5" w:rsidRPr="00F11E73" w:rsidRDefault="008B55A5" w:rsidP="00DF618C">
            <w:pPr>
              <w:pStyle w:val="HTMLPreformatted"/>
              <w:shd w:val="clear" w:color="auto" w:fill="FFFFFF"/>
              <w:jc w:val="right"/>
              <w:rPr>
                <w:rFonts w:ascii="Times New Roman" w:hAnsi="Times New Roman" w:cs="Times New Roman"/>
                <w:color w:val="000000"/>
                <w:sz w:val="22"/>
                <w:szCs w:val="22"/>
              </w:rPr>
            </w:pPr>
            <w:r w:rsidRPr="00F11E73">
              <w:rPr>
                <w:rFonts w:ascii="Times New Roman" w:hAnsi="Times New Roman" w:cs="Times New Roman"/>
                <w:color w:val="000000"/>
                <w:sz w:val="22"/>
                <w:szCs w:val="22"/>
              </w:rPr>
              <w:t>0.053</w:t>
            </w:r>
          </w:p>
        </w:tc>
        <w:tc>
          <w:tcPr>
            <w:tcW w:w="2396" w:type="dxa"/>
          </w:tcPr>
          <w:p w14:paraId="0B7EE62D" w14:textId="77777777" w:rsidR="008B55A5" w:rsidRPr="00F11E73" w:rsidRDefault="008B55A5" w:rsidP="00DF618C">
            <w:pPr>
              <w:jc w:val="right"/>
              <w:rPr>
                <w:sz w:val="22"/>
                <w:szCs w:val="22"/>
              </w:rPr>
            </w:pPr>
            <w:r w:rsidRPr="00F11E73">
              <w:rPr>
                <w:sz w:val="22"/>
                <w:szCs w:val="22"/>
              </w:rPr>
              <w:t>1.02 (1.01, 1.04)</w:t>
            </w:r>
          </w:p>
        </w:tc>
        <w:tc>
          <w:tcPr>
            <w:tcW w:w="2397" w:type="dxa"/>
          </w:tcPr>
          <w:p w14:paraId="1E511242" w14:textId="77777777" w:rsidR="008B55A5" w:rsidRPr="00F11E73" w:rsidRDefault="008B55A5" w:rsidP="00DF618C">
            <w:pPr>
              <w:jc w:val="right"/>
              <w:rPr>
                <w:sz w:val="22"/>
                <w:szCs w:val="22"/>
              </w:rPr>
            </w:pPr>
            <w:r w:rsidRPr="00F11E73">
              <w:rPr>
                <w:sz w:val="22"/>
                <w:szCs w:val="22"/>
              </w:rPr>
              <w:t>0.712</w:t>
            </w:r>
          </w:p>
        </w:tc>
      </w:tr>
      <w:tr w:rsidR="008B55A5" w:rsidRPr="00F11E73" w14:paraId="2B1788CD" w14:textId="77777777" w:rsidTr="00DF618C">
        <w:tc>
          <w:tcPr>
            <w:tcW w:w="1209" w:type="dxa"/>
          </w:tcPr>
          <w:p w14:paraId="6562F1A5" w14:textId="77777777" w:rsidR="008B55A5" w:rsidRPr="00F11E73" w:rsidRDefault="008B55A5" w:rsidP="005041F1">
            <w:pPr>
              <w:jc w:val="both"/>
              <w:rPr>
                <w:sz w:val="22"/>
                <w:szCs w:val="22"/>
              </w:rPr>
            </w:pPr>
            <w:r w:rsidRPr="00F11E73">
              <w:rPr>
                <w:sz w:val="22"/>
                <w:szCs w:val="22"/>
              </w:rPr>
              <w:t>Male</w:t>
            </w:r>
          </w:p>
        </w:tc>
        <w:tc>
          <w:tcPr>
            <w:tcW w:w="2396" w:type="dxa"/>
          </w:tcPr>
          <w:p w14:paraId="1FDD249B" w14:textId="77777777" w:rsidR="008B55A5" w:rsidRPr="00F11E73" w:rsidRDefault="008B55A5" w:rsidP="00DF618C">
            <w:pPr>
              <w:jc w:val="right"/>
              <w:rPr>
                <w:sz w:val="22"/>
                <w:szCs w:val="22"/>
              </w:rPr>
            </w:pPr>
            <w:r w:rsidRPr="00F11E73">
              <w:rPr>
                <w:sz w:val="22"/>
                <w:szCs w:val="22"/>
              </w:rPr>
              <w:t>0.69 (0.38, 1.27)</w:t>
            </w:r>
          </w:p>
        </w:tc>
        <w:tc>
          <w:tcPr>
            <w:tcW w:w="2397" w:type="dxa"/>
          </w:tcPr>
          <w:p w14:paraId="01D203BD" w14:textId="77777777" w:rsidR="008B55A5" w:rsidRPr="00F11E73" w:rsidRDefault="008B55A5" w:rsidP="00DF618C">
            <w:pPr>
              <w:jc w:val="right"/>
              <w:rPr>
                <w:sz w:val="22"/>
                <w:szCs w:val="22"/>
              </w:rPr>
            </w:pPr>
          </w:p>
        </w:tc>
        <w:tc>
          <w:tcPr>
            <w:tcW w:w="2396" w:type="dxa"/>
          </w:tcPr>
          <w:p w14:paraId="70E60A54" w14:textId="77777777" w:rsidR="008B55A5" w:rsidRPr="00F11E73" w:rsidRDefault="008B55A5" w:rsidP="00DF618C">
            <w:pPr>
              <w:jc w:val="right"/>
              <w:rPr>
                <w:sz w:val="22"/>
                <w:szCs w:val="22"/>
              </w:rPr>
            </w:pPr>
            <w:r w:rsidRPr="00F11E73">
              <w:rPr>
                <w:sz w:val="22"/>
                <w:szCs w:val="22"/>
              </w:rPr>
              <w:t>1.02 (0.97, 1.06)</w:t>
            </w:r>
          </w:p>
        </w:tc>
        <w:tc>
          <w:tcPr>
            <w:tcW w:w="2397" w:type="dxa"/>
          </w:tcPr>
          <w:p w14:paraId="442719DA" w14:textId="77777777" w:rsidR="008B55A5" w:rsidRPr="00F11E73" w:rsidRDefault="008B55A5" w:rsidP="00DF618C">
            <w:pPr>
              <w:jc w:val="right"/>
              <w:rPr>
                <w:sz w:val="22"/>
                <w:szCs w:val="22"/>
              </w:rPr>
            </w:pPr>
          </w:p>
        </w:tc>
      </w:tr>
      <w:tr w:rsidR="008B55A5" w:rsidRPr="00F11E73" w14:paraId="1E890017" w14:textId="77777777" w:rsidTr="00DF618C">
        <w:tc>
          <w:tcPr>
            <w:tcW w:w="10795" w:type="dxa"/>
            <w:gridSpan w:val="5"/>
            <w:tcBorders>
              <w:bottom w:val="single" w:sz="4" w:space="0" w:color="auto"/>
            </w:tcBorders>
          </w:tcPr>
          <w:p w14:paraId="40E7FAB0" w14:textId="77777777" w:rsidR="008B55A5" w:rsidRPr="00F11E73" w:rsidRDefault="008B55A5" w:rsidP="005041F1">
            <w:pPr>
              <w:jc w:val="both"/>
              <w:rPr>
                <w:sz w:val="22"/>
                <w:szCs w:val="22"/>
              </w:rPr>
            </w:pPr>
            <w:r w:rsidRPr="00F11E73">
              <w:rPr>
                <w:sz w:val="22"/>
                <w:szCs w:val="22"/>
              </w:rPr>
              <w:t>Stratified Cox</w:t>
            </w:r>
          </w:p>
        </w:tc>
      </w:tr>
      <w:tr w:rsidR="008B55A5" w:rsidRPr="00F11E73" w14:paraId="3284C696" w14:textId="77777777" w:rsidTr="00DF618C">
        <w:tc>
          <w:tcPr>
            <w:tcW w:w="1209" w:type="dxa"/>
            <w:tcBorders>
              <w:top w:val="single" w:sz="4" w:space="0" w:color="auto"/>
            </w:tcBorders>
          </w:tcPr>
          <w:p w14:paraId="08D53725" w14:textId="77777777" w:rsidR="008B55A5" w:rsidRPr="00F11E73" w:rsidRDefault="008B55A5" w:rsidP="005041F1">
            <w:pPr>
              <w:jc w:val="both"/>
              <w:rPr>
                <w:sz w:val="22"/>
                <w:szCs w:val="22"/>
              </w:rPr>
            </w:pPr>
          </w:p>
        </w:tc>
        <w:tc>
          <w:tcPr>
            <w:tcW w:w="2396" w:type="dxa"/>
            <w:tcBorders>
              <w:top w:val="single" w:sz="4" w:space="0" w:color="auto"/>
            </w:tcBorders>
          </w:tcPr>
          <w:p w14:paraId="76B1302C"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06920EDC" w14:textId="0375161F"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c>
          <w:tcPr>
            <w:tcW w:w="2396" w:type="dxa"/>
            <w:tcBorders>
              <w:top w:val="single" w:sz="4" w:space="0" w:color="auto"/>
            </w:tcBorders>
          </w:tcPr>
          <w:p w14:paraId="2C50BF9A"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30D33AD5" w14:textId="59DD6ED7"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3DC2EA6D" w14:textId="77777777" w:rsidTr="00DF618C">
        <w:tc>
          <w:tcPr>
            <w:tcW w:w="1209" w:type="dxa"/>
          </w:tcPr>
          <w:p w14:paraId="2AC32DBA" w14:textId="77777777" w:rsidR="008B55A5" w:rsidRPr="00F11E73" w:rsidRDefault="008B55A5" w:rsidP="005041F1">
            <w:pPr>
              <w:jc w:val="both"/>
              <w:rPr>
                <w:sz w:val="22"/>
                <w:szCs w:val="22"/>
              </w:rPr>
            </w:pPr>
            <w:r w:rsidRPr="00F11E73">
              <w:rPr>
                <w:sz w:val="22"/>
                <w:szCs w:val="22"/>
              </w:rPr>
              <w:t>Female</w:t>
            </w:r>
          </w:p>
        </w:tc>
        <w:tc>
          <w:tcPr>
            <w:tcW w:w="2396" w:type="dxa"/>
          </w:tcPr>
          <w:p w14:paraId="1CBE0C1E" w14:textId="77777777" w:rsidR="008B55A5" w:rsidRPr="00F11E73" w:rsidRDefault="008B55A5" w:rsidP="00DF618C">
            <w:pPr>
              <w:jc w:val="right"/>
              <w:rPr>
                <w:sz w:val="22"/>
                <w:szCs w:val="22"/>
              </w:rPr>
            </w:pPr>
            <w:r w:rsidRPr="00F11E73">
              <w:rPr>
                <w:sz w:val="22"/>
                <w:szCs w:val="22"/>
              </w:rPr>
              <w:t>1.52 (1.06, 2.18)</w:t>
            </w:r>
          </w:p>
        </w:tc>
        <w:tc>
          <w:tcPr>
            <w:tcW w:w="2397" w:type="dxa"/>
          </w:tcPr>
          <w:p w14:paraId="41E3A2AE" w14:textId="77777777" w:rsidR="008B55A5" w:rsidRPr="00F11E73" w:rsidRDefault="008B55A5" w:rsidP="00DF618C">
            <w:pPr>
              <w:jc w:val="right"/>
              <w:rPr>
                <w:sz w:val="22"/>
                <w:szCs w:val="22"/>
              </w:rPr>
            </w:pPr>
            <w:r w:rsidRPr="00F11E73">
              <w:rPr>
                <w:sz w:val="22"/>
                <w:szCs w:val="22"/>
              </w:rPr>
              <w:t>0.122</w:t>
            </w:r>
          </w:p>
        </w:tc>
        <w:tc>
          <w:tcPr>
            <w:tcW w:w="2396" w:type="dxa"/>
          </w:tcPr>
          <w:p w14:paraId="54E4C780" w14:textId="77777777" w:rsidR="008B55A5" w:rsidRPr="00F11E73" w:rsidRDefault="008B55A5" w:rsidP="00DF618C">
            <w:pPr>
              <w:jc w:val="right"/>
              <w:rPr>
                <w:sz w:val="22"/>
                <w:szCs w:val="22"/>
              </w:rPr>
            </w:pPr>
            <w:r w:rsidRPr="00F11E73">
              <w:rPr>
                <w:sz w:val="22"/>
                <w:szCs w:val="22"/>
              </w:rPr>
              <w:t>1.03 (0.99, 1.07)</w:t>
            </w:r>
          </w:p>
        </w:tc>
        <w:tc>
          <w:tcPr>
            <w:tcW w:w="2397" w:type="dxa"/>
          </w:tcPr>
          <w:p w14:paraId="67C64E9E" w14:textId="77777777" w:rsidR="008B55A5" w:rsidRPr="00F11E73" w:rsidRDefault="008B55A5" w:rsidP="00DF618C">
            <w:pPr>
              <w:pStyle w:val="HTMLPreformatted"/>
              <w:shd w:val="clear" w:color="auto" w:fill="FFFFFF"/>
              <w:jc w:val="right"/>
              <w:rPr>
                <w:rFonts w:ascii="Times New Roman" w:hAnsi="Times New Roman" w:cs="Times New Roman"/>
                <w:color w:val="000000"/>
                <w:sz w:val="22"/>
                <w:szCs w:val="22"/>
              </w:rPr>
            </w:pPr>
            <w:r w:rsidRPr="00F11E73">
              <w:rPr>
                <w:rFonts w:ascii="Times New Roman" w:hAnsi="Times New Roman" w:cs="Times New Roman"/>
                <w:color w:val="000000"/>
                <w:sz w:val="22"/>
                <w:szCs w:val="22"/>
              </w:rPr>
              <w:t>0.868</w:t>
            </w:r>
          </w:p>
        </w:tc>
      </w:tr>
      <w:tr w:rsidR="008B55A5" w:rsidRPr="00F11E73" w14:paraId="35DD9E98" w14:textId="77777777" w:rsidTr="00DF618C">
        <w:tc>
          <w:tcPr>
            <w:tcW w:w="1209" w:type="dxa"/>
          </w:tcPr>
          <w:p w14:paraId="79A82811" w14:textId="77777777" w:rsidR="008B55A5" w:rsidRPr="00F11E73" w:rsidRDefault="008B55A5" w:rsidP="005041F1">
            <w:pPr>
              <w:jc w:val="both"/>
              <w:rPr>
                <w:sz w:val="22"/>
                <w:szCs w:val="22"/>
              </w:rPr>
            </w:pPr>
            <w:r w:rsidRPr="00F11E73">
              <w:rPr>
                <w:sz w:val="22"/>
                <w:szCs w:val="22"/>
              </w:rPr>
              <w:t>Male</w:t>
            </w:r>
          </w:p>
        </w:tc>
        <w:tc>
          <w:tcPr>
            <w:tcW w:w="2396" w:type="dxa"/>
          </w:tcPr>
          <w:p w14:paraId="43161786" w14:textId="77777777" w:rsidR="008B55A5" w:rsidRPr="00F11E73" w:rsidRDefault="008B55A5" w:rsidP="00DF618C">
            <w:pPr>
              <w:jc w:val="right"/>
              <w:rPr>
                <w:sz w:val="22"/>
                <w:szCs w:val="22"/>
              </w:rPr>
            </w:pPr>
            <w:r w:rsidRPr="00F11E73">
              <w:rPr>
                <w:sz w:val="22"/>
                <w:szCs w:val="22"/>
              </w:rPr>
              <w:t>1.08 (0.84, 1.40)</w:t>
            </w:r>
          </w:p>
        </w:tc>
        <w:tc>
          <w:tcPr>
            <w:tcW w:w="2397" w:type="dxa"/>
          </w:tcPr>
          <w:p w14:paraId="4191598E" w14:textId="77777777" w:rsidR="008B55A5" w:rsidRPr="00F11E73" w:rsidRDefault="008B55A5" w:rsidP="00DF618C">
            <w:pPr>
              <w:jc w:val="right"/>
              <w:rPr>
                <w:sz w:val="22"/>
                <w:szCs w:val="22"/>
              </w:rPr>
            </w:pPr>
          </w:p>
        </w:tc>
        <w:tc>
          <w:tcPr>
            <w:tcW w:w="2396" w:type="dxa"/>
          </w:tcPr>
          <w:p w14:paraId="00256951" w14:textId="77777777" w:rsidR="008B55A5" w:rsidRPr="00F11E73" w:rsidRDefault="008B55A5" w:rsidP="00DF618C">
            <w:pPr>
              <w:jc w:val="right"/>
              <w:rPr>
                <w:sz w:val="22"/>
                <w:szCs w:val="22"/>
              </w:rPr>
            </w:pPr>
            <w:r w:rsidRPr="00F11E73">
              <w:rPr>
                <w:sz w:val="22"/>
                <w:szCs w:val="22"/>
              </w:rPr>
              <w:t>1.02 (1.01, 1.04)</w:t>
            </w:r>
          </w:p>
        </w:tc>
        <w:tc>
          <w:tcPr>
            <w:tcW w:w="2397" w:type="dxa"/>
          </w:tcPr>
          <w:p w14:paraId="3645FBE7" w14:textId="77777777" w:rsidR="008B55A5" w:rsidRPr="00F11E73" w:rsidRDefault="008B55A5" w:rsidP="00DF618C">
            <w:pPr>
              <w:jc w:val="right"/>
              <w:rPr>
                <w:sz w:val="22"/>
                <w:szCs w:val="22"/>
              </w:rPr>
            </w:pPr>
          </w:p>
        </w:tc>
      </w:tr>
      <w:tr w:rsidR="008B55A5" w:rsidRPr="00F11E73" w14:paraId="07E48649" w14:textId="77777777" w:rsidTr="00DF618C">
        <w:tc>
          <w:tcPr>
            <w:tcW w:w="10795" w:type="dxa"/>
            <w:gridSpan w:val="5"/>
            <w:tcBorders>
              <w:bottom w:val="single" w:sz="4" w:space="0" w:color="auto"/>
            </w:tcBorders>
          </w:tcPr>
          <w:p w14:paraId="1219EEA2" w14:textId="77777777" w:rsidR="008B55A5" w:rsidRPr="00F11E73" w:rsidRDefault="008B55A5" w:rsidP="005041F1">
            <w:pPr>
              <w:jc w:val="both"/>
              <w:rPr>
                <w:sz w:val="22"/>
                <w:szCs w:val="22"/>
              </w:rPr>
            </w:pPr>
            <w:r w:rsidRPr="00F11E73">
              <w:rPr>
                <w:sz w:val="22"/>
                <w:szCs w:val="22"/>
              </w:rPr>
              <w:t>Subgroup analysis</w:t>
            </w:r>
          </w:p>
        </w:tc>
      </w:tr>
      <w:tr w:rsidR="008B55A5" w:rsidRPr="00F11E73" w14:paraId="36CA2DB5" w14:textId="77777777" w:rsidTr="00DF618C">
        <w:tc>
          <w:tcPr>
            <w:tcW w:w="1209" w:type="dxa"/>
            <w:tcBorders>
              <w:top w:val="single" w:sz="4" w:space="0" w:color="auto"/>
            </w:tcBorders>
          </w:tcPr>
          <w:p w14:paraId="6500524B" w14:textId="77777777" w:rsidR="008B55A5" w:rsidRPr="00F11E73" w:rsidRDefault="008B55A5" w:rsidP="005041F1">
            <w:pPr>
              <w:jc w:val="both"/>
              <w:rPr>
                <w:sz w:val="22"/>
                <w:szCs w:val="22"/>
              </w:rPr>
            </w:pPr>
          </w:p>
        </w:tc>
        <w:tc>
          <w:tcPr>
            <w:tcW w:w="2396" w:type="dxa"/>
            <w:tcBorders>
              <w:top w:val="single" w:sz="4" w:space="0" w:color="auto"/>
            </w:tcBorders>
          </w:tcPr>
          <w:p w14:paraId="5861F4CA"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40F8D8A7" w14:textId="15ACA298"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c>
          <w:tcPr>
            <w:tcW w:w="2396" w:type="dxa"/>
            <w:tcBorders>
              <w:top w:val="single" w:sz="4" w:space="0" w:color="auto"/>
            </w:tcBorders>
          </w:tcPr>
          <w:p w14:paraId="259C4E65"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7878365B" w14:textId="03CF2E18"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3B0D754A" w14:textId="77777777" w:rsidTr="00DF618C">
        <w:tc>
          <w:tcPr>
            <w:tcW w:w="1209" w:type="dxa"/>
          </w:tcPr>
          <w:p w14:paraId="05483AEB" w14:textId="77777777" w:rsidR="008B55A5" w:rsidRPr="00F11E73" w:rsidRDefault="008B55A5" w:rsidP="005041F1">
            <w:pPr>
              <w:jc w:val="both"/>
              <w:rPr>
                <w:sz w:val="22"/>
                <w:szCs w:val="22"/>
              </w:rPr>
            </w:pPr>
            <w:r w:rsidRPr="00F11E73">
              <w:rPr>
                <w:sz w:val="22"/>
                <w:szCs w:val="22"/>
              </w:rPr>
              <w:t>Female</w:t>
            </w:r>
          </w:p>
        </w:tc>
        <w:tc>
          <w:tcPr>
            <w:tcW w:w="2396" w:type="dxa"/>
          </w:tcPr>
          <w:p w14:paraId="3F090BC2" w14:textId="77777777" w:rsidR="008B55A5" w:rsidRPr="00F11E73" w:rsidRDefault="008B55A5" w:rsidP="00DF618C">
            <w:pPr>
              <w:jc w:val="right"/>
              <w:rPr>
                <w:sz w:val="22"/>
                <w:szCs w:val="22"/>
              </w:rPr>
            </w:pPr>
            <w:r w:rsidRPr="00F11E73">
              <w:rPr>
                <w:sz w:val="22"/>
                <w:szCs w:val="22"/>
              </w:rPr>
              <w:t>1.35 (0.92-1.96)</w:t>
            </w:r>
          </w:p>
        </w:tc>
        <w:tc>
          <w:tcPr>
            <w:tcW w:w="2397" w:type="dxa"/>
          </w:tcPr>
          <w:p w14:paraId="5914E8C4" w14:textId="77777777" w:rsidR="008B55A5" w:rsidRPr="00F11E73" w:rsidRDefault="008B55A5" w:rsidP="00DF618C">
            <w:pPr>
              <w:jc w:val="right"/>
              <w:rPr>
                <w:sz w:val="22"/>
                <w:szCs w:val="22"/>
              </w:rPr>
            </w:pPr>
            <w:r w:rsidRPr="00F11E73">
              <w:rPr>
                <w:sz w:val="22"/>
                <w:szCs w:val="22"/>
              </w:rPr>
              <w:t>0.231</w:t>
            </w:r>
          </w:p>
        </w:tc>
        <w:tc>
          <w:tcPr>
            <w:tcW w:w="2396" w:type="dxa"/>
          </w:tcPr>
          <w:p w14:paraId="1232987F" w14:textId="77777777" w:rsidR="008B55A5" w:rsidRPr="00F11E73" w:rsidRDefault="008B55A5" w:rsidP="00DF618C">
            <w:pPr>
              <w:jc w:val="right"/>
              <w:rPr>
                <w:sz w:val="22"/>
                <w:szCs w:val="22"/>
              </w:rPr>
            </w:pPr>
            <w:r w:rsidRPr="00F11E73">
              <w:rPr>
                <w:sz w:val="22"/>
                <w:szCs w:val="22"/>
              </w:rPr>
              <w:t>1.02 (0.97-1.06)</w:t>
            </w:r>
          </w:p>
        </w:tc>
        <w:tc>
          <w:tcPr>
            <w:tcW w:w="2397" w:type="dxa"/>
          </w:tcPr>
          <w:p w14:paraId="3A110C31" w14:textId="77777777" w:rsidR="008B55A5" w:rsidRPr="00F11E73" w:rsidRDefault="008B55A5" w:rsidP="00DF618C">
            <w:pPr>
              <w:jc w:val="right"/>
              <w:rPr>
                <w:sz w:val="22"/>
                <w:szCs w:val="22"/>
              </w:rPr>
            </w:pPr>
            <w:r w:rsidRPr="00F11E73">
              <w:rPr>
                <w:sz w:val="22"/>
                <w:szCs w:val="22"/>
              </w:rPr>
              <w:t>0.293</w:t>
            </w:r>
          </w:p>
        </w:tc>
      </w:tr>
      <w:tr w:rsidR="008B55A5" w:rsidRPr="00F11E73" w14:paraId="78172B0F" w14:textId="77777777" w:rsidTr="00DF618C">
        <w:tc>
          <w:tcPr>
            <w:tcW w:w="1209" w:type="dxa"/>
          </w:tcPr>
          <w:p w14:paraId="0E596849" w14:textId="77777777" w:rsidR="008B55A5" w:rsidRPr="00F11E73" w:rsidRDefault="008B55A5" w:rsidP="005041F1">
            <w:pPr>
              <w:jc w:val="both"/>
              <w:rPr>
                <w:sz w:val="22"/>
                <w:szCs w:val="22"/>
              </w:rPr>
            </w:pPr>
            <w:r w:rsidRPr="00F11E73">
              <w:rPr>
                <w:sz w:val="22"/>
                <w:szCs w:val="22"/>
              </w:rPr>
              <w:t>Male</w:t>
            </w:r>
          </w:p>
        </w:tc>
        <w:tc>
          <w:tcPr>
            <w:tcW w:w="2396" w:type="dxa"/>
          </w:tcPr>
          <w:p w14:paraId="1702682D" w14:textId="77777777" w:rsidR="008B55A5" w:rsidRPr="00F11E73" w:rsidRDefault="008B55A5" w:rsidP="00DF618C">
            <w:pPr>
              <w:jc w:val="right"/>
              <w:rPr>
                <w:sz w:val="22"/>
                <w:szCs w:val="22"/>
              </w:rPr>
            </w:pPr>
            <w:r w:rsidRPr="00F11E73">
              <w:rPr>
                <w:sz w:val="22"/>
                <w:szCs w:val="22"/>
              </w:rPr>
              <w:t>1.13 (0.87-1.48)</w:t>
            </w:r>
          </w:p>
        </w:tc>
        <w:tc>
          <w:tcPr>
            <w:tcW w:w="2397" w:type="dxa"/>
          </w:tcPr>
          <w:p w14:paraId="52634DE7" w14:textId="77777777" w:rsidR="008B55A5" w:rsidRPr="00F11E73" w:rsidRDefault="008B55A5" w:rsidP="00DF618C">
            <w:pPr>
              <w:jc w:val="right"/>
              <w:rPr>
                <w:sz w:val="22"/>
                <w:szCs w:val="22"/>
              </w:rPr>
            </w:pPr>
          </w:p>
        </w:tc>
        <w:tc>
          <w:tcPr>
            <w:tcW w:w="2396" w:type="dxa"/>
          </w:tcPr>
          <w:p w14:paraId="46B082AA" w14:textId="77777777" w:rsidR="008B55A5" w:rsidRPr="00F11E73" w:rsidRDefault="008B55A5" w:rsidP="00DF618C">
            <w:pPr>
              <w:jc w:val="right"/>
              <w:rPr>
                <w:sz w:val="22"/>
                <w:szCs w:val="22"/>
              </w:rPr>
            </w:pPr>
            <w:r w:rsidRPr="00F11E73">
              <w:rPr>
                <w:sz w:val="22"/>
                <w:szCs w:val="22"/>
              </w:rPr>
              <w:t>1.03 (1.01-1.04)</w:t>
            </w:r>
          </w:p>
        </w:tc>
        <w:tc>
          <w:tcPr>
            <w:tcW w:w="2397" w:type="dxa"/>
          </w:tcPr>
          <w:p w14:paraId="7C91953C" w14:textId="77777777" w:rsidR="008B55A5" w:rsidRPr="00F11E73" w:rsidRDefault="008B55A5" w:rsidP="00DF618C">
            <w:pPr>
              <w:jc w:val="right"/>
              <w:rPr>
                <w:sz w:val="22"/>
                <w:szCs w:val="22"/>
              </w:rPr>
            </w:pPr>
          </w:p>
        </w:tc>
      </w:tr>
      <w:tr w:rsidR="008B55A5" w:rsidRPr="00F11E73" w14:paraId="2D277C59" w14:textId="77777777" w:rsidTr="00DF618C">
        <w:tc>
          <w:tcPr>
            <w:tcW w:w="10795" w:type="dxa"/>
            <w:gridSpan w:val="5"/>
            <w:tcBorders>
              <w:bottom w:val="single" w:sz="4" w:space="0" w:color="auto"/>
            </w:tcBorders>
          </w:tcPr>
          <w:p w14:paraId="2BDBDFDA" w14:textId="77777777" w:rsidR="008B55A5" w:rsidRPr="00F11E73" w:rsidRDefault="008B55A5" w:rsidP="005041F1">
            <w:pPr>
              <w:jc w:val="both"/>
              <w:rPr>
                <w:sz w:val="22"/>
                <w:szCs w:val="22"/>
              </w:rPr>
            </w:pPr>
            <w:r w:rsidRPr="00F11E73">
              <w:rPr>
                <w:sz w:val="22"/>
                <w:szCs w:val="22"/>
              </w:rPr>
              <w:t>Second approach, defining the exposure as prevalent alcohol intake at baseline, time scale as years since entry</w:t>
            </w:r>
          </w:p>
        </w:tc>
      </w:tr>
      <w:tr w:rsidR="008B55A5" w:rsidRPr="00F11E73" w14:paraId="721B79FE" w14:textId="77777777" w:rsidTr="00DF618C">
        <w:tc>
          <w:tcPr>
            <w:tcW w:w="10795" w:type="dxa"/>
            <w:gridSpan w:val="5"/>
            <w:tcBorders>
              <w:top w:val="single" w:sz="4" w:space="0" w:color="auto"/>
              <w:bottom w:val="single" w:sz="4" w:space="0" w:color="auto"/>
            </w:tcBorders>
          </w:tcPr>
          <w:p w14:paraId="5EDA271D" w14:textId="77777777" w:rsidR="008B55A5" w:rsidRPr="00F11E73" w:rsidRDefault="008B55A5" w:rsidP="005041F1">
            <w:pPr>
              <w:jc w:val="both"/>
              <w:rPr>
                <w:sz w:val="22"/>
                <w:szCs w:val="22"/>
              </w:rPr>
            </w:pPr>
            <w:r w:rsidRPr="00F11E73">
              <w:rPr>
                <w:sz w:val="22"/>
                <w:szCs w:val="22"/>
              </w:rPr>
              <w:t>Adding interaction term</w:t>
            </w:r>
          </w:p>
        </w:tc>
      </w:tr>
      <w:tr w:rsidR="008B55A5" w:rsidRPr="00F11E73" w14:paraId="3833E1A0" w14:textId="77777777" w:rsidTr="00DF618C">
        <w:tc>
          <w:tcPr>
            <w:tcW w:w="1209" w:type="dxa"/>
            <w:tcBorders>
              <w:top w:val="single" w:sz="4" w:space="0" w:color="auto"/>
            </w:tcBorders>
          </w:tcPr>
          <w:p w14:paraId="23240C25" w14:textId="77777777" w:rsidR="008B55A5" w:rsidRPr="00F11E73" w:rsidRDefault="008B55A5" w:rsidP="005041F1">
            <w:pPr>
              <w:jc w:val="both"/>
              <w:rPr>
                <w:sz w:val="22"/>
                <w:szCs w:val="22"/>
              </w:rPr>
            </w:pPr>
          </w:p>
        </w:tc>
        <w:tc>
          <w:tcPr>
            <w:tcW w:w="2396" w:type="dxa"/>
            <w:tcBorders>
              <w:top w:val="single" w:sz="4" w:space="0" w:color="auto"/>
            </w:tcBorders>
          </w:tcPr>
          <w:p w14:paraId="38F2BF7C"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53A8BBEE" w14:textId="1276F4E4" w:rsidR="008B55A5" w:rsidRPr="00F11E73" w:rsidRDefault="00264152" w:rsidP="00DF618C">
            <w:pPr>
              <w:jc w:val="right"/>
              <w:rPr>
                <w:sz w:val="22"/>
                <w:szCs w:val="22"/>
                <w:vertAlign w:val="subscript"/>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c>
          <w:tcPr>
            <w:tcW w:w="2396" w:type="dxa"/>
            <w:tcBorders>
              <w:top w:val="single" w:sz="4" w:space="0" w:color="auto"/>
            </w:tcBorders>
          </w:tcPr>
          <w:p w14:paraId="0B3E8908"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791BBD23" w14:textId="12C65E2F"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7C01E282" w14:textId="77777777" w:rsidTr="00DF618C">
        <w:tc>
          <w:tcPr>
            <w:tcW w:w="1209" w:type="dxa"/>
          </w:tcPr>
          <w:p w14:paraId="39637EFB" w14:textId="77777777" w:rsidR="008B55A5" w:rsidRPr="00F11E73" w:rsidRDefault="008B55A5" w:rsidP="005041F1">
            <w:pPr>
              <w:jc w:val="both"/>
              <w:rPr>
                <w:sz w:val="22"/>
                <w:szCs w:val="22"/>
              </w:rPr>
            </w:pPr>
            <w:r w:rsidRPr="00F11E73">
              <w:rPr>
                <w:sz w:val="22"/>
                <w:szCs w:val="22"/>
              </w:rPr>
              <w:t>Female</w:t>
            </w:r>
          </w:p>
        </w:tc>
        <w:tc>
          <w:tcPr>
            <w:tcW w:w="2396" w:type="dxa"/>
          </w:tcPr>
          <w:p w14:paraId="390B4471" w14:textId="77777777" w:rsidR="008B55A5" w:rsidRPr="00F11E73" w:rsidRDefault="008B55A5" w:rsidP="00DF618C">
            <w:pPr>
              <w:jc w:val="right"/>
              <w:rPr>
                <w:sz w:val="22"/>
                <w:szCs w:val="22"/>
              </w:rPr>
            </w:pPr>
            <w:r w:rsidRPr="00F11E73">
              <w:rPr>
                <w:sz w:val="22"/>
                <w:szCs w:val="22"/>
              </w:rPr>
              <w:t>1.59 (1.11-2.28)</w:t>
            </w:r>
          </w:p>
        </w:tc>
        <w:tc>
          <w:tcPr>
            <w:tcW w:w="2397" w:type="dxa"/>
          </w:tcPr>
          <w:p w14:paraId="004D740D" w14:textId="77777777" w:rsidR="008B55A5" w:rsidRPr="00F11E73" w:rsidRDefault="008B55A5" w:rsidP="00DF618C">
            <w:pPr>
              <w:jc w:val="right"/>
              <w:rPr>
                <w:sz w:val="22"/>
                <w:szCs w:val="22"/>
              </w:rPr>
            </w:pPr>
            <w:r w:rsidRPr="00F11E73">
              <w:rPr>
                <w:sz w:val="22"/>
                <w:szCs w:val="22"/>
              </w:rPr>
              <w:t>0.063</w:t>
            </w:r>
          </w:p>
        </w:tc>
        <w:tc>
          <w:tcPr>
            <w:tcW w:w="2396" w:type="dxa"/>
          </w:tcPr>
          <w:p w14:paraId="3669D7C3" w14:textId="77777777" w:rsidR="008B55A5" w:rsidRPr="00F11E73" w:rsidRDefault="008B55A5" w:rsidP="00DF618C">
            <w:pPr>
              <w:jc w:val="right"/>
              <w:rPr>
                <w:sz w:val="22"/>
                <w:szCs w:val="22"/>
              </w:rPr>
            </w:pPr>
            <w:r w:rsidRPr="00F11E73">
              <w:rPr>
                <w:sz w:val="22"/>
                <w:szCs w:val="22"/>
              </w:rPr>
              <w:t>1.03 (0.99-1.07)</w:t>
            </w:r>
          </w:p>
        </w:tc>
        <w:tc>
          <w:tcPr>
            <w:tcW w:w="2397" w:type="dxa"/>
          </w:tcPr>
          <w:p w14:paraId="158720CC" w14:textId="77777777" w:rsidR="008B55A5" w:rsidRPr="00F11E73" w:rsidRDefault="008B55A5" w:rsidP="00DF618C">
            <w:pPr>
              <w:jc w:val="right"/>
              <w:rPr>
                <w:sz w:val="22"/>
                <w:szCs w:val="22"/>
              </w:rPr>
            </w:pPr>
            <w:r w:rsidRPr="00F11E73">
              <w:rPr>
                <w:sz w:val="22"/>
                <w:szCs w:val="22"/>
              </w:rPr>
              <w:t>0.758</w:t>
            </w:r>
          </w:p>
        </w:tc>
      </w:tr>
      <w:tr w:rsidR="008B55A5" w:rsidRPr="00F11E73" w14:paraId="7514B521" w14:textId="77777777" w:rsidTr="00DF618C">
        <w:tc>
          <w:tcPr>
            <w:tcW w:w="1209" w:type="dxa"/>
          </w:tcPr>
          <w:p w14:paraId="6F5BA277" w14:textId="77777777" w:rsidR="008B55A5" w:rsidRPr="00F11E73" w:rsidRDefault="008B55A5" w:rsidP="005041F1">
            <w:pPr>
              <w:jc w:val="both"/>
              <w:rPr>
                <w:sz w:val="22"/>
                <w:szCs w:val="22"/>
              </w:rPr>
            </w:pPr>
            <w:r w:rsidRPr="00F11E73">
              <w:rPr>
                <w:sz w:val="22"/>
                <w:szCs w:val="22"/>
              </w:rPr>
              <w:t>Male</w:t>
            </w:r>
          </w:p>
        </w:tc>
        <w:tc>
          <w:tcPr>
            <w:tcW w:w="2396" w:type="dxa"/>
          </w:tcPr>
          <w:p w14:paraId="29749835" w14:textId="77777777" w:rsidR="008B55A5" w:rsidRPr="00F11E73" w:rsidRDefault="008B55A5" w:rsidP="00DF618C">
            <w:pPr>
              <w:jc w:val="right"/>
              <w:rPr>
                <w:sz w:val="22"/>
                <w:szCs w:val="22"/>
              </w:rPr>
            </w:pPr>
            <w:r w:rsidRPr="00F11E73">
              <w:rPr>
                <w:sz w:val="22"/>
                <w:szCs w:val="22"/>
              </w:rPr>
              <w:t>1.06 (0.82-1.37)</w:t>
            </w:r>
          </w:p>
        </w:tc>
        <w:tc>
          <w:tcPr>
            <w:tcW w:w="2397" w:type="dxa"/>
          </w:tcPr>
          <w:p w14:paraId="78FFEF29" w14:textId="77777777" w:rsidR="008B55A5" w:rsidRPr="00F11E73" w:rsidRDefault="008B55A5" w:rsidP="00DF618C">
            <w:pPr>
              <w:jc w:val="right"/>
              <w:rPr>
                <w:sz w:val="22"/>
                <w:szCs w:val="22"/>
              </w:rPr>
            </w:pPr>
          </w:p>
        </w:tc>
        <w:tc>
          <w:tcPr>
            <w:tcW w:w="2396" w:type="dxa"/>
          </w:tcPr>
          <w:p w14:paraId="0D86E3CB" w14:textId="77777777" w:rsidR="008B55A5" w:rsidRPr="00F11E73" w:rsidRDefault="008B55A5" w:rsidP="00DF618C">
            <w:pPr>
              <w:jc w:val="right"/>
              <w:rPr>
                <w:sz w:val="22"/>
                <w:szCs w:val="22"/>
              </w:rPr>
            </w:pPr>
            <w:r w:rsidRPr="00F11E73">
              <w:rPr>
                <w:sz w:val="22"/>
                <w:szCs w:val="22"/>
              </w:rPr>
              <w:t>1.02 (1.01-1.04)</w:t>
            </w:r>
          </w:p>
        </w:tc>
        <w:tc>
          <w:tcPr>
            <w:tcW w:w="2397" w:type="dxa"/>
          </w:tcPr>
          <w:p w14:paraId="0ADDABCE" w14:textId="77777777" w:rsidR="008B55A5" w:rsidRPr="00F11E73" w:rsidRDefault="008B55A5" w:rsidP="00DF618C">
            <w:pPr>
              <w:jc w:val="right"/>
              <w:rPr>
                <w:sz w:val="22"/>
                <w:szCs w:val="22"/>
              </w:rPr>
            </w:pPr>
          </w:p>
        </w:tc>
      </w:tr>
      <w:tr w:rsidR="008B55A5" w:rsidRPr="00F11E73" w14:paraId="5CB2ED2F" w14:textId="77777777" w:rsidTr="00DF618C">
        <w:tc>
          <w:tcPr>
            <w:tcW w:w="10795" w:type="dxa"/>
            <w:gridSpan w:val="5"/>
            <w:tcBorders>
              <w:bottom w:val="single" w:sz="4" w:space="0" w:color="auto"/>
            </w:tcBorders>
          </w:tcPr>
          <w:p w14:paraId="3675B524" w14:textId="77777777" w:rsidR="008B55A5" w:rsidRPr="00F11E73" w:rsidRDefault="008B55A5" w:rsidP="005041F1">
            <w:pPr>
              <w:jc w:val="both"/>
              <w:rPr>
                <w:sz w:val="22"/>
                <w:szCs w:val="22"/>
              </w:rPr>
            </w:pPr>
            <w:r w:rsidRPr="00F11E73">
              <w:rPr>
                <w:sz w:val="22"/>
                <w:szCs w:val="22"/>
              </w:rPr>
              <w:t>Stratified Cox</w:t>
            </w:r>
          </w:p>
        </w:tc>
      </w:tr>
      <w:tr w:rsidR="008B55A5" w:rsidRPr="00F11E73" w14:paraId="30104F95" w14:textId="77777777" w:rsidTr="00DF618C">
        <w:tc>
          <w:tcPr>
            <w:tcW w:w="1209" w:type="dxa"/>
            <w:tcBorders>
              <w:top w:val="single" w:sz="4" w:space="0" w:color="auto"/>
            </w:tcBorders>
          </w:tcPr>
          <w:p w14:paraId="57420C60" w14:textId="77777777" w:rsidR="008B55A5" w:rsidRPr="00F11E73" w:rsidRDefault="008B55A5" w:rsidP="005041F1">
            <w:pPr>
              <w:jc w:val="both"/>
              <w:rPr>
                <w:sz w:val="22"/>
                <w:szCs w:val="22"/>
              </w:rPr>
            </w:pPr>
          </w:p>
        </w:tc>
        <w:tc>
          <w:tcPr>
            <w:tcW w:w="2396" w:type="dxa"/>
            <w:tcBorders>
              <w:top w:val="single" w:sz="4" w:space="0" w:color="auto"/>
            </w:tcBorders>
          </w:tcPr>
          <w:p w14:paraId="1BE192B9"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37C68080" w14:textId="4C8E882A"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c>
          <w:tcPr>
            <w:tcW w:w="2396" w:type="dxa"/>
            <w:tcBorders>
              <w:top w:val="single" w:sz="4" w:space="0" w:color="auto"/>
            </w:tcBorders>
          </w:tcPr>
          <w:p w14:paraId="553C784E"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0BE01EF5" w14:textId="5A7B532C"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310922AF" w14:textId="77777777" w:rsidTr="00DF618C">
        <w:tc>
          <w:tcPr>
            <w:tcW w:w="1209" w:type="dxa"/>
          </w:tcPr>
          <w:p w14:paraId="7CC9D1E7" w14:textId="77777777" w:rsidR="008B55A5" w:rsidRPr="00F11E73" w:rsidRDefault="008B55A5" w:rsidP="005041F1">
            <w:pPr>
              <w:jc w:val="both"/>
              <w:rPr>
                <w:sz w:val="22"/>
                <w:szCs w:val="22"/>
              </w:rPr>
            </w:pPr>
            <w:r w:rsidRPr="00F11E73">
              <w:rPr>
                <w:sz w:val="22"/>
                <w:szCs w:val="22"/>
              </w:rPr>
              <w:t>Female</w:t>
            </w:r>
          </w:p>
        </w:tc>
        <w:tc>
          <w:tcPr>
            <w:tcW w:w="2396" w:type="dxa"/>
          </w:tcPr>
          <w:p w14:paraId="658695C2" w14:textId="77777777" w:rsidR="008B55A5" w:rsidRPr="00F11E73" w:rsidRDefault="008B55A5" w:rsidP="00DF618C">
            <w:pPr>
              <w:jc w:val="right"/>
              <w:rPr>
                <w:sz w:val="22"/>
                <w:szCs w:val="22"/>
              </w:rPr>
            </w:pPr>
            <w:r w:rsidRPr="00F11E73">
              <w:rPr>
                <w:sz w:val="22"/>
                <w:szCs w:val="22"/>
              </w:rPr>
              <w:t>1.58 (1.10-2.27)</w:t>
            </w:r>
          </w:p>
        </w:tc>
        <w:tc>
          <w:tcPr>
            <w:tcW w:w="2397" w:type="dxa"/>
          </w:tcPr>
          <w:p w14:paraId="772C23A4" w14:textId="77777777" w:rsidR="008B55A5" w:rsidRPr="00F11E73" w:rsidRDefault="008B55A5" w:rsidP="00DF618C">
            <w:pPr>
              <w:jc w:val="right"/>
              <w:rPr>
                <w:sz w:val="22"/>
                <w:szCs w:val="22"/>
              </w:rPr>
            </w:pPr>
            <w:r w:rsidRPr="00F11E73">
              <w:rPr>
                <w:sz w:val="22"/>
                <w:szCs w:val="22"/>
              </w:rPr>
              <w:t>0.067</w:t>
            </w:r>
          </w:p>
        </w:tc>
        <w:tc>
          <w:tcPr>
            <w:tcW w:w="2396" w:type="dxa"/>
          </w:tcPr>
          <w:p w14:paraId="7360478E" w14:textId="77777777" w:rsidR="008B55A5" w:rsidRPr="00F11E73" w:rsidRDefault="008B55A5" w:rsidP="00DF618C">
            <w:pPr>
              <w:jc w:val="right"/>
              <w:rPr>
                <w:sz w:val="22"/>
                <w:szCs w:val="22"/>
              </w:rPr>
            </w:pPr>
            <w:r w:rsidRPr="00F11E73">
              <w:rPr>
                <w:sz w:val="22"/>
                <w:szCs w:val="22"/>
              </w:rPr>
              <w:t>1.03 (0.99-1.07)</w:t>
            </w:r>
          </w:p>
        </w:tc>
        <w:tc>
          <w:tcPr>
            <w:tcW w:w="2397" w:type="dxa"/>
          </w:tcPr>
          <w:p w14:paraId="4FA611E3" w14:textId="77777777" w:rsidR="008B55A5" w:rsidRPr="00F11E73" w:rsidRDefault="008B55A5" w:rsidP="00DF618C">
            <w:pPr>
              <w:jc w:val="right"/>
              <w:rPr>
                <w:sz w:val="22"/>
                <w:szCs w:val="22"/>
              </w:rPr>
            </w:pPr>
            <w:r w:rsidRPr="00F11E73">
              <w:rPr>
                <w:sz w:val="22"/>
                <w:szCs w:val="22"/>
              </w:rPr>
              <w:t>0.772</w:t>
            </w:r>
          </w:p>
        </w:tc>
      </w:tr>
      <w:tr w:rsidR="008B55A5" w:rsidRPr="00F11E73" w14:paraId="57B4B30D" w14:textId="77777777" w:rsidTr="00DF618C">
        <w:tc>
          <w:tcPr>
            <w:tcW w:w="1209" w:type="dxa"/>
          </w:tcPr>
          <w:p w14:paraId="468458A8" w14:textId="77777777" w:rsidR="008B55A5" w:rsidRPr="00F11E73" w:rsidRDefault="008B55A5" w:rsidP="005041F1">
            <w:pPr>
              <w:jc w:val="both"/>
              <w:rPr>
                <w:sz w:val="22"/>
                <w:szCs w:val="22"/>
              </w:rPr>
            </w:pPr>
            <w:r w:rsidRPr="00F11E73">
              <w:rPr>
                <w:sz w:val="22"/>
                <w:szCs w:val="22"/>
              </w:rPr>
              <w:t>Male</w:t>
            </w:r>
          </w:p>
        </w:tc>
        <w:tc>
          <w:tcPr>
            <w:tcW w:w="2396" w:type="dxa"/>
          </w:tcPr>
          <w:p w14:paraId="5E4A1100" w14:textId="77777777" w:rsidR="008B55A5" w:rsidRPr="00F11E73" w:rsidRDefault="008B55A5" w:rsidP="00DF618C">
            <w:pPr>
              <w:jc w:val="right"/>
              <w:rPr>
                <w:sz w:val="22"/>
                <w:szCs w:val="22"/>
              </w:rPr>
            </w:pPr>
            <w:r w:rsidRPr="00F11E73">
              <w:rPr>
                <w:sz w:val="22"/>
                <w:szCs w:val="22"/>
              </w:rPr>
              <w:t>1.06 (0.82-1.38)</w:t>
            </w:r>
          </w:p>
        </w:tc>
        <w:tc>
          <w:tcPr>
            <w:tcW w:w="2397" w:type="dxa"/>
          </w:tcPr>
          <w:p w14:paraId="5A7B2363" w14:textId="77777777" w:rsidR="008B55A5" w:rsidRPr="00F11E73" w:rsidRDefault="008B55A5" w:rsidP="00DF618C">
            <w:pPr>
              <w:jc w:val="right"/>
              <w:rPr>
                <w:sz w:val="22"/>
                <w:szCs w:val="22"/>
              </w:rPr>
            </w:pPr>
          </w:p>
        </w:tc>
        <w:tc>
          <w:tcPr>
            <w:tcW w:w="2396" w:type="dxa"/>
          </w:tcPr>
          <w:p w14:paraId="41096681" w14:textId="77777777" w:rsidR="008B55A5" w:rsidRPr="00F11E73" w:rsidRDefault="008B55A5" w:rsidP="00DF618C">
            <w:pPr>
              <w:jc w:val="right"/>
              <w:rPr>
                <w:sz w:val="22"/>
                <w:szCs w:val="22"/>
              </w:rPr>
            </w:pPr>
            <w:r w:rsidRPr="00F11E73">
              <w:rPr>
                <w:sz w:val="22"/>
                <w:szCs w:val="22"/>
              </w:rPr>
              <w:t>1.02 (1.01-1.04)</w:t>
            </w:r>
          </w:p>
        </w:tc>
        <w:tc>
          <w:tcPr>
            <w:tcW w:w="2397" w:type="dxa"/>
          </w:tcPr>
          <w:p w14:paraId="20AE3F07" w14:textId="77777777" w:rsidR="008B55A5" w:rsidRPr="00F11E73" w:rsidRDefault="008B55A5" w:rsidP="00DF618C">
            <w:pPr>
              <w:jc w:val="right"/>
              <w:rPr>
                <w:sz w:val="22"/>
                <w:szCs w:val="22"/>
              </w:rPr>
            </w:pPr>
          </w:p>
        </w:tc>
      </w:tr>
      <w:tr w:rsidR="008B55A5" w:rsidRPr="00F11E73" w14:paraId="779AC166" w14:textId="77777777" w:rsidTr="00DF618C">
        <w:tc>
          <w:tcPr>
            <w:tcW w:w="10795" w:type="dxa"/>
            <w:gridSpan w:val="5"/>
            <w:tcBorders>
              <w:bottom w:val="single" w:sz="4" w:space="0" w:color="auto"/>
            </w:tcBorders>
          </w:tcPr>
          <w:p w14:paraId="4A45ECD0" w14:textId="77777777" w:rsidR="008B55A5" w:rsidRPr="00F11E73" w:rsidRDefault="008B55A5" w:rsidP="005041F1">
            <w:pPr>
              <w:jc w:val="both"/>
              <w:rPr>
                <w:sz w:val="22"/>
                <w:szCs w:val="22"/>
              </w:rPr>
            </w:pPr>
            <w:r w:rsidRPr="00F11E73">
              <w:rPr>
                <w:sz w:val="22"/>
                <w:szCs w:val="22"/>
              </w:rPr>
              <w:t>Subgroup analysis</w:t>
            </w:r>
          </w:p>
        </w:tc>
      </w:tr>
      <w:tr w:rsidR="008B55A5" w:rsidRPr="00F11E73" w14:paraId="32D84A0B" w14:textId="77777777" w:rsidTr="00DF618C">
        <w:tc>
          <w:tcPr>
            <w:tcW w:w="1209" w:type="dxa"/>
            <w:tcBorders>
              <w:top w:val="single" w:sz="4" w:space="0" w:color="auto"/>
            </w:tcBorders>
          </w:tcPr>
          <w:p w14:paraId="06FA5E18" w14:textId="77777777" w:rsidR="008B55A5" w:rsidRPr="00F11E73" w:rsidRDefault="008B55A5" w:rsidP="005041F1">
            <w:pPr>
              <w:jc w:val="both"/>
              <w:rPr>
                <w:sz w:val="22"/>
                <w:szCs w:val="22"/>
              </w:rPr>
            </w:pPr>
          </w:p>
        </w:tc>
        <w:tc>
          <w:tcPr>
            <w:tcW w:w="2396" w:type="dxa"/>
            <w:tcBorders>
              <w:top w:val="single" w:sz="4" w:space="0" w:color="auto"/>
            </w:tcBorders>
          </w:tcPr>
          <w:p w14:paraId="4DF871E5"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4F363A5A" w14:textId="17524411"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c>
          <w:tcPr>
            <w:tcW w:w="2396" w:type="dxa"/>
            <w:tcBorders>
              <w:top w:val="single" w:sz="4" w:space="0" w:color="auto"/>
            </w:tcBorders>
          </w:tcPr>
          <w:p w14:paraId="6E697891"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5F4345C4" w14:textId="3ED6C1D3"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1AD23379" w14:textId="77777777" w:rsidTr="00DF618C">
        <w:tc>
          <w:tcPr>
            <w:tcW w:w="1209" w:type="dxa"/>
          </w:tcPr>
          <w:p w14:paraId="2E9D59AB" w14:textId="77777777" w:rsidR="008B55A5" w:rsidRPr="00F11E73" w:rsidRDefault="008B55A5" w:rsidP="005041F1">
            <w:pPr>
              <w:jc w:val="both"/>
              <w:rPr>
                <w:sz w:val="22"/>
                <w:szCs w:val="22"/>
              </w:rPr>
            </w:pPr>
            <w:r w:rsidRPr="00F11E73">
              <w:rPr>
                <w:sz w:val="22"/>
                <w:szCs w:val="22"/>
              </w:rPr>
              <w:t>Female</w:t>
            </w:r>
          </w:p>
        </w:tc>
        <w:tc>
          <w:tcPr>
            <w:tcW w:w="2396" w:type="dxa"/>
          </w:tcPr>
          <w:p w14:paraId="6585CE82" w14:textId="77777777" w:rsidR="008B55A5" w:rsidRPr="00F11E73" w:rsidRDefault="008B55A5" w:rsidP="00DF618C">
            <w:pPr>
              <w:jc w:val="right"/>
              <w:rPr>
                <w:sz w:val="22"/>
                <w:szCs w:val="22"/>
              </w:rPr>
            </w:pPr>
            <w:r w:rsidRPr="00F11E73">
              <w:rPr>
                <w:sz w:val="22"/>
                <w:szCs w:val="22"/>
              </w:rPr>
              <w:t>1.35 (0.93-1.98)</w:t>
            </w:r>
          </w:p>
        </w:tc>
        <w:tc>
          <w:tcPr>
            <w:tcW w:w="2397" w:type="dxa"/>
          </w:tcPr>
          <w:p w14:paraId="595045D0" w14:textId="77777777" w:rsidR="008B55A5" w:rsidRPr="00F11E73" w:rsidRDefault="008B55A5" w:rsidP="00DF618C">
            <w:pPr>
              <w:jc w:val="right"/>
              <w:rPr>
                <w:sz w:val="22"/>
                <w:szCs w:val="22"/>
              </w:rPr>
            </w:pPr>
            <w:r w:rsidRPr="00F11E73">
              <w:rPr>
                <w:sz w:val="22"/>
                <w:szCs w:val="22"/>
              </w:rPr>
              <w:t>0.240</w:t>
            </w:r>
          </w:p>
        </w:tc>
        <w:tc>
          <w:tcPr>
            <w:tcW w:w="2396" w:type="dxa"/>
          </w:tcPr>
          <w:p w14:paraId="77932EAD" w14:textId="77777777" w:rsidR="008B55A5" w:rsidRPr="00F11E73" w:rsidRDefault="008B55A5" w:rsidP="00DF618C">
            <w:pPr>
              <w:jc w:val="right"/>
              <w:rPr>
                <w:sz w:val="22"/>
                <w:szCs w:val="22"/>
              </w:rPr>
            </w:pPr>
            <w:r w:rsidRPr="00F11E73">
              <w:rPr>
                <w:sz w:val="22"/>
                <w:szCs w:val="22"/>
              </w:rPr>
              <w:t>1.01 (0.97-1.06)</w:t>
            </w:r>
          </w:p>
        </w:tc>
        <w:tc>
          <w:tcPr>
            <w:tcW w:w="2397" w:type="dxa"/>
          </w:tcPr>
          <w:p w14:paraId="64729530" w14:textId="77777777" w:rsidR="008B55A5" w:rsidRPr="00F11E73" w:rsidRDefault="008B55A5" w:rsidP="00DF618C">
            <w:pPr>
              <w:jc w:val="right"/>
              <w:rPr>
                <w:sz w:val="22"/>
                <w:szCs w:val="22"/>
              </w:rPr>
            </w:pPr>
            <w:r w:rsidRPr="00F11E73">
              <w:rPr>
                <w:sz w:val="22"/>
                <w:szCs w:val="22"/>
              </w:rPr>
              <w:t>0.717</w:t>
            </w:r>
          </w:p>
        </w:tc>
      </w:tr>
      <w:tr w:rsidR="008B55A5" w:rsidRPr="00F11E73" w14:paraId="4AFE1A02" w14:textId="77777777" w:rsidTr="00DF618C">
        <w:tc>
          <w:tcPr>
            <w:tcW w:w="1209" w:type="dxa"/>
            <w:tcBorders>
              <w:bottom w:val="single" w:sz="4" w:space="0" w:color="auto"/>
            </w:tcBorders>
          </w:tcPr>
          <w:p w14:paraId="0D0D650E" w14:textId="77777777" w:rsidR="008B55A5" w:rsidRPr="00F11E73" w:rsidRDefault="008B55A5" w:rsidP="005041F1">
            <w:pPr>
              <w:jc w:val="both"/>
              <w:rPr>
                <w:sz w:val="22"/>
                <w:szCs w:val="22"/>
              </w:rPr>
            </w:pPr>
            <w:r w:rsidRPr="00F11E73">
              <w:rPr>
                <w:sz w:val="22"/>
                <w:szCs w:val="22"/>
              </w:rPr>
              <w:t>Male</w:t>
            </w:r>
          </w:p>
        </w:tc>
        <w:tc>
          <w:tcPr>
            <w:tcW w:w="2396" w:type="dxa"/>
            <w:tcBorders>
              <w:bottom w:val="single" w:sz="4" w:space="0" w:color="auto"/>
            </w:tcBorders>
          </w:tcPr>
          <w:p w14:paraId="55EA711F" w14:textId="77777777" w:rsidR="008B55A5" w:rsidRPr="00F11E73" w:rsidRDefault="008B55A5" w:rsidP="00DF618C">
            <w:pPr>
              <w:jc w:val="right"/>
              <w:rPr>
                <w:sz w:val="22"/>
                <w:szCs w:val="22"/>
              </w:rPr>
            </w:pPr>
            <w:r w:rsidRPr="00F11E73">
              <w:rPr>
                <w:sz w:val="22"/>
                <w:szCs w:val="22"/>
              </w:rPr>
              <w:t>1.15 (0.88-1.49)</w:t>
            </w:r>
          </w:p>
        </w:tc>
        <w:tc>
          <w:tcPr>
            <w:tcW w:w="2397" w:type="dxa"/>
            <w:tcBorders>
              <w:bottom w:val="single" w:sz="4" w:space="0" w:color="auto"/>
            </w:tcBorders>
          </w:tcPr>
          <w:p w14:paraId="1E02A474" w14:textId="77777777" w:rsidR="008B55A5" w:rsidRPr="00F11E73" w:rsidRDefault="008B55A5" w:rsidP="00DF618C">
            <w:pPr>
              <w:jc w:val="right"/>
              <w:rPr>
                <w:sz w:val="22"/>
                <w:szCs w:val="22"/>
              </w:rPr>
            </w:pPr>
          </w:p>
        </w:tc>
        <w:tc>
          <w:tcPr>
            <w:tcW w:w="2396" w:type="dxa"/>
            <w:tcBorders>
              <w:bottom w:val="single" w:sz="4" w:space="0" w:color="auto"/>
            </w:tcBorders>
          </w:tcPr>
          <w:p w14:paraId="666BC916" w14:textId="77777777" w:rsidR="008B55A5" w:rsidRPr="00F11E73" w:rsidRDefault="008B55A5" w:rsidP="00DF618C">
            <w:pPr>
              <w:jc w:val="right"/>
              <w:rPr>
                <w:sz w:val="22"/>
                <w:szCs w:val="22"/>
              </w:rPr>
            </w:pPr>
            <w:r w:rsidRPr="00F11E73">
              <w:rPr>
                <w:sz w:val="22"/>
                <w:szCs w:val="22"/>
              </w:rPr>
              <w:t>1.03 (1.01-1.04)</w:t>
            </w:r>
          </w:p>
        </w:tc>
        <w:tc>
          <w:tcPr>
            <w:tcW w:w="2397" w:type="dxa"/>
            <w:tcBorders>
              <w:bottom w:val="single" w:sz="4" w:space="0" w:color="auto"/>
            </w:tcBorders>
          </w:tcPr>
          <w:p w14:paraId="500E2DC1" w14:textId="77777777" w:rsidR="008B55A5" w:rsidRPr="00F11E73" w:rsidRDefault="008B55A5" w:rsidP="00DF618C">
            <w:pPr>
              <w:jc w:val="right"/>
              <w:rPr>
                <w:sz w:val="22"/>
                <w:szCs w:val="22"/>
              </w:rPr>
            </w:pPr>
          </w:p>
        </w:tc>
      </w:tr>
    </w:tbl>
    <w:p w14:paraId="7658A771" w14:textId="5212A7A3" w:rsidR="008B55A5" w:rsidRDefault="00DF618C" w:rsidP="008B55A5">
      <w:pPr>
        <w:jc w:val="both"/>
        <w:rPr>
          <w:sz w:val="22"/>
          <w:szCs w:val="22"/>
        </w:rPr>
      </w:pPr>
      <w:r>
        <w:rPr>
          <w:sz w:val="22"/>
          <w:szCs w:val="22"/>
        </w:rPr>
        <w:t>a.</w:t>
      </w:r>
      <w:r>
        <w:rPr>
          <w:sz w:val="22"/>
          <w:szCs w:val="22"/>
        </w:rPr>
        <w:tab/>
      </w:r>
      <w:r w:rsidR="00264152">
        <w:rPr>
          <w:sz w:val="22"/>
          <w:szCs w:val="22"/>
        </w:rPr>
        <w:t xml:space="preserve">Wald </w:t>
      </w:r>
      <w:proofErr w:type="gramStart"/>
      <w:r w:rsidR="00264152">
        <w:rPr>
          <w:sz w:val="22"/>
          <w:szCs w:val="22"/>
        </w:rPr>
        <w:t>test</w:t>
      </w:r>
      <w:proofErr w:type="gramEnd"/>
      <w:r w:rsidR="00264152">
        <w:rPr>
          <w:sz w:val="22"/>
          <w:szCs w:val="22"/>
        </w:rPr>
        <w:t xml:space="preserve"> were used to test the Heterogeneity in the effect of alcohol consumption in male and females.</w:t>
      </w:r>
    </w:p>
    <w:p w14:paraId="12DA47A4" w14:textId="77777777" w:rsidR="00DF618C" w:rsidRPr="00F11E73" w:rsidRDefault="00DF618C" w:rsidP="008B55A5">
      <w:pPr>
        <w:jc w:val="both"/>
        <w:rPr>
          <w:sz w:val="22"/>
          <w:szCs w:val="22"/>
        </w:rPr>
      </w:pPr>
    </w:p>
    <w:p w14:paraId="421C9229" w14:textId="77777777" w:rsidR="008B55A5" w:rsidRPr="00F11E73" w:rsidRDefault="008B55A5" w:rsidP="008B55A5">
      <w:pPr>
        <w:jc w:val="both"/>
        <w:rPr>
          <w:sz w:val="22"/>
          <w:szCs w:val="22"/>
        </w:rPr>
      </w:pPr>
      <w:r w:rsidRPr="00F11E73">
        <w:rPr>
          <w:sz w:val="22"/>
          <w:szCs w:val="22"/>
        </w:rPr>
        <w:t xml:space="preserve">In the Cox models in Table 2, we also assumed that the relationships between continuous variables and the log hazard rate of cancer death are linear, conditional on the other covariates. </w:t>
      </w:r>
      <w:commentRangeStart w:id="0"/>
      <w:r w:rsidRPr="00F11E73">
        <w:rPr>
          <w:sz w:val="22"/>
          <w:szCs w:val="22"/>
        </w:rPr>
        <w:t>Based on the results from the primary analysis</w:t>
      </w:r>
      <w:commentRangeEnd w:id="0"/>
      <w:r w:rsidRPr="00F11E73">
        <w:rPr>
          <w:rStyle w:val="CommentReference"/>
          <w:rFonts w:eastAsiaTheme="minorEastAsia"/>
          <w:sz w:val="22"/>
          <w:szCs w:val="22"/>
        </w:rPr>
        <w:commentReference w:id="0"/>
      </w:r>
      <w:r w:rsidRPr="00F11E73">
        <w:rPr>
          <w:sz w:val="22"/>
          <w:szCs w:val="22"/>
        </w:rPr>
        <w:t xml:space="preserve">, the non-linear relationship analysis was conducted for the MV-adjusted model following the second approach. We compared the </w:t>
      </w:r>
      <w:commentRangeStart w:id="1"/>
      <w:r w:rsidRPr="00F11E73">
        <w:rPr>
          <w:sz w:val="22"/>
          <w:szCs w:val="22"/>
        </w:rPr>
        <w:t>category-specific hazard ratio</w:t>
      </w:r>
      <w:commentRangeEnd w:id="1"/>
      <w:r w:rsidRPr="00F11E73">
        <w:rPr>
          <w:rStyle w:val="CommentReference"/>
          <w:rFonts w:eastAsiaTheme="minorEastAsia"/>
          <w:sz w:val="22"/>
          <w:szCs w:val="22"/>
        </w:rPr>
        <w:commentReference w:id="1"/>
      </w:r>
      <w:r w:rsidRPr="00F11E73">
        <w:rPr>
          <w:sz w:val="22"/>
          <w:szCs w:val="22"/>
        </w:rPr>
        <w:t xml:space="preserve">, and we found that </w:t>
      </w:r>
      <w:r w:rsidRPr="00F11E73">
        <w:rPr>
          <w:sz w:val="22"/>
          <w:szCs w:val="22"/>
          <w:highlight w:val="cyan"/>
        </w:rPr>
        <w:t>xxx</w:t>
      </w:r>
      <w:r w:rsidRPr="00F11E73">
        <w:rPr>
          <w:sz w:val="22"/>
          <w:szCs w:val="22"/>
        </w:rPr>
        <w:t xml:space="preserve">. Additionally, we fit a natural cubic spline with 3 degrees of freedom, and we found no clear curvature pattern. The estimated 95% CI for hazard ratio covers 1 before alcohol consumption of </w:t>
      </w:r>
      <w:commentRangeStart w:id="2"/>
      <w:r w:rsidRPr="00F11E73">
        <w:rPr>
          <w:sz w:val="22"/>
          <w:szCs w:val="22"/>
        </w:rPr>
        <w:t>5 drinks per week</w:t>
      </w:r>
      <w:commentRangeEnd w:id="2"/>
      <w:r w:rsidRPr="00F11E73">
        <w:rPr>
          <w:rStyle w:val="CommentReference"/>
          <w:sz w:val="22"/>
          <w:szCs w:val="22"/>
        </w:rPr>
        <w:commentReference w:id="2"/>
      </w:r>
      <w:r w:rsidRPr="00F11E73">
        <w:rPr>
          <w:sz w:val="22"/>
          <w:szCs w:val="22"/>
        </w:rPr>
        <w:t>. This finding can partially explain why we found non-significance for the results</w:t>
      </w:r>
      <w:r w:rsidRPr="00F11E73" w:rsidDel="007A6221">
        <w:rPr>
          <w:sz w:val="22"/>
          <w:szCs w:val="22"/>
        </w:rPr>
        <w:t xml:space="preserve"> </w:t>
      </w:r>
      <w:r w:rsidRPr="00F11E73">
        <w:rPr>
          <w:sz w:val="22"/>
          <w:szCs w:val="22"/>
        </w:rPr>
        <w:t>from groups 0-0.5 and 0.5-2 drinks per week, but the significant association for the group &gt;2 drinks per week.</w:t>
      </w:r>
    </w:p>
    <w:p w14:paraId="5A329C85" w14:textId="62AB926D" w:rsidR="001972FB" w:rsidRPr="00F11E73" w:rsidRDefault="001972FB" w:rsidP="00F11E73">
      <w:pPr>
        <w:jc w:val="both"/>
        <w:rPr>
          <w:sz w:val="22"/>
          <w:szCs w:val="22"/>
        </w:rPr>
      </w:pPr>
    </w:p>
    <w:p w14:paraId="775D4E47" w14:textId="77777777" w:rsidR="002D6D33" w:rsidRPr="00F11E73" w:rsidRDefault="002D6D33" w:rsidP="00F11E73">
      <w:pPr>
        <w:jc w:val="both"/>
        <w:rPr>
          <w:sz w:val="22"/>
          <w:szCs w:val="22"/>
        </w:rPr>
      </w:pPr>
    </w:p>
    <w:p w14:paraId="2B9E85D1" w14:textId="66D37FE5" w:rsidR="00207C1E" w:rsidRPr="00F11E73" w:rsidRDefault="00CB34AD" w:rsidP="00F11E73">
      <w:pPr>
        <w:jc w:val="both"/>
        <w:rPr>
          <w:b/>
          <w:bCs/>
          <w:sz w:val="22"/>
          <w:szCs w:val="22"/>
        </w:rPr>
      </w:pPr>
      <w:r w:rsidRPr="00F11E73">
        <w:rPr>
          <w:b/>
          <w:bCs/>
          <w:sz w:val="22"/>
          <w:szCs w:val="22"/>
        </w:rPr>
        <w:t>Discussion</w:t>
      </w:r>
    </w:p>
    <w:p w14:paraId="69C0F11D" w14:textId="050BED1C" w:rsidR="0059246D" w:rsidRPr="00F11E73" w:rsidRDefault="00CB34AD" w:rsidP="00F11E73">
      <w:pPr>
        <w:jc w:val="both"/>
        <w:rPr>
          <w:sz w:val="22"/>
          <w:szCs w:val="22"/>
        </w:rPr>
      </w:pPr>
      <w:r w:rsidRPr="00F11E73">
        <w:rPr>
          <w:sz w:val="22"/>
          <w:szCs w:val="22"/>
        </w:rPr>
        <w:t xml:space="preserve">In this study with a cross-sectional dataset from NHANES II, we found a </w:t>
      </w:r>
      <w:r w:rsidR="00736D81" w:rsidRPr="00F11E73">
        <w:rPr>
          <w:sz w:val="22"/>
          <w:szCs w:val="22"/>
          <w:shd w:val="pct15" w:color="auto" w:fill="FFFFFF"/>
        </w:rPr>
        <w:t xml:space="preserve">significant </w:t>
      </w:r>
      <w:r w:rsidRPr="00F11E73">
        <w:rPr>
          <w:sz w:val="22"/>
          <w:szCs w:val="22"/>
          <w:shd w:val="pct15" w:color="auto" w:fill="FFFFFF"/>
        </w:rPr>
        <w:t xml:space="preserve">harmful </w:t>
      </w:r>
      <w:r w:rsidR="00B956BC" w:rsidRPr="00F11E73">
        <w:rPr>
          <w:sz w:val="22"/>
          <w:szCs w:val="22"/>
          <w:shd w:val="pct15" w:color="auto" w:fill="FFFFFF"/>
        </w:rPr>
        <w:t>association</w:t>
      </w:r>
      <w:r w:rsidRPr="00F11E73">
        <w:rPr>
          <w:sz w:val="22"/>
          <w:szCs w:val="22"/>
        </w:rPr>
        <w:t xml:space="preserve"> for alcohol consumption and the </w:t>
      </w:r>
      <w:commentRangeStart w:id="3"/>
      <w:r w:rsidRPr="00F11E73">
        <w:rPr>
          <w:sz w:val="22"/>
          <w:szCs w:val="22"/>
        </w:rPr>
        <w:t xml:space="preserve">risk </w:t>
      </w:r>
      <w:commentRangeEnd w:id="3"/>
      <w:r w:rsidR="005E4F31" w:rsidRPr="00F11E73">
        <w:rPr>
          <w:rStyle w:val="CommentReference"/>
          <w:rFonts w:eastAsiaTheme="minorEastAsia"/>
          <w:sz w:val="22"/>
          <w:szCs w:val="22"/>
        </w:rPr>
        <w:commentReference w:id="3"/>
      </w:r>
      <w:r w:rsidRPr="00F11E73">
        <w:rPr>
          <w:sz w:val="22"/>
          <w:szCs w:val="22"/>
        </w:rPr>
        <w:t xml:space="preserve">of death from cancer. </w:t>
      </w:r>
      <w:r w:rsidR="003E10EB" w:rsidRPr="00F11E73">
        <w:rPr>
          <w:sz w:val="22"/>
          <w:szCs w:val="22"/>
        </w:rPr>
        <w:t xml:space="preserve">Taking alcohol less than 2 drinks per week </w:t>
      </w:r>
      <w:r w:rsidR="007372B0" w:rsidRPr="00F11E73">
        <w:rPr>
          <w:sz w:val="22"/>
          <w:szCs w:val="22"/>
        </w:rPr>
        <w:t>does</w:t>
      </w:r>
      <w:r w:rsidR="003E10EB" w:rsidRPr="00F11E73">
        <w:rPr>
          <w:sz w:val="22"/>
          <w:szCs w:val="22"/>
        </w:rPr>
        <w:t xml:space="preserve"> not significantly increase the </w:t>
      </w:r>
      <w:r w:rsidR="003E10EB" w:rsidRPr="00F11E73">
        <w:rPr>
          <w:sz w:val="22"/>
          <w:szCs w:val="22"/>
          <w:shd w:val="pct15" w:color="auto" w:fill="FFFFFF"/>
        </w:rPr>
        <w:t>risk</w:t>
      </w:r>
      <w:r w:rsidR="003E10EB" w:rsidRPr="00F11E73">
        <w:rPr>
          <w:sz w:val="22"/>
          <w:szCs w:val="22"/>
        </w:rPr>
        <w:t xml:space="preserve">. </w:t>
      </w:r>
      <w:r w:rsidRPr="00F11E73">
        <w:rPr>
          <w:sz w:val="22"/>
          <w:szCs w:val="22"/>
        </w:rPr>
        <w:t xml:space="preserve">The exploratory non-linear analysis demonstrates that such </w:t>
      </w:r>
      <w:r w:rsidR="004B7743" w:rsidRPr="00F11E73">
        <w:rPr>
          <w:sz w:val="22"/>
          <w:szCs w:val="22"/>
        </w:rPr>
        <w:t xml:space="preserve">a </w:t>
      </w:r>
      <w:r w:rsidRPr="00F11E73">
        <w:rPr>
          <w:sz w:val="22"/>
          <w:szCs w:val="22"/>
        </w:rPr>
        <w:t xml:space="preserve">relationship is </w:t>
      </w:r>
      <w:r w:rsidRPr="00F11E73">
        <w:rPr>
          <w:sz w:val="22"/>
          <w:szCs w:val="22"/>
          <w:shd w:val="pct15" w:color="auto" w:fill="FFFFFF"/>
        </w:rPr>
        <w:t>close to linear</w:t>
      </w:r>
      <w:r w:rsidR="003E10EB" w:rsidRPr="00F11E73">
        <w:rPr>
          <w:sz w:val="22"/>
          <w:szCs w:val="22"/>
          <w:shd w:val="pct15" w:color="auto" w:fill="FFFFFF"/>
        </w:rPr>
        <w:t xml:space="preserve"> with a significant harmful effect only after 5 drinks per wee</w:t>
      </w:r>
      <w:r w:rsidR="003E10EB" w:rsidRPr="00F11E73">
        <w:rPr>
          <w:sz w:val="22"/>
          <w:szCs w:val="22"/>
        </w:rPr>
        <w:t>k. No significant sex difference is found in the relationship.</w:t>
      </w:r>
    </w:p>
    <w:p w14:paraId="172268FF" w14:textId="77777777" w:rsidR="0059246D" w:rsidRPr="00F11E73" w:rsidRDefault="0059246D" w:rsidP="00F11E73">
      <w:pPr>
        <w:jc w:val="both"/>
        <w:rPr>
          <w:sz w:val="22"/>
          <w:szCs w:val="22"/>
        </w:rPr>
      </w:pPr>
    </w:p>
    <w:p w14:paraId="6C9F7C3A" w14:textId="229737E9" w:rsidR="006C4BC1" w:rsidRPr="00F11E73" w:rsidRDefault="003E10EB" w:rsidP="00F11E73">
      <w:pPr>
        <w:jc w:val="both"/>
        <w:rPr>
          <w:sz w:val="22"/>
          <w:szCs w:val="22"/>
        </w:rPr>
      </w:pPr>
      <w:r w:rsidRPr="00F11E73">
        <w:rPr>
          <w:sz w:val="22"/>
          <w:szCs w:val="22"/>
        </w:rPr>
        <w:t xml:space="preserve">In the </w:t>
      </w:r>
      <w:r w:rsidR="006028DF" w:rsidRPr="00F11E73">
        <w:rPr>
          <w:sz w:val="22"/>
          <w:szCs w:val="22"/>
        </w:rPr>
        <w:t xml:space="preserve">primary </w:t>
      </w:r>
      <w:r w:rsidRPr="00F11E73">
        <w:rPr>
          <w:sz w:val="22"/>
          <w:szCs w:val="22"/>
        </w:rPr>
        <w:t>analysis, we employed two different approaches to assess the</w:t>
      </w:r>
      <w:r w:rsidR="00572270" w:rsidRPr="00F11E73">
        <w:rPr>
          <w:sz w:val="22"/>
          <w:szCs w:val="22"/>
        </w:rPr>
        <w:t xml:space="preserve"> association of</w:t>
      </w:r>
      <w:r w:rsidRPr="00F11E73">
        <w:rPr>
          <w:sz w:val="22"/>
          <w:szCs w:val="22"/>
        </w:rPr>
        <w:t xml:space="preserve"> alcohol consumption on hazard </w:t>
      </w:r>
      <w:r w:rsidR="00572270" w:rsidRPr="00F11E73">
        <w:rPr>
          <w:sz w:val="22"/>
          <w:szCs w:val="22"/>
        </w:rPr>
        <w:t xml:space="preserve">of </w:t>
      </w:r>
      <w:r w:rsidRPr="00F11E73">
        <w:rPr>
          <w:sz w:val="22"/>
          <w:szCs w:val="22"/>
        </w:rPr>
        <w:t xml:space="preserve">cancer-specific death. </w:t>
      </w:r>
      <w:r w:rsidR="006C4BC1" w:rsidRPr="00F11E73">
        <w:rPr>
          <w:sz w:val="22"/>
          <w:szCs w:val="22"/>
        </w:rPr>
        <w:t xml:space="preserve">The first </w:t>
      </w:r>
      <w:r w:rsidRPr="00F11E73">
        <w:rPr>
          <w:sz w:val="22"/>
          <w:szCs w:val="22"/>
        </w:rPr>
        <w:t xml:space="preserve">approach </w:t>
      </w:r>
      <w:r w:rsidR="006C4BC1" w:rsidRPr="00F11E73">
        <w:rPr>
          <w:sz w:val="22"/>
          <w:szCs w:val="22"/>
        </w:rPr>
        <w:t>takes</w:t>
      </w:r>
      <w:r w:rsidRPr="00F11E73">
        <w:rPr>
          <w:sz w:val="22"/>
          <w:szCs w:val="22"/>
        </w:rPr>
        <w:t xml:space="preserve"> the age as the time scale and takes the temptation into account, </w:t>
      </w:r>
      <w:r w:rsidRPr="00F11E73">
        <w:rPr>
          <w:sz w:val="22"/>
          <w:szCs w:val="22"/>
          <w:shd w:val="pct15" w:color="auto" w:fill="FFFFFF"/>
        </w:rPr>
        <w:t>which has a more reasonable causal structure and explicit causal assumption</w:t>
      </w:r>
      <w:r w:rsidRPr="00F11E73">
        <w:rPr>
          <w:sz w:val="22"/>
          <w:szCs w:val="22"/>
        </w:rPr>
        <w:t xml:space="preserve">. However, </w:t>
      </w:r>
      <w:r w:rsidR="006C4BC1" w:rsidRPr="00F11E73">
        <w:rPr>
          <w:sz w:val="22"/>
          <w:szCs w:val="22"/>
        </w:rPr>
        <w:t xml:space="preserve">the second </w:t>
      </w:r>
      <w:r w:rsidRPr="00F11E73">
        <w:rPr>
          <w:sz w:val="22"/>
          <w:szCs w:val="22"/>
        </w:rPr>
        <w:t xml:space="preserve">approach takes the whole dataset singly as a cross-sectional study and utilizes the time from entry as the time scale. The two approaches yield different results in the crude model but get similar results in the </w:t>
      </w:r>
      <w:r w:rsidR="00736D81" w:rsidRPr="00F11E73">
        <w:rPr>
          <w:sz w:val="22"/>
          <w:szCs w:val="22"/>
        </w:rPr>
        <w:t>MV</w:t>
      </w:r>
      <w:r w:rsidRPr="00F11E73">
        <w:rPr>
          <w:sz w:val="22"/>
          <w:szCs w:val="22"/>
        </w:rPr>
        <w:t xml:space="preserve">-adjusted model. </w:t>
      </w:r>
    </w:p>
    <w:p w14:paraId="33ECB626" w14:textId="77777777" w:rsidR="0059246D" w:rsidRPr="00F11E73" w:rsidRDefault="0059246D" w:rsidP="00F11E73">
      <w:pPr>
        <w:jc w:val="both"/>
        <w:rPr>
          <w:sz w:val="22"/>
          <w:szCs w:val="22"/>
        </w:rPr>
      </w:pPr>
    </w:p>
    <w:p w14:paraId="3A33E11F" w14:textId="1A807E26" w:rsidR="003E10EB" w:rsidRPr="00F11E73" w:rsidRDefault="003E10EB" w:rsidP="00F11E73">
      <w:pPr>
        <w:jc w:val="both"/>
        <w:rPr>
          <w:sz w:val="22"/>
          <w:szCs w:val="22"/>
        </w:rPr>
      </w:pPr>
      <w:r w:rsidRPr="00F11E73">
        <w:rPr>
          <w:sz w:val="22"/>
          <w:szCs w:val="22"/>
        </w:rPr>
        <w:t>Given the data at hand, there are some explanations for the very similar findings</w:t>
      </w:r>
      <w:r w:rsidR="001B00B0" w:rsidRPr="00F11E73">
        <w:rPr>
          <w:sz w:val="22"/>
          <w:szCs w:val="22"/>
        </w:rPr>
        <w:t xml:space="preserve"> in the two </w:t>
      </w:r>
      <w:r w:rsidR="00E44221" w:rsidRPr="00F11E73">
        <w:rPr>
          <w:sz w:val="22"/>
          <w:szCs w:val="22"/>
        </w:rPr>
        <w:t>approaches</w:t>
      </w:r>
      <w:r w:rsidR="00BE2FFA" w:rsidRPr="00F11E73">
        <w:rPr>
          <w:sz w:val="22"/>
          <w:szCs w:val="22"/>
        </w:rPr>
        <w:t xml:space="preserve">. </w:t>
      </w:r>
      <w:r w:rsidR="00A12649" w:rsidRPr="00F11E73">
        <w:rPr>
          <w:sz w:val="22"/>
          <w:szCs w:val="22"/>
        </w:rPr>
        <w:t>Since</w:t>
      </w:r>
      <w:r w:rsidR="00BE2FFA" w:rsidRPr="00F11E73">
        <w:rPr>
          <w:sz w:val="22"/>
          <w:szCs w:val="22"/>
        </w:rPr>
        <w:t xml:space="preserve"> the </w:t>
      </w:r>
      <w:r w:rsidR="00312EB3" w:rsidRPr="00F11E73">
        <w:rPr>
          <w:sz w:val="22"/>
          <w:szCs w:val="22"/>
        </w:rPr>
        <w:t>estimated</w:t>
      </w:r>
      <w:r w:rsidR="00BE2FFA" w:rsidRPr="00F11E73">
        <w:rPr>
          <w:sz w:val="22"/>
          <w:szCs w:val="22"/>
        </w:rPr>
        <w:t xml:space="preserve"> association for </w:t>
      </w:r>
      <w:r w:rsidR="005E4F31" w:rsidRPr="00F11E73">
        <w:rPr>
          <w:sz w:val="22"/>
          <w:szCs w:val="22"/>
        </w:rPr>
        <w:t xml:space="preserve">alcohol intake and </w:t>
      </w:r>
      <w:r w:rsidR="00BE2FFA" w:rsidRPr="00F11E73">
        <w:rPr>
          <w:sz w:val="22"/>
          <w:szCs w:val="22"/>
        </w:rPr>
        <w:t>cancer-specific death (about 1.0</w:t>
      </w:r>
      <w:r w:rsidR="00A12649" w:rsidRPr="00F11E73">
        <w:rPr>
          <w:sz w:val="22"/>
          <w:szCs w:val="22"/>
        </w:rPr>
        <w:t>3</w:t>
      </w:r>
      <w:r w:rsidR="00BE2FFA" w:rsidRPr="00F11E73">
        <w:rPr>
          <w:sz w:val="22"/>
          <w:szCs w:val="22"/>
        </w:rPr>
        <w:t xml:space="preserve"> HR per 1 drink/week increment) is very </w:t>
      </w:r>
      <w:r w:rsidR="00A12649" w:rsidRPr="00F11E73">
        <w:rPr>
          <w:sz w:val="22"/>
          <w:szCs w:val="22"/>
        </w:rPr>
        <w:t>small</w:t>
      </w:r>
      <w:r w:rsidR="00572270" w:rsidRPr="00F11E73">
        <w:rPr>
          <w:sz w:val="22"/>
          <w:szCs w:val="22"/>
        </w:rPr>
        <w:t>,</w:t>
      </w:r>
      <w:r w:rsidR="00BE2FFA" w:rsidRPr="00F11E73">
        <w:rPr>
          <w:sz w:val="22"/>
          <w:szCs w:val="22"/>
        </w:rPr>
        <w:t xml:space="preserve"> </w:t>
      </w:r>
      <w:r w:rsidR="00A12649" w:rsidRPr="00F11E73">
        <w:rPr>
          <w:sz w:val="22"/>
          <w:szCs w:val="22"/>
        </w:rPr>
        <w:t>i</w:t>
      </w:r>
      <w:r w:rsidR="00BE2FFA" w:rsidRPr="00F11E73">
        <w:rPr>
          <w:sz w:val="22"/>
          <w:szCs w:val="22"/>
        </w:rPr>
        <w:t>t suggests both approaches</w:t>
      </w:r>
      <w:r w:rsidR="006C4BC1" w:rsidRPr="00F11E73">
        <w:rPr>
          <w:sz w:val="22"/>
          <w:szCs w:val="22"/>
        </w:rPr>
        <w:t>,</w:t>
      </w:r>
      <w:r w:rsidR="00BE2FFA" w:rsidRPr="00F11E73">
        <w:rPr>
          <w:sz w:val="22"/>
          <w:szCs w:val="22"/>
        </w:rPr>
        <w:t xml:space="preserve"> even including the logistic and Poisson regression</w:t>
      </w:r>
      <w:r w:rsidR="006C4BC1" w:rsidRPr="00F11E73">
        <w:rPr>
          <w:sz w:val="22"/>
          <w:szCs w:val="22"/>
        </w:rPr>
        <w:t>,</w:t>
      </w:r>
      <w:r w:rsidR="00BE2FFA" w:rsidRPr="00F11E73">
        <w:rPr>
          <w:sz w:val="22"/>
          <w:szCs w:val="22"/>
        </w:rPr>
        <w:t xml:space="preserve"> don’t adjust for enough confounding. </w:t>
      </w:r>
      <w:r w:rsidR="00A12649" w:rsidRPr="00F11E73">
        <w:rPr>
          <w:sz w:val="22"/>
          <w:szCs w:val="22"/>
        </w:rPr>
        <w:t>So</w:t>
      </w:r>
      <w:r w:rsidR="00B573EB" w:rsidRPr="00F11E73">
        <w:rPr>
          <w:sz w:val="22"/>
          <w:szCs w:val="22"/>
        </w:rPr>
        <w:t>,</w:t>
      </w:r>
      <w:r w:rsidR="00A12649" w:rsidRPr="00F11E73">
        <w:rPr>
          <w:sz w:val="22"/>
          <w:szCs w:val="22"/>
        </w:rPr>
        <w:t xml:space="preserve"> </w:t>
      </w:r>
      <w:r w:rsidR="00A12649" w:rsidRPr="00F11E73">
        <w:rPr>
          <w:sz w:val="22"/>
          <w:szCs w:val="22"/>
        </w:rPr>
        <w:lastRenderedPageBreak/>
        <w:t>there could be residual confounding or other unknown confounders</w:t>
      </w:r>
      <w:r w:rsidR="00EB306F" w:rsidRPr="00F11E73">
        <w:rPr>
          <w:sz w:val="22"/>
          <w:szCs w:val="22"/>
        </w:rPr>
        <w:t xml:space="preserve">. </w:t>
      </w:r>
      <w:r w:rsidR="00BB7C98" w:rsidRPr="00F11E73">
        <w:rPr>
          <w:sz w:val="22"/>
          <w:szCs w:val="22"/>
        </w:rPr>
        <w:t>Another</w:t>
      </w:r>
      <w:r w:rsidR="009458D8" w:rsidRPr="00F11E73">
        <w:rPr>
          <w:sz w:val="22"/>
          <w:szCs w:val="22"/>
        </w:rPr>
        <w:t xml:space="preserve"> possible</w:t>
      </w:r>
      <w:r w:rsidR="00BE2FFA" w:rsidRPr="00F11E73">
        <w:rPr>
          <w:sz w:val="22"/>
          <w:szCs w:val="22"/>
        </w:rPr>
        <w:t xml:space="preserve"> explanation</w:t>
      </w:r>
      <w:r w:rsidR="00572270" w:rsidRPr="00F11E73">
        <w:rPr>
          <w:sz w:val="22"/>
          <w:szCs w:val="22"/>
        </w:rPr>
        <w:t xml:space="preserve"> is that</w:t>
      </w:r>
      <w:r w:rsidR="007E4AFA" w:rsidRPr="00F11E73">
        <w:rPr>
          <w:sz w:val="22"/>
          <w:szCs w:val="22"/>
        </w:rPr>
        <w:t xml:space="preserve"> as</w:t>
      </w:r>
      <w:r w:rsidR="00BE2FFA" w:rsidRPr="00F11E73">
        <w:rPr>
          <w:sz w:val="22"/>
          <w:szCs w:val="22"/>
        </w:rPr>
        <w:t xml:space="preserve"> the </w:t>
      </w:r>
      <w:commentRangeStart w:id="4"/>
      <w:commentRangeStart w:id="5"/>
      <w:r w:rsidR="00BE2FFA" w:rsidRPr="00F11E73">
        <w:rPr>
          <w:sz w:val="22"/>
          <w:szCs w:val="22"/>
        </w:rPr>
        <w:t xml:space="preserve">diseases’ </w:t>
      </w:r>
      <w:commentRangeEnd w:id="4"/>
      <w:r w:rsidR="00572270" w:rsidRPr="00F11E73">
        <w:rPr>
          <w:sz w:val="22"/>
          <w:szCs w:val="22"/>
        </w:rPr>
        <w:commentReference w:id="4"/>
      </w:r>
      <w:commentRangeEnd w:id="5"/>
      <w:r w:rsidR="007E4AFA" w:rsidRPr="00F11E73">
        <w:rPr>
          <w:rStyle w:val="CommentReference"/>
          <w:rFonts w:eastAsiaTheme="minorEastAsia"/>
          <w:sz w:val="22"/>
          <w:szCs w:val="22"/>
        </w:rPr>
        <w:commentReference w:id="5"/>
      </w:r>
      <w:r w:rsidR="00BE2FFA" w:rsidRPr="00F11E73">
        <w:rPr>
          <w:sz w:val="22"/>
          <w:szCs w:val="22"/>
        </w:rPr>
        <w:t xml:space="preserve">distribution </w:t>
      </w:r>
      <w:r w:rsidR="007E4AFA" w:rsidRPr="00F11E73">
        <w:rPr>
          <w:sz w:val="22"/>
          <w:szCs w:val="22"/>
        </w:rPr>
        <w:t>is</w:t>
      </w:r>
      <w:r w:rsidR="00BE2FFA" w:rsidRPr="00F11E73">
        <w:rPr>
          <w:sz w:val="22"/>
          <w:szCs w:val="22"/>
        </w:rPr>
        <w:t xml:space="preserve"> </w:t>
      </w:r>
      <w:proofErr w:type="gramStart"/>
      <w:r w:rsidR="00BE2FFA" w:rsidRPr="00F11E73">
        <w:rPr>
          <w:sz w:val="22"/>
          <w:szCs w:val="22"/>
          <w:shd w:val="pct15" w:color="auto" w:fill="FFFFFF"/>
        </w:rPr>
        <w:t>pretty</w:t>
      </w:r>
      <w:r w:rsidR="00BE2FFA" w:rsidRPr="00F11E73">
        <w:rPr>
          <w:sz w:val="22"/>
          <w:szCs w:val="22"/>
        </w:rPr>
        <w:t xml:space="preserve"> balanced</w:t>
      </w:r>
      <w:proofErr w:type="gramEnd"/>
      <w:r w:rsidR="00BE2FFA" w:rsidRPr="00F11E73">
        <w:rPr>
          <w:sz w:val="22"/>
          <w:szCs w:val="22"/>
        </w:rPr>
        <w:t xml:space="preserve"> across alcohol consumption groups</w:t>
      </w:r>
      <w:r w:rsidR="007E4AFA" w:rsidRPr="00F11E73">
        <w:rPr>
          <w:sz w:val="22"/>
          <w:szCs w:val="22"/>
        </w:rPr>
        <w:t>,</w:t>
      </w:r>
      <w:r w:rsidR="00BE2FFA" w:rsidRPr="00F11E73">
        <w:rPr>
          <w:sz w:val="22"/>
          <w:szCs w:val="22"/>
        </w:rPr>
        <w:t xml:space="preserve"> additional adjusting for these diseases and biomarkers such as baseline hypertension </w:t>
      </w:r>
      <w:r w:rsidR="007E4AFA" w:rsidRPr="00F11E73">
        <w:rPr>
          <w:sz w:val="22"/>
          <w:szCs w:val="22"/>
        </w:rPr>
        <w:t>would</w:t>
      </w:r>
      <w:r w:rsidR="00BE2FFA" w:rsidRPr="00F11E73">
        <w:rPr>
          <w:sz w:val="22"/>
          <w:szCs w:val="22"/>
        </w:rPr>
        <w:t xml:space="preserve"> not </w:t>
      </w:r>
      <w:r w:rsidR="00312EB3" w:rsidRPr="00F11E73">
        <w:rPr>
          <w:sz w:val="22"/>
          <w:szCs w:val="22"/>
        </w:rPr>
        <w:t>substantially influence the estimates. Last</w:t>
      </w:r>
      <w:r w:rsidR="009458D8" w:rsidRPr="00F11E73">
        <w:rPr>
          <w:sz w:val="22"/>
          <w:szCs w:val="22"/>
        </w:rPr>
        <w:t>ly</w:t>
      </w:r>
      <w:r w:rsidR="00312EB3" w:rsidRPr="00F11E73">
        <w:rPr>
          <w:sz w:val="22"/>
          <w:szCs w:val="22"/>
        </w:rPr>
        <w:t>,</w:t>
      </w:r>
      <w:r w:rsidR="00572270" w:rsidRPr="00F11E73">
        <w:rPr>
          <w:sz w:val="22"/>
          <w:szCs w:val="22"/>
        </w:rPr>
        <w:t xml:space="preserve"> it also could be the case that</w:t>
      </w:r>
      <w:r w:rsidR="00312EB3" w:rsidRPr="00F11E73">
        <w:rPr>
          <w:sz w:val="22"/>
          <w:szCs w:val="22"/>
        </w:rPr>
        <w:t xml:space="preserve"> the true </w:t>
      </w:r>
      <w:r w:rsidR="009458D8" w:rsidRPr="00F11E73">
        <w:rPr>
          <w:sz w:val="22"/>
          <w:szCs w:val="22"/>
        </w:rPr>
        <w:t>association</w:t>
      </w:r>
      <w:r w:rsidR="00312EB3" w:rsidRPr="00F11E73">
        <w:rPr>
          <w:sz w:val="22"/>
          <w:szCs w:val="22"/>
        </w:rPr>
        <w:t xml:space="preserve"> is weak</w:t>
      </w:r>
      <w:r w:rsidR="00572270" w:rsidRPr="00F11E73">
        <w:rPr>
          <w:sz w:val="22"/>
          <w:szCs w:val="22"/>
        </w:rPr>
        <w:t>,</w:t>
      </w:r>
      <w:r w:rsidR="00312EB3" w:rsidRPr="00F11E73">
        <w:rPr>
          <w:sz w:val="22"/>
          <w:szCs w:val="22"/>
        </w:rPr>
        <w:t xml:space="preserve"> and both </w:t>
      </w:r>
      <w:r w:rsidR="00E44221" w:rsidRPr="00F11E73">
        <w:rPr>
          <w:sz w:val="22"/>
          <w:szCs w:val="22"/>
        </w:rPr>
        <w:t>approaches output</w:t>
      </w:r>
      <w:r w:rsidR="00312EB3" w:rsidRPr="00F11E73">
        <w:rPr>
          <w:sz w:val="22"/>
          <w:szCs w:val="22"/>
        </w:rPr>
        <w:t xml:space="preserve"> the correct </w:t>
      </w:r>
      <w:proofErr w:type="spellStart"/>
      <w:r w:rsidR="00312EB3" w:rsidRPr="00F11E73">
        <w:rPr>
          <w:sz w:val="22"/>
          <w:szCs w:val="22"/>
        </w:rPr>
        <w:t>estimand</w:t>
      </w:r>
      <w:proofErr w:type="spellEnd"/>
      <w:r w:rsidR="00312EB3" w:rsidRPr="00F11E73">
        <w:rPr>
          <w:sz w:val="22"/>
          <w:szCs w:val="22"/>
        </w:rPr>
        <w:t>.</w:t>
      </w:r>
    </w:p>
    <w:p w14:paraId="006FAB21" w14:textId="77777777" w:rsidR="0059246D" w:rsidRPr="00F11E73" w:rsidRDefault="0059246D" w:rsidP="00F11E73">
      <w:pPr>
        <w:jc w:val="both"/>
        <w:rPr>
          <w:sz w:val="22"/>
          <w:szCs w:val="22"/>
        </w:rPr>
      </w:pPr>
    </w:p>
    <w:p w14:paraId="7C760C84" w14:textId="747D9FF3" w:rsidR="00312EB3" w:rsidRPr="00F11E73" w:rsidRDefault="00312EB3" w:rsidP="00F11E73">
      <w:pPr>
        <w:jc w:val="both"/>
        <w:rPr>
          <w:sz w:val="22"/>
          <w:szCs w:val="22"/>
        </w:rPr>
      </w:pPr>
      <w:r w:rsidRPr="00F11E73">
        <w:rPr>
          <w:sz w:val="22"/>
          <w:szCs w:val="22"/>
        </w:rPr>
        <w:t>In this study, we didn’t detect significant effect modification by sex</w:t>
      </w:r>
      <w:r w:rsidR="00E2589A" w:rsidRPr="00F11E73">
        <w:rPr>
          <w:sz w:val="22"/>
          <w:szCs w:val="22"/>
        </w:rPr>
        <w:t>,</w:t>
      </w:r>
      <w:r w:rsidRPr="00F11E73">
        <w:rPr>
          <w:sz w:val="22"/>
          <w:szCs w:val="22"/>
        </w:rPr>
        <w:t xml:space="preserve"> though the point estimates for the &gt;2 drinks per week group show a more harmful effect among women than men. However, we cannot totally exclude the presence of potential effect modification since the model is of </w:t>
      </w:r>
      <w:commentRangeStart w:id="6"/>
      <w:r w:rsidRPr="00F11E73">
        <w:rPr>
          <w:sz w:val="22"/>
          <w:szCs w:val="22"/>
        </w:rPr>
        <w:t xml:space="preserve">low power </w:t>
      </w:r>
      <w:commentRangeEnd w:id="6"/>
      <w:r w:rsidR="007B6B8A" w:rsidRPr="00F11E73">
        <w:rPr>
          <w:rStyle w:val="CommentReference"/>
          <w:rFonts w:eastAsiaTheme="minorEastAsia"/>
          <w:sz w:val="22"/>
          <w:szCs w:val="22"/>
        </w:rPr>
        <w:commentReference w:id="6"/>
      </w:r>
      <w:r w:rsidRPr="00F11E73">
        <w:rPr>
          <w:sz w:val="22"/>
          <w:szCs w:val="22"/>
        </w:rPr>
        <w:t>to detect such difference</w:t>
      </w:r>
      <w:r w:rsidR="00E2589A" w:rsidRPr="00F11E73">
        <w:rPr>
          <w:sz w:val="22"/>
          <w:szCs w:val="22"/>
        </w:rPr>
        <w:t>s</w:t>
      </w:r>
      <w:r w:rsidRPr="00F11E73">
        <w:rPr>
          <w:sz w:val="22"/>
          <w:szCs w:val="22"/>
        </w:rPr>
        <w:t xml:space="preserve">. </w:t>
      </w:r>
      <w:commentRangeStart w:id="7"/>
      <w:r w:rsidRPr="00F11E73">
        <w:rPr>
          <w:sz w:val="22"/>
          <w:szCs w:val="22"/>
        </w:rPr>
        <w:t>We also explore</w:t>
      </w:r>
      <w:r w:rsidR="007B6B8A" w:rsidRPr="00F11E73">
        <w:rPr>
          <w:sz w:val="22"/>
          <w:szCs w:val="22"/>
        </w:rPr>
        <w:t>d</w:t>
      </w:r>
      <w:r w:rsidR="00E2589A" w:rsidRPr="00F11E73">
        <w:rPr>
          <w:sz w:val="22"/>
          <w:szCs w:val="22"/>
        </w:rPr>
        <w:t xml:space="preserve"> some</w:t>
      </w:r>
      <w:r w:rsidRPr="00F11E73">
        <w:rPr>
          <w:sz w:val="22"/>
          <w:szCs w:val="22"/>
        </w:rPr>
        <w:t xml:space="preserve"> potential non-linear dose-response relationship, and we find the curve is </w:t>
      </w:r>
      <w:proofErr w:type="gramStart"/>
      <w:r w:rsidRPr="00F11E73">
        <w:rPr>
          <w:sz w:val="22"/>
          <w:szCs w:val="22"/>
        </w:rPr>
        <w:t>pretty linear</w:t>
      </w:r>
      <w:proofErr w:type="gramEnd"/>
      <w:r w:rsidRPr="00F11E73">
        <w:rPr>
          <w:sz w:val="22"/>
          <w:szCs w:val="22"/>
        </w:rPr>
        <w:t xml:space="preserve">. This analysis also tells that </w:t>
      </w:r>
      <w:r w:rsidR="00AC1146" w:rsidRPr="00F11E73">
        <w:rPr>
          <w:sz w:val="22"/>
          <w:szCs w:val="22"/>
        </w:rPr>
        <w:t xml:space="preserve">no significant harmful effects manifest </w:t>
      </w:r>
      <w:r w:rsidRPr="00F11E73">
        <w:rPr>
          <w:sz w:val="22"/>
          <w:szCs w:val="22"/>
        </w:rPr>
        <w:t>with</w:t>
      </w:r>
      <w:r w:rsidR="00AC1146" w:rsidRPr="00F11E73">
        <w:rPr>
          <w:sz w:val="22"/>
          <w:szCs w:val="22"/>
        </w:rPr>
        <w:t xml:space="preserve"> a</w:t>
      </w:r>
      <w:r w:rsidRPr="00F11E73">
        <w:rPr>
          <w:sz w:val="22"/>
          <w:szCs w:val="22"/>
        </w:rPr>
        <w:t xml:space="preserve"> low dose of alcohol consumption</w:t>
      </w:r>
      <w:r w:rsidR="009827AC" w:rsidRPr="00F11E73">
        <w:rPr>
          <w:sz w:val="22"/>
          <w:szCs w:val="22"/>
        </w:rPr>
        <w:t>, and t</w:t>
      </w:r>
      <w:r w:rsidRPr="00F11E73">
        <w:rPr>
          <w:sz w:val="22"/>
          <w:szCs w:val="22"/>
        </w:rPr>
        <w:t>he harmful effect becomes significant when taking alcohol greater than 5 drinks per week.</w:t>
      </w:r>
      <w:commentRangeEnd w:id="7"/>
      <w:r w:rsidR="007B6B8A" w:rsidRPr="00F11E73">
        <w:rPr>
          <w:rStyle w:val="CommentReference"/>
          <w:rFonts w:eastAsiaTheme="minorEastAsia"/>
          <w:sz w:val="22"/>
          <w:szCs w:val="22"/>
        </w:rPr>
        <w:commentReference w:id="7"/>
      </w:r>
    </w:p>
    <w:p w14:paraId="6D003A41" w14:textId="77777777" w:rsidR="0059246D" w:rsidRPr="00F11E73" w:rsidRDefault="0059246D" w:rsidP="00F11E73">
      <w:pPr>
        <w:jc w:val="both"/>
        <w:rPr>
          <w:sz w:val="22"/>
          <w:szCs w:val="22"/>
        </w:rPr>
      </w:pPr>
    </w:p>
    <w:p w14:paraId="6F72D8EA" w14:textId="0506BC6A" w:rsidR="00425229" w:rsidRPr="00F11E73" w:rsidRDefault="00312EB3" w:rsidP="00F11E73">
      <w:pPr>
        <w:jc w:val="both"/>
        <w:rPr>
          <w:color w:val="ED7D31" w:themeColor="accent2"/>
          <w:sz w:val="22"/>
          <w:szCs w:val="22"/>
        </w:rPr>
      </w:pPr>
      <w:r w:rsidRPr="00F11E73">
        <w:rPr>
          <w:sz w:val="22"/>
          <w:szCs w:val="22"/>
        </w:rPr>
        <w:t>There are several limitations</w:t>
      </w:r>
      <w:r w:rsidR="00AC1146" w:rsidRPr="00F11E73">
        <w:rPr>
          <w:sz w:val="22"/>
          <w:szCs w:val="22"/>
        </w:rPr>
        <w:t xml:space="preserve"> </w:t>
      </w:r>
      <w:r w:rsidR="001332F6" w:rsidRPr="00F11E73">
        <w:rPr>
          <w:sz w:val="22"/>
          <w:szCs w:val="22"/>
        </w:rPr>
        <w:t>to</w:t>
      </w:r>
      <w:r w:rsidR="00AC1146" w:rsidRPr="00F11E73">
        <w:rPr>
          <w:sz w:val="22"/>
          <w:szCs w:val="22"/>
        </w:rPr>
        <w:t xml:space="preserve"> our analysis</w:t>
      </w:r>
      <w:r w:rsidRPr="00F11E73">
        <w:rPr>
          <w:sz w:val="22"/>
          <w:szCs w:val="22"/>
        </w:rPr>
        <w:t xml:space="preserve">. First, as we mentioned before, the estimated </w:t>
      </w:r>
      <w:r w:rsidR="00AE4D03" w:rsidRPr="00F11E73">
        <w:rPr>
          <w:sz w:val="22"/>
          <w:szCs w:val="22"/>
        </w:rPr>
        <w:t xml:space="preserve">association </w:t>
      </w:r>
      <w:r w:rsidR="005E4F31" w:rsidRPr="00F11E73">
        <w:rPr>
          <w:sz w:val="22"/>
          <w:szCs w:val="22"/>
        </w:rPr>
        <w:t>would be</w:t>
      </w:r>
      <w:r w:rsidR="00AE4D03" w:rsidRPr="00F11E73">
        <w:rPr>
          <w:sz w:val="22"/>
          <w:szCs w:val="22"/>
        </w:rPr>
        <w:t xml:space="preserve"> very sensitive to unmeasured confounders. Although the findings from different model</w:t>
      </w:r>
      <w:r w:rsidR="001332F6" w:rsidRPr="00F11E73">
        <w:rPr>
          <w:sz w:val="22"/>
          <w:szCs w:val="22"/>
        </w:rPr>
        <w:t>s</w:t>
      </w:r>
      <w:r w:rsidR="00AE4D03" w:rsidRPr="00F11E73">
        <w:rPr>
          <w:sz w:val="22"/>
          <w:szCs w:val="22"/>
        </w:rPr>
        <w:t xml:space="preserve"> are consistent without additional confounder information, we must admit that the observed association is very likely to</w:t>
      </w:r>
      <w:r w:rsidR="0050164D" w:rsidRPr="00F11E73">
        <w:rPr>
          <w:sz w:val="22"/>
          <w:szCs w:val="22"/>
        </w:rPr>
        <w:t xml:space="preserve"> be</w:t>
      </w:r>
      <w:r w:rsidR="00AE4D03" w:rsidRPr="00F11E73">
        <w:rPr>
          <w:sz w:val="22"/>
          <w:szCs w:val="22"/>
        </w:rPr>
        <w:t xml:space="preserve"> attributed to an unmeasured confounder. Second, the original data is in the cross-sectional form, which limits the survival analysis. It is hard to tell which exposure or confounder happens first, making the model adjustment difficult and obscure. </w:t>
      </w:r>
      <w:r w:rsidR="000328B2" w:rsidRPr="00F11E73">
        <w:rPr>
          <w:sz w:val="22"/>
          <w:szCs w:val="22"/>
        </w:rPr>
        <w:t xml:space="preserve">Third, we did not consider selection bias in the study. If censoring is dependent to cancer death, then there will be an open non-causal path between alcohol intake and cancer death, and causal methods will be needed to account for this selection bias. </w:t>
      </w:r>
      <w:r w:rsidR="00AE4D03" w:rsidRPr="00F11E73">
        <w:rPr>
          <w:sz w:val="22"/>
          <w:szCs w:val="22"/>
        </w:rPr>
        <w:t>Last, we must notify that the event</w:t>
      </w:r>
      <w:r w:rsidR="001332F6" w:rsidRPr="00F11E73">
        <w:rPr>
          <w:sz w:val="22"/>
          <w:szCs w:val="22"/>
        </w:rPr>
        <w:t xml:space="preserve"> of interest</w:t>
      </w:r>
      <w:r w:rsidR="00AE4D03" w:rsidRPr="00F11E73">
        <w:rPr>
          <w:sz w:val="22"/>
          <w:szCs w:val="22"/>
        </w:rPr>
        <w:t xml:space="preserve"> in this study is</w:t>
      </w:r>
      <w:r w:rsidR="005A7DD9" w:rsidRPr="00F11E73">
        <w:rPr>
          <w:sz w:val="22"/>
          <w:szCs w:val="22"/>
        </w:rPr>
        <w:t xml:space="preserve"> the</w:t>
      </w:r>
      <w:r w:rsidR="00AE4D03" w:rsidRPr="00F11E73">
        <w:rPr>
          <w:sz w:val="22"/>
          <w:szCs w:val="22"/>
        </w:rPr>
        <w:t xml:space="preserve"> death from cancer. </w:t>
      </w:r>
      <w:r w:rsidR="00B472B3" w:rsidRPr="00F11E73">
        <w:rPr>
          <w:sz w:val="22"/>
          <w:szCs w:val="22"/>
        </w:rPr>
        <w:t xml:space="preserve">Deaths by other causes </w:t>
      </w:r>
      <w:r w:rsidR="00AE4D03" w:rsidRPr="00F11E73">
        <w:rPr>
          <w:sz w:val="22"/>
          <w:szCs w:val="22"/>
        </w:rPr>
        <w:t>are competing risks but are treated as censor</w:t>
      </w:r>
      <w:r w:rsidR="005A7DD9" w:rsidRPr="00F11E73">
        <w:rPr>
          <w:sz w:val="22"/>
          <w:szCs w:val="22"/>
        </w:rPr>
        <w:t>ed</w:t>
      </w:r>
      <w:r w:rsidR="00AE4D03" w:rsidRPr="00F11E73">
        <w:rPr>
          <w:sz w:val="22"/>
          <w:szCs w:val="22"/>
        </w:rPr>
        <w:t xml:space="preserve"> in this study. Although the Cox model is still valid, the logistic and Poisson regression are </w:t>
      </w:r>
      <w:r w:rsidR="005A22F2" w:rsidRPr="00F11E73">
        <w:rPr>
          <w:sz w:val="22"/>
          <w:szCs w:val="22"/>
        </w:rPr>
        <w:t>invalid</w:t>
      </w:r>
      <w:r w:rsidR="00F47C10" w:rsidRPr="00F11E73">
        <w:rPr>
          <w:sz w:val="22"/>
          <w:szCs w:val="22"/>
        </w:rPr>
        <w:t>, and</w:t>
      </w:r>
      <w:r w:rsidRPr="00F11E73">
        <w:rPr>
          <w:sz w:val="22"/>
          <w:szCs w:val="22"/>
        </w:rPr>
        <w:t xml:space="preserve"> </w:t>
      </w:r>
      <w:r w:rsidR="00F47C10" w:rsidRPr="00F11E73">
        <w:rPr>
          <w:sz w:val="22"/>
          <w:szCs w:val="22"/>
        </w:rPr>
        <w:t>t</w:t>
      </w:r>
      <w:r w:rsidR="00AE4D03" w:rsidRPr="00F11E73">
        <w:rPr>
          <w:sz w:val="22"/>
          <w:szCs w:val="22"/>
        </w:rPr>
        <w:t xml:space="preserve">heir estimations are biased. </w:t>
      </w:r>
    </w:p>
    <w:p w14:paraId="0C40D9E0" w14:textId="77777777" w:rsidR="000328B2" w:rsidRPr="00F11E73" w:rsidRDefault="000328B2" w:rsidP="00F11E73">
      <w:pPr>
        <w:jc w:val="both"/>
        <w:rPr>
          <w:sz w:val="22"/>
          <w:szCs w:val="22"/>
        </w:rPr>
      </w:pPr>
    </w:p>
    <w:p w14:paraId="4039E229" w14:textId="77777777" w:rsidR="00DE3989" w:rsidRPr="00F11E73" w:rsidRDefault="00DE3989" w:rsidP="00F11E73">
      <w:pPr>
        <w:jc w:val="both"/>
        <w:rPr>
          <w:sz w:val="22"/>
          <w:szCs w:val="22"/>
        </w:rPr>
      </w:pPr>
    </w:p>
    <w:p w14:paraId="01B84E4A" w14:textId="15151CFB" w:rsidR="00176326" w:rsidRPr="00F11E73" w:rsidRDefault="00176326" w:rsidP="00F11E73">
      <w:pPr>
        <w:jc w:val="both"/>
        <w:rPr>
          <w:b/>
          <w:bCs/>
          <w:sz w:val="22"/>
          <w:szCs w:val="22"/>
        </w:rPr>
      </w:pPr>
      <w:r w:rsidRPr="00F11E73">
        <w:rPr>
          <w:b/>
          <w:bCs/>
          <w:sz w:val="22"/>
          <w:szCs w:val="22"/>
        </w:rPr>
        <w:t>Appendix</w:t>
      </w:r>
    </w:p>
    <w:tbl>
      <w:tblPr>
        <w:tblW w:w="5000" w:type="pct"/>
        <w:tblLayout w:type="fixed"/>
        <w:tblLook w:val="04A0" w:firstRow="1" w:lastRow="0" w:firstColumn="1" w:lastColumn="0" w:noHBand="0" w:noVBand="1"/>
      </w:tblPr>
      <w:tblGrid>
        <w:gridCol w:w="3509"/>
        <w:gridCol w:w="1620"/>
        <w:gridCol w:w="1441"/>
        <w:gridCol w:w="1620"/>
        <w:gridCol w:w="1709"/>
        <w:gridCol w:w="901"/>
      </w:tblGrid>
      <w:tr w:rsidR="00814E8D" w:rsidRPr="00F11E73" w14:paraId="21D1D1B9" w14:textId="77777777" w:rsidTr="00747BAD">
        <w:trPr>
          <w:trHeight w:val="270"/>
        </w:trPr>
        <w:tc>
          <w:tcPr>
            <w:tcW w:w="1625" w:type="pct"/>
            <w:tcBorders>
              <w:top w:val="single" w:sz="4" w:space="0" w:color="auto"/>
            </w:tcBorders>
            <w:shd w:val="clear" w:color="auto" w:fill="FFFFFF"/>
            <w:noWrap/>
            <w:vAlign w:val="center"/>
          </w:tcPr>
          <w:p w14:paraId="4B6FD9FE" w14:textId="77777777" w:rsidR="00814E8D" w:rsidRPr="00F11E73" w:rsidRDefault="00814E8D" w:rsidP="00F11E73">
            <w:pPr>
              <w:jc w:val="both"/>
              <w:rPr>
                <w:sz w:val="22"/>
                <w:szCs w:val="22"/>
                <w:highlight w:val="yellow"/>
              </w:rPr>
            </w:pPr>
          </w:p>
        </w:tc>
        <w:tc>
          <w:tcPr>
            <w:tcW w:w="2958" w:type="pct"/>
            <w:gridSpan w:val="4"/>
            <w:tcBorders>
              <w:top w:val="single" w:sz="4" w:space="0" w:color="auto"/>
            </w:tcBorders>
            <w:shd w:val="clear" w:color="auto" w:fill="FFFFFF"/>
            <w:noWrap/>
            <w:vAlign w:val="center"/>
          </w:tcPr>
          <w:p w14:paraId="7B7FB437" w14:textId="1437C173" w:rsidR="00814E8D" w:rsidRPr="00F11E73" w:rsidRDefault="00814E8D" w:rsidP="00F11E73">
            <w:pPr>
              <w:jc w:val="center"/>
              <w:rPr>
                <w:sz w:val="22"/>
                <w:szCs w:val="22"/>
                <w:highlight w:val="yellow"/>
              </w:rPr>
            </w:pPr>
            <w:r w:rsidRPr="00F11E73">
              <w:rPr>
                <w:sz w:val="22"/>
                <w:szCs w:val="22"/>
              </w:rPr>
              <w:t>Alcohol consumption</w:t>
            </w:r>
          </w:p>
        </w:tc>
        <w:tc>
          <w:tcPr>
            <w:tcW w:w="417" w:type="pct"/>
            <w:tcBorders>
              <w:top w:val="single" w:sz="4" w:space="0" w:color="auto"/>
            </w:tcBorders>
            <w:shd w:val="clear" w:color="auto" w:fill="FFFFFF"/>
            <w:noWrap/>
            <w:vAlign w:val="center"/>
          </w:tcPr>
          <w:p w14:paraId="6D319298" w14:textId="77777777" w:rsidR="00814E8D" w:rsidRPr="00F11E73" w:rsidRDefault="00814E8D" w:rsidP="00F11E73">
            <w:pPr>
              <w:jc w:val="both"/>
              <w:rPr>
                <w:sz w:val="22"/>
                <w:szCs w:val="22"/>
                <w:highlight w:val="yellow"/>
              </w:rPr>
            </w:pPr>
          </w:p>
        </w:tc>
      </w:tr>
      <w:tr w:rsidR="009C5F84" w:rsidRPr="00F11E73" w14:paraId="3D9AC663" w14:textId="77777777" w:rsidTr="00747BAD">
        <w:trPr>
          <w:trHeight w:val="270"/>
        </w:trPr>
        <w:tc>
          <w:tcPr>
            <w:tcW w:w="1625" w:type="pct"/>
            <w:tcBorders>
              <w:bottom w:val="single" w:sz="4" w:space="0" w:color="auto"/>
            </w:tcBorders>
            <w:shd w:val="clear" w:color="auto" w:fill="FFFFFF"/>
            <w:noWrap/>
            <w:vAlign w:val="center"/>
          </w:tcPr>
          <w:p w14:paraId="33DFAF0A" w14:textId="77777777" w:rsidR="00814E8D" w:rsidRPr="00F11E73" w:rsidRDefault="00814E8D" w:rsidP="00F11E73">
            <w:pPr>
              <w:jc w:val="both"/>
              <w:rPr>
                <w:sz w:val="22"/>
                <w:szCs w:val="22"/>
                <w:highlight w:val="yellow"/>
              </w:rPr>
            </w:pPr>
          </w:p>
        </w:tc>
        <w:tc>
          <w:tcPr>
            <w:tcW w:w="750" w:type="pct"/>
            <w:tcBorders>
              <w:bottom w:val="single" w:sz="4" w:space="0" w:color="auto"/>
            </w:tcBorders>
            <w:shd w:val="clear" w:color="auto" w:fill="FFFFFF"/>
            <w:noWrap/>
            <w:vAlign w:val="center"/>
          </w:tcPr>
          <w:p w14:paraId="4BD25F3F" w14:textId="0F18549D" w:rsidR="00814E8D" w:rsidRPr="00F11E73" w:rsidRDefault="00814E8D" w:rsidP="00F11E73">
            <w:pPr>
              <w:jc w:val="center"/>
              <w:rPr>
                <w:sz w:val="22"/>
                <w:szCs w:val="22"/>
              </w:rPr>
            </w:pPr>
            <w:r w:rsidRPr="00F11E73">
              <w:rPr>
                <w:sz w:val="22"/>
                <w:szCs w:val="22"/>
              </w:rPr>
              <w:t>0/week</w:t>
            </w:r>
          </w:p>
        </w:tc>
        <w:tc>
          <w:tcPr>
            <w:tcW w:w="667" w:type="pct"/>
            <w:tcBorders>
              <w:bottom w:val="single" w:sz="4" w:space="0" w:color="auto"/>
            </w:tcBorders>
            <w:shd w:val="clear" w:color="auto" w:fill="FFFFFF"/>
            <w:vAlign w:val="center"/>
          </w:tcPr>
          <w:p w14:paraId="609CC2C9" w14:textId="3372B9DE" w:rsidR="00814E8D" w:rsidRPr="00F11E73" w:rsidRDefault="00814E8D" w:rsidP="00F11E73">
            <w:pPr>
              <w:jc w:val="center"/>
              <w:rPr>
                <w:sz w:val="22"/>
                <w:szCs w:val="22"/>
              </w:rPr>
            </w:pPr>
            <w:r w:rsidRPr="00F11E73">
              <w:rPr>
                <w:sz w:val="22"/>
                <w:szCs w:val="22"/>
              </w:rPr>
              <w:t>0-0.5/week</w:t>
            </w:r>
          </w:p>
        </w:tc>
        <w:tc>
          <w:tcPr>
            <w:tcW w:w="750" w:type="pct"/>
            <w:tcBorders>
              <w:bottom w:val="single" w:sz="4" w:space="0" w:color="auto"/>
            </w:tcBorders>
            <w:shd w:val="clear" w:color="auto" w:fill="FFFFFF"/>
            <w:vAlign w:val="center"/>
          </w:tcPr>
          <w:p w14:paraId="78E97D1F" w14:textId="53514147" w:rsidR="00814E8D" w:rsidRPr="00F11E73" w:rsidRDefault="00814E8D" w:rsidP="00F11E73">
            <w:pPr>
              <w:jc w:val="center"/>
              <w:rPr>
                <w:sz w:val="22"/>
                <w:szCs w:val="22"/>
              </w:rPr>
            </w:pPr>
            <w:r w:rsidRPr="00F11E73">
              <w:rPr>
                <w:sz w:val="22"/>
                <w:szCs w:val="22"/>
              </w:rPr>
              <w:t>0.5-2/week</w:t>
            </w:r>
          </w:p>
        </w:tc>
        <w:tc>
          <w:tcPr>
            <w:tcW w:w="791" w:type="pct"/>
            <w:tcBorders>
              <w:bottom w:val="single" w:sz="4" w:space="0" w:color="auto"/>
            </w:tcBorders>
            <w:shd w:val="clear" w:color="auto" w:fill="FFFFFF"/>
            <w:vAlign w:val="center"/>
          </w:tcPr>
          <w:p w14:paraId="274ADDF1" w14:textId="6F423381" w:rsidR="00814E8D" w:rsidRPr="00F11E73" w:rsidRDefault="00814E8D" w:rsidP="00F11E73">
            <w:pPr>
              <w:jc w:val="center"/>
              <w:rPr>
                <w:sz w:val="22"/>
                <w:szCs w:val="22"/>
              </w:rPr>
            </w:pPr>
            <w:r w:rsidRPr="00F11E73">
              <w:rPr>
                <w:sz w:val="22"/>
                <w:szCs w:val="22"/>
              </w:rPr>
              <w:t>&gt;2/week</w:t>
            </w:r>
          </w:p>
        </w:tc>
        <w:tc>
          <w:tcPr>
            <w:tcW w:w="417" w:type="pct"/>
            <w:tcBorders>
              <w:bottom w:val="single" w:sz="4" w:space="0" w:color="auto"/>
            </w:tcBorders>
            <w:shd w:val="clear" w:color="auto" w:fill="FFFFFF"/>
            <w:noWrap/>
            <w:vAlign w:val="center"/>
          </w:tcPr>
          <w:p w14:paraId="7E311FB8" w14:textId="76635187" w:rsidR="00814E8D" w:rsidRPr="00F11E73" w:rsidRDefault="009C5F84" w:rsidP="00F11E73">
            <w:pPr>
              <w:jc w:val="both"/>
              <w:rPr>
                <w:sz w:val="22"/>
                <w:szCs w:val="22"/>
                <w:highlight w:val="yellow"/>
              </w:rPr>
            </w:pPr>
            <w:r w:rsidRPr="00F11E73">
              <w:rPr>
                <w:sz w:val="22"/>
                <w:szCs w:val="22"/>
                <w:highlight w:val="yellow"/>
              </w:rPr>
              <w:t>p-value</w:t>
            </w:r>
          </w:p>
        </w:tc>
      </w:tr>
      <w:tr w:rsidR="009C5F84" w:rsidRPr="00F11E73" w14:paraId="4123D834" w14:textId="77777777" w:rsidTr="00747BAD">
        <w:trPr>
          <w:trHeight w:val="270"/>
        </w:trPr>
        <w:tc>
          <w:tcPr>
            <w:tcW w:w="1625" w:type="pct"/>
            <w:tcBorders>
              <w:top w:val="single" w:sz="4" w:space="0" w:color="auto"/>
            </w:tcBorders>
            <w:shd w:val="clear" w:color="auto" w:fill="FFFFFF"/>
            <w:noWrap/>
            <w:vAlign w:val="center"/>
          </w:tcPr>
          <w:p w14:paraId="73FF3F86" w14:textId="4B13BC31" w:rsidR="00814E8D" w:rsidRPr="00F11E73" w:rsidRDefault="00814E8D" w:rsidP="00F11E73">
            <w:pPr>
              <w:jc w:val="both"/>
              <w:rPr>
                <w:sz w:val="22"/>
                <w:szCs w:val="22"/>
              </w:rPr>
            </w:pPr>
            <w:r w:rsidRPr="00F11E73">
              <w:rPr>
                <w:sz w:val="22"/>
                <w:szCs w:val="22"/>
              </w:rPr>
              <w:t xml:space="preserve">Size of </w:t>
            </w:r>
            <w:r w:rsidR="006D693D">
              <w:rPr>
                <w:sz w:val="22"/>
                <w:szCs w:val="22"/>
              </w:rPr>
              <w:t xml:space="preserve">residence </w:t>
            </w:r>
            <w:r w:rsidRPr="00F11E73">
              <w:rPr>
                <w:sz w:val="22"/>
                <w:szCs w:val="22"/>
              </w:rPr>
              <w:t>place</w:t>
            </w:r>
          </w:p>
        </w:tc>
        <w:tc>
          <w:tcPr>
            <w:tcW w:w="750" w:type="pct"/>
            <w:tcBorders>
              <w:top w:val="single" w:sz="4" w:space="0" w:color="auto"/>
            </w:tcBorders>
            <w:shd w:val="clear" w:color="auto" w:fill="FFFFFF"/>
            <w:noWrap/>
            <w:vAlign w:val="center"/>
          </w:tcPr>
          <w:p w14:paraId="2234EE98" w14:textId="25ABEB82" w:rsidR="00814E8D" w:rsidRPr="00F11E73" w:rsidRDefault="00814E8D" w:rsidP="00F11E73">
            <w:pPr>
              <w:jc w:val="both"/>
              <w:rPr>
                <w:sz w:val="22"/>
                <w:szCs w:val="22"/>
              </w:rPr>
            </w:pPr>
          </w:p>
        </w:tc>
        <w:tc>
          <w:tcPr>
            <w:tcW w:w="667" w:type="pct"/>
            <w:tcBorders>
              <w:top w:val="single" w:sz="4" w:space="0" w:color="auto"/>
            </w:tcBorders>
            <w:shd w:val="clear" w:color="auto" w:fill="FFFFFF"/>
            <w:noWrap/>
            <w:vAlign w:val="center"/>
          </w:tcPr>
          <w:p w14:paraId="63B1FAE2" w14:textId="445DDF45" w:rsidR="00814E8D" w:rsidRPr="00F11E73" w:rsidRDefault="00814E8D" w:rsidP="00F11E73">
            <w:pPr>
              <w:jc w:val="both"/>
              <w:rPr>
                <w:sz w:val="22"/>
                <w:szCs w:val="22"/>
              </w:rPr>
            </w:pPr>
          </w:p>
        </w:tc>
        <w:tc>
          <w:tcPr>
            <w:tcW w:w="750" w:type="pct"/>
            <w:tcBorders>
              <w:top w:val="single" w:sz="4" w:space="0" w:color="auto"/>
            </w:tcBorders>
            <w:shd w:val="clear" w:color="auto" w:fill="FFFFFF"/>
            <w:noWrap/>
            <w:vAlign w:val="center"/>
          </w:tcPr>
          <w:p w14:paraId="3DF29CBF" w14:textId="2EF5D789" w:rsidR="00814E8D" w:rsidRPr="00F11E73" w:rsidRDefault="00814E8D" w:rsidP="00F11E73">
            <w:pPr>
              <w:jc w:val="both"/>
              <w:rPr>
                <w:sz w:val="22"/>
                <w:szCs w:val="22"/>
              </w:rPr>
            </w:pPr>
          </w:p>
        </w:tc>
        <w:tc>
          <w:tcPr>
            <w:tcW w:w="791" w:type="pct"/>
            <w:tcBorders>
              <w:top w:val="single" w:sz="4" w:space="0" w:color="auto"/>
            </w:tcBorders>
            <w:shd w:val="clear" w:color="auto" w:fill="FFFFFF"/>
            <w:noWrap/>
            <w:vAlign w:val="center"/>
          </w:tcPr>
          <w:p w14:paraId="1F7433C4" w14:textId="30DE9031" w:rsidR="00814E8D" w:rsidRPr="00F11E73" w:rsidRDefault="00814E8D" w:rsidP="00F11E73">
            <w:pPr>
              <w:jc w:val="both"/>
              <w:rPr>
                <w:sz w:val="22"/>
                <w:szCs w:val="22"/>
              </w:rPr>
            </w:pPr>
          </w:p>
        </w:tc>
        <w:tc>
          <w:tcPr>
            <w:tcW w:w="417" w:type="pct"/>
            <w:tcBorders>
              <w:top w:val="single" w:sz="4" w:space="0" w:color="auto"/>
            </w:tcBorders>
            <w:shd w:val="clear" w:color="auto" w:fill="FFFFFF"/>
            <w:noWrap/>
            <w:vAlign w:val="center"/>
          </w:tcPr>
          <w:p w14:paraId="47F29AA7" w14:textId="201CAB33" w:rsidR="00814E8D" w:rsidRPr="00F11E73" w:rsidRDefault="00C63986" w:rsidP="00F11E73">
            <w:pPr>
              <w:jc w:val="both"/>
              <w:rPr>
                <w:sz w:val="22"/>
                <w:szCs w:val="22"/>
              </w:rPr>
            </w:pPr>
            <w:r w:rsidRPr="00F11E73">
              <w:rPr>
                <w:sz w:val="22"/>
                <w:szCs w:val="22"/>
              </w:rPr>
              <w:t>&lt;0.001</w:t>
            </w:r>
          </w:p>
        </w:tc>
      </w:tr>
      <w:tr w:rsidR="009C5F84" w:rsidRPr="00F11E73" w14:paraId="6795195D" w14:textId="77777777" w:rsidTr="00747BAD">
        <w:trPr>
          <w:trHeight w:val="270"/>
        </w:trPr>
        <w:tc>
          <w:tcPr>
            <w:tcW w:w="1625" w:type="pct"/>
            <w:shd w:val="clear" w:color="auto" w:fill="FFFFFF"/>
            <w:noWrap/>
            <w:vAlign w:val="center"/>
          </w:tcPr>
          <w:p w14:paraId="4A10752F" w14:textId="1DF88CE6" w:rsidR="00814E8D" w:rsidRPr="00F11E73" w:rsidRDefault="00814E8D" w:rsidP="00F11E73">
            <w:pPr>
              <w:rPr>
                <w:sz w:val="22"/>
                <w:szCs w:val="22"/>
              </w:rPr>
            </w:pPr>
            <w:r w:rsidRPr="00F11E73">
              <w:rPr>
                <w:sz w:val="22"/>
                <w:szCs w:val="22"/>
              </w:rPr>
              <w:t xml:space="preserve">  Urbanized are with 3, 000, 000 or more</w:t>
            </w:r>
          </w:p>
        </w:tc>
        <w:tc>
          <w:tcPr>
            <w:tcW w:w="750" w:type="pct"/>
            <w:shd w:val="clear" w:color="auto" w:fill="FFFFFF"/>
            <w:noWrap/>
            <w:vAlign w:val="center"/>
          </w:tcPr>
          <w:p w14:paraId="746C7280" w14:textId="783C0909" w:rsidR="00814E8D" w:rsidRPr="00F11E73" w:rsidRDefault="009C5F84" w:rsidP="00F11E73">
            <w:pPr>
              <w:jc w:val="right"/>
              <w:rPr>
                <w:sz w:val="22"/>
                <w:szCs w:val="22"/>
              </w:rPr>
            </w:pPr>
            <w:r w:rsidRPr="00F11E73">
              <w:rPr>
                <w:sz w:val="22"/>
                <w:szCs w:val="22"/>
              </w:rPr>
              <w:t>310 (7.71%)</w:t>
            </w:r>
          </w:p>
        </w:tc>
        <w:tc>
          <w:tcPr>
            <w:tcW w:w="667" w:type="pct"/>
            <w:shd w:val="clear" w:color="auto" w:fill="FFFFFF"/>
            <w:noWrap/>
            <w:vAlign w:val="center"/>
          </w:tcPr>
          <w:p w14:paraId="7F717DF3" w14:textId="5F701FB2" w:rsidR="00814E8D" w:rsidRPr="00F11E73" w:rsidRDefault="009C5F84" w:rsidP="00F11E73">
            <w:pPr>
              <w:jc w:val="right"/>
              <w:rPr>
                <w:sz w:val="22"/>
                <w:szCs w:val="22"/>
              </w:rPr>
            </w:pPr>
            <w:r w:rsidRPr="00F11E73">
              <w:rPr>
                <w:sz w:val="22"/>
                <w:szCs w:val="22"/>
              </w:rPr>
              <w:t>110 (11.76%)</w:t>
            </w:r>
          </w:p>
        </w:tc>
        <w:tc>
          <w:tcPr>
            <w:tcW w:w="750" w:type="pct"/>
            <w:shd w:val="clear" w:color="auto" w:fill="FFFFFF"/>
            <w:noWrap/>
            <w:vAlign w:val="center"/>
          </w:tcPr>
          <w:p w14:paraId="3FF9D162" w14:textId="3F4F1B94" w:rsidR="00814E8D" w:rsidRPr="00F11E73" w:rsidRDefault="009C5F84" w:rsidP="00F11E73">
            <w:pPr>
              <w:jc w:val="right"/>
              <w:rPr>
                <w:sz w:val="22"/>
                <w:szCs w:val="22"/>
              </w:rPr>
            </w:pPr>
            <w:r w:rsidRPr="00F11E73">
              <w:rPr>
                <w:sz w:val="22"/>
                <w:szCs w:val="22"/>
              </w:rPr>
              <w:t>282 (16.40%)</w:t>
            </w:r>
          </w:p>
        </w:tc>
        <w:tc>
          <w:tcPr>
            <w:tcW w:w="791" w:type="pct"/>
            <w:shd w:val="clear" w:color="auto" w:fill="FFFFFF"/>
            <w:noWrap/>
            <w:vAlign w:val="center"/>
          </w:tcPr>
          <w:p w14:paraId="6DE26B0D" w14:textId="1192C3F6" w:rsidR="00814E8D" w:rsidRPr="00F11E73" w:rsidRDefault="009C5F84" w:rsidP="00F11E73">
            <w:pPr>
              <w:jc w:val="right"/>
              <w:rPr>
                <w:sz w:val="22"/>
                <w:szCs w:val="22"/>
              </w:rPr>
            </w:pPr>
            <w:r w:rsidRPr="00F11E73">
              <w:rPr>
                <w:sz w:val="22"/>
                <w:szCs w:val="22"/>
              </w:rPr>
              <w:t>444 (17.67%)</w:t>
            </w:r>
          </w:p>
        </w:tc>
        <w:tc>
          <w:tcPr>
            <w:tcW w:w="417" w:type="pct"/>
            <w:shd w:val="clear" w:color="auto" w:fill="FFFFFF"/>
            <w:noWrap/>
            <w:vAlign w:val="center"/>
          </w:tcPr>
          <w:p w14:paraId="2231B262" w14:textId="77777777" w:rsidR="00814E8D" w:rsidRPr="00F11E73" w:rsidRDefault="00814E8D" w:rsidP="00F11E73">
            <w:pPr>
              <w:jc w:val="both"/>
              <w:rPr>
                <w:sz w:val="22"/>
                <w:szCs w:val="22"/>
              </w:rPr>
            </w:pPr>
          </w:p>
        </w:tc>
      </w:tr>
      <w:tr w:rsidR="009C5F84" w:rsidRPr="00F11E73" w14:paraId="7F460E64" w14:textId="77777777" w:rsidTr="00747BAD">
        <w:trPr>
          <w:trHeight w:val="270"/>
        </w:trPr>
        <w:tc>
          <w:tcPr>
            <w:tcW w:w="1625" w:type="pct"/>
            <w:shd w:val="clear" w:color="auto" w:fill="FFFFFF"/>
            <w:noWrap/>
            <w:vAlign w:val="center"/>
          </w:tcPr>
          <w:p w14:paraId="30C32D4A" w14:textId="77777777" w:rsidR="00814E8D" w:rsidRPr="00F11E73" w:rsidRDefault="00814E8D" w:rsidP="00F11E73">
            <w:pPr>
              <w:rPr>
                <w:sz w:val="22"/>
                <w:szCs w:val="22"/>
              </w:rPr>
            </w:pPr>
            <w:r w:rsidRPr="00F11E73">
              <w:rPr>
                <w:sz w:val="22"/>
                <w:szCs w:val="22"/>
              </w:rPr>
              <w:t xml:space="preserve">  Urbanized area with </w:t>
            </w:r>
          </w:p>
          <w:p w14:paraId="5BB6422C" w14:textId="5A3AC6EB" w:rsidR="00814E8D" w:rsidRPr="00F11E73" w:rsidRDefault="00814E8D" w:rsidP="00F11E73">
            <w:pPr>
              <w:rPr>
                <w:sz w:val="22"/>
                <w:szCs w:val="22"/>
              </w:rPr>
            </w:pPr>
            <w:r w:rsidRPr="00F11E73">
              <w:rPr>
                <w:sz w:val="22"/>
                <w:szCs w:val="22"/>
              </w:rPr>
              <w:t>1,000,000 to 2,999,999</w:t>
            </w:r>
          </w:p>
        </w:tc>
        <w:tc>
          <w:tcPr>
            <w:tcW w:w="750" w:type="pct"/>
            <w:shd w:val="clear" w:color="auto" w:fill="FFFFFF"/>
            <w:noWrap/>
            <w:vAlign w:val="center"/>
          </w:tcPr>
          <w:p w14:paraId="7A156D8B" w14:textId="4A8DE34A" w:rsidR="00814E8D" w:rsidRPr="00F11E73" w:rsidRDefault="009C5F84" w:rsidP="00F11E73">
            <w:pPr>
              <w:jc w:val="right"/>
              <w:rPr>
                <w:sz w:val="22"/>
                <w:szCs w:val="22"/>
              </w:rPr>
            </w:pPr>
            <w:r w:rsidRPr="00F11E73">
              <w:rPr>
                <w:sz w:val="22"/>
                <w:szCs w:val="22"/>
              </w:rPr>
              <w:t>358 (8.90%)</w:t>
            </w:r>
          </w:p>
        </w:tc>
        <w:tc>
          <w:tcPr>
            <w:tcW w:w="667" w:type="pct"/>
            <w:shd w:val="clear" w:color="auto" w:fill="FFFFFF"/>
            <w:noWrap/>
            <w:vAlign w:val="center"/>
          </w:tcPr>
          <w:p w14:paraId="23186C5A" w14:textId="090F4DBF" w:rsidR="00814E8D" w:rsidRPr="00F11E73" w:rsidRDefault="009C5F84" w:rsidP="00F11E73">
            <w:pPr>
              <w:jc w:val="right"/>
              <w:rPr>
                <w:sz w:val="22"/>
                <w:szCs w:val="22"/>
              </w:rPr>
            </w:pPr>
            <w:r w:rsidRPr="00F11E73">
              <w:rPr>
                <w:sz w:val="22"/>
                <w:szCs w:val="22"/>
              </w:rPr>
              <w:t>134 (14.33%</w:t>
            </w:r>
            <w:r w:rsidRPr="00F11E73">
              <w:rPr>
                <w:rFonts w:eastAsia="SimSun"/>
                <w:sz w:val="22"/>
                <w:szCs w:val="22"/>
              </w:rPr>
              <w:t>)</w:t>
            </w:r>
          </w:p>
        </w:tc>
        <w:tc>
          <w:tcPr>
            <w:tcW w:w="750" w:type="pct"/>
            <w:shd w:val="clear" w:color="auto" w:fill="FFFFFF"/>
            <w:noWrap/>
            <w:vAlign w:val="center"/>
          </w:tcPr>
          <w:p w14:paraId="7B018019" w14:textId="1E17E128" w:rsidR="00814E8D" w:rsidRPr="00F11E73" w:rsidRDefault="009C5F84" w:rsidP="00F11E73">
            <w:pPr>
              <w:jc w:val="right"/>
              <w:rPr>
                <w:sz w:val="22"/>
                <w:szCs w:val="22"/>
              </w:rPr>
            </w:pPr>
            <w:r w:rsidRPr="00F11E73">
              <w:rPr>
                <w:sz w:val="22"/>
                <w:szCs w:val="22"/>
              </w:rPr>
              <w:t>252 (14.65%)</w:t>
            </w:r>
          </w:p>
        </w:tc>
        <w:tc>
          <w:tcPr>
            <w:tcW w:w="791" w:type="pct"/>
            <w:shd w:val="clear" w:color="auto" w:fill="FFFFFF"/>
            <w:noWrap/>
            <w:vAlign w:val="center"/>
          </w:tcPr>
          <w:p w14:paraId="039C4342" w14:textId="180E686F" w:rsidR="00814E8D" w:rsidRPr="00F11E73" w:rsidRDefault="009C5F84" w:rsidP="00F11E73">
            <w:pPr>
              <w:jc w:val="right"/>
              <w:rPr>
                <w:sz w:val="22"/>
                <w:szCs w:val="22"/>
              </w:rPr>
            </w:pPr>
            <w:r w:rsidRPr="00F11E73">
              <w:rPr>
                <w:sz w:val="22"/>
                <w:szCs w:val="22"/>
              </w:rPr>
              <w:t>439 (17.47%)</w:t>
            </w:r>
          </w:p>
        </w:tc>
        <w:tc>
          <w:tcPr>
            <w:tcW w:w="417" w:type="pct"/>
            <w:shd w:val="clear" w:color="auto" w:fill="FFFFFF"/>
            <w:noWrap/>
            <w:vAlign w:val="center"/>
          </w:tcPr>
          <w:p w14:paraId="1CCCFE57" w14:textId="77777777" w:rsidR="00814E8D" w:rsidRPr="00F11E73" w:rsidRDefault="00814E8D" w:rsidP="00F11E73">
            <w:pPr>
              <w:jc w:val="both"/>
              <w:rPr>
                <w:sz w:val="22"/>
                <w:szCs w:val="22"/>
              </w:rPr>
            </w:pPr>
          </w:p>
        </w:tc>
      </w:tr>
      <w:tr w:rsidR="009C5F84" w:rsidRPr="00F11E73" w14:paraId="3E3BD6B9" w14:textId="77777777" w:rsidTr="00747BAD">
        <w:trPr>
          <w:trHeight w:val="270"/>
        </w:trPr>
        <w:tc>
          <w:tcPr>
            <w:tcW w:w="1625" w:type="pct"/>
            <w:shd w:val="clear" w:color="auto" w:fill="FFFFFF"/>
            <w:noWrap/>
            <w:vAlign w:val="center"/>
          </w:tcPr>
          <w:p w14:paraId="505742E5" w14:textId="0BC3DD22" w:rsidR="00814E8D" w:rsidRPr="00F11E73" w:rsidRDefault="00814E8D" w:rsidP="00F11E73">
            <w:pPr>
              <w:jc w:val="both"/>
              <w:rPr>
                <w:sz w:val="22"/>
                <w:szCs w:val="22"/>
              </w:rPr>
            </w:pPr>
            <w:r w:rsidRPr="00F11E73">
              <w:rPr>
                <w:sz w:val="22"/>
                <w:szCs w:val="22"/>
              </w:rPr>
              <w:t xml:space="preserve">  Urbanized area with 250,000 to 999,999</w:t>
            </w:r>
          </w:p>
        </w:tc>
        <w:tc>
          <w:tcPr>
            <w:tcW w:w="750" w:type="pct"/>
            <w:shd w:val="clear" w:color="auto" w:fill="FFFFFF"/>
            <w:noWrap/>
            <w:vAlign w:val="center"/>
          </w:tcPr>
          <w:p w14:paraId="3EAE3D9B" w14:textId="30B1E215" w:rsidR="00814E8D" w:rsidRPr="00F11E73" w:rsidRDefault="009C5F84" w:rsidP="00F11E73">
            <w:pPr>
              <w:jc w:val="right"/>
              <w:rPr>
                <w:sz w:val="22"/>
                <w:szCs w:val="22"/>
                <w:highlight w:val="yellow"/>
              </w:rPr>
            </w:pPr>
            <w:r w:rsidRPr="00F11E73">
              <w:rPr>
                <w:sz w:val="22"/>
                <w:szCs w:val="22"/>
                <w:highlight w:val="yellow"/>
              </w:rPr>
              <w:t>428 (10.64%)</w:t>
            </w:r>
          </w:p>
        </w:tc>
        <w:tc>
          <w:tcPr>
            <w:tcW w:w="667" w:type="pct"/>
            <w:shd w:val="clear" w:color="auto" w:fill="FFFFFF"/>
            <w:noWrap/>
            <w:vAlign w:val="center"/>
          </w:tcPr>
          <w:p w14:paraId="3D7E4B29" w14:textId="248DF0BC" w:rsidR="00814E8D" w:rsidRPr="00F11E73" w:rsidRDefault="009C5F84" w:rsidP="00F11E73">
            <w:pPr>
              <w:jc w:val="right"/>
              <w:rPr>
                <w:rFonts w:eastAsiaTheme="minorEastAsia"/>
                <w:sz w:val="22"/>
                <w:szCs w:val="22"/>
                <w:highlight w:val="yellow"/>
              </w:rPr>
            </w:pPr>
            <w:r w:rsidRPr="00F11E73">
              <w:rPr>
                <w:sz w:val="22"/>
                <w:szCs w:val="22"/>
                <w:highlight w:val="yellow"/>
              </w:rPr>
              <w:t xml:space="preserve">102 </w:t>
            </w:r>
            <w:r w:rsidRPr="00F11E73">
              <w:rPr>
                <w:rFonts w:eastAsiaTheme="minorEastAsia"/>
                <w:sz w:val="22"/>
                <w:szCs w:val="22"/>
                <w:highlight w:val="yellow"/>
              </w:rPr>
              <w:t>(10.91%)</w:t>
            </w:r>
          </w:p>
        </w:tc>
        <w:tc>
          <w:tcPr>
            <w:tcW w:w="750" w:type="pct"/>
            <w:shd w:val="clear" w:color="auto" w:fill="FFFFFF"/>
            <w:noWrap/>
            <w:vAlign w:val="center"/>
          </w:tcPr>
          <w:p w14:paraId="3116344B" w14:textId="0C8E0B3B" w:rsidR="00814E8D" w:rsidRPr="00F11E73" w:rsidRDefault="009C5F84" w:rsidP="00F11E73">
            <w:pPr>
              <w:jc w:val="right"/>
              <w:rPr>
                <w:sz w:val="22"/>
                <w:szCs w:val="22"/>
                <w:highlight w:val="yellow"/>
              </w:rPr>
            </w:pPr>
            <w:r w:rsidRPr="00F11E73">
              <w:rPr>
                <w:sz w:val="22"/>
                <w:szCs w:val="22"/>
                <w:highlight w:val="yellow"/>
              </w:rPr>
              <w:t>218 (12.67%)</w:t>
            </w:r>
          </w:p>
        </w:tc>
        <w:tc>
          <w:tcPr>
            <w:tcW w:w="791" w:type="pct"/>
            <w:shd w:val="clear" w:color="auto" w:fill="FFFFFF"/>
            <w:noWrap/>
            <w:vAlign w:val="center"/>
          </w:tcPr>
          <w:p w14:paraId="3BE0F744" w14:textId="4C9BB40B" w:rsidR="00814E8D" w:rsidRPr="00F11E73" w:rsidRDefault="009C5F84" w:rsidP="00F11E73">
            <w:pPr>
              <w:jc w:val="right"/>
              <w:rPr>
                <w:sz w:val="22"/>
                <w:szCs w:val="22"/>
                <w:highlight w:val="yellow"/>
              </w:rPr>
            </w:pPr>
            <w:r w:rsidRPr="00F11E73">
              <w:rPr>
                <w:sz w:val="22"/>
                <w:szCs w:val="22"/>
                <w:highlight w:val="yellow"/>
              </w:rPr>
              <w:t>349 (13.89%)</w:t>
            </w:r>
          </w:p>
        </w:tc>
        <w:tc>
          <w:tcPr>
            <w:tcW w:w="417" w:type="pct"/>
            <w:shd w:val="clear" w:color="auto" w:fill="FFFFFF"/>
            <w:noWrap/>
            <w:vAlign w:val="center"/>
          </w:tcPr>
          <w:p w14:paraId="407AB343" w14:textId="77777777" w:rsidR="00814E8D" w:rsidRPr="00F11E73" w:rsidRDefault="00814E8D" w:rsidP="00F11E73">
            <w:pPr>
              <w:jc w:val="both"/>
              <w:rPr>
                <w:sz w:val="22"/>
                <w:szCs w:val="22"/>
                <w:highlight w:val="yellow"/>
              </w:rPr>
            </w:pPr>
          </w:p>
        </w:tc>
      </w:tr>
      <w:tr w:rsidR="009C5F84" w:rsidRPr="00F11E73" w14:paraId="326D79E0" w14:textId="77777777" w:rsidTr="00747BAD">
        <w:trPr>
          <w:trHeight w:val="270"/>
        </w:trPr>
        <w:tc>
          <w:tcPr>
            <w:tcW w:w="1625" w:type="pct"/>
            <w:shd w:val="clear" w:color="auto" w:fill="FFFFFF"/>
            <w:noWrap/>
            <w:vAlign w:val="center"/>
          </w:tcPr>
          <w:p w14:paraId="50557EE6" w14:textId="3EE0FCD9" w:rsidR="00814E8D" w:rsidRPr="00F11E73" w:rsidRDefault="00814E8D" w:rsidP="00F11E73">
            <w:pPr>
              <w:jc w:val="both"/>
              <w:rPr>
                <w:sz w:val="22"/>
                <w:szCs w:val="22"/>
              </w:rPr>
            </w:pPr>
            <w:r w:rsidRPr="00F11E73">
              <w:rPr>
                <w:sz w:val="22"/>
                <w:szCs w:val="22"/>
              </w:rPr>
              <w:t xml:space="preserve">  Urbanized area under 250,000</w:t>
            </w:r>
          </w:p>
        </w:tc>
        <w:tc>
          <w:tcPr>
            <w:tcW w:w="750" w:type="pct"/>
            <w:shd w:val="clear" w:color="auto" w:fill="FFFFFF"/>
            <w:noWrap/>
            <w:vAlign w:val="center"/>
          </w:tcPr>
          <w:p w14:paraId="7AF214EB" w14:textId="3C54024D" w:rsidR="00814E8D" w:rsidRPr="00F11E73" w:rsidRDefault="009C5F84" w:rsidP="00F11E73">
            <w:pPr>
              <w:jc w:val="right"/>
              <w:rPr>
                <w:sz w:val="22"/>
                <w:szCs w:val="22"/>
                <w:highlight w:val="yellow"/>
              </w:rPr>
            </w:pPr>
            <w:r w:rsidRPr="00F11E73">
              <w:rPr>
                <w:sz w:val="22"/>
                <w:szCs w:val="22"/>
                <w:highlight w:val="yellow"/>
              </w:rPr>
              <w:t>303 (7.53%)</w:t>
            </w:r>
          </w:p>
        </w:tc>
        <w:tc>
          <w:tcPr>
            <w:tcW w:w="667" w:type="pct"/>
            <w:shd w:val="clear" w:color="auto" w:fill="FFFFFF"/>
            <w:noWrap/>
            <w:vAlign w:val="center"/>
          </w:tcPr>
          <w:p w14:paraId="341973A2" w14:textId="75D7285F" w:rsidR="00814E8D" w:rsidRPr="00F11E73" w:rsidRDefault="009C5F84" w:rsidP="00F11E73">
            <w:pPr>
              <w:jc w:val="right"/>
              <w:rPr>
                <w:sz w:val="22"/>
                <w:szCs w:val="22"/>
                <w:highlight w:val="yellow"/>
              </w:rPr>
            </w:pPr>
            <w:r w:rsidRPr="00F11E73">
              <w:rPr>
                <w:sz w:val="22"/>
                <w:szCs w:val="22"/>
                <w:highlight w:val="yellow"/>
              </w:rPr>
              <w:t>83 (8.88%)</w:t>
            </w:r>
          </w:p>
        </w:tc>
        <w:tc>
          <w:tcPr>
            <w:tcW w:w="750" w:type="pct"/>
            <w:shd w:val="clear" w:color="auto" w:fill="FFFFFF"/>
            <w:noWrap/>
            <w:vAlign w:val="center"/>
          </w:tcPr>
          <w:p w14:paraId="4F75D5DB" w14:textId="0C455AC5" w:rsidR="00814E8D" w:rsidRPr="00F11E73" w:rsidRDefault="009C5F84" w:rsidP="00F11E73">
            <w:pPr>
              <w:jc w:val="right"/>
              <w:rPr>
                <w:rFonts w:eastAsiaTheme="minorEastAsia"/>
                <w:sz w:val="22"/>
                <w:szCs w:val="22"/>
                <w:highlight w:val="yellow"/>
              </w:rPr>
            </w:pPr>
            <w:r w:rsidRPr="00F11E73">
              <w:rPr>
                <w:sz w:val="22"/>
                <w:szCs w:val="22"/>
                <w:highlight w:val="yellow"/>
              </w:rPr>
              <w:t xml:space="preserve">165 </w:t>
            </w:r>
            <w:r w:rsidRPr="00F11E73">
              <w:rPr>
                <w:rFonts w:eastAsiaTheme="minorEastAsia"/>
                <w:sz w:val="22"/>
                <w:szCs w:val="22"/>
                <w:highlight w:val="yellow"/>
              </w:rPr>
              <w:t>(9.59%)</w:t>
            </w:r>
          </w:p>
        </w:tc>
        <w:tc>
          <w:tcPr>
            <w:tcW w:w="791" w:type="pct"/>
            <w:shd w:val="clear" w:color="auto" w:fill="FFFFFF"/>
            <w:noWrap/>
            <w:vAlign w:val="center"/>
          </w:tcPr>
          <w:p w14:paraId="769A21C0" w14:textId="3220C1DA" w:rsidR="00814E8D" w:rsidRPr="00F11E73" w:rsidRDefault="009C5F84" w:rsidP="00F11E73">
            <w:pPr>
              <w:jc w:val="right"/>
              <w:rPr>
                <w:sz w:val="22"/>
                <w:szCs w:val="22"/>
                <w:highlight w:val="yellow"/>
              </w:rPr>
            </w:pPr>
            <w:r w:rsidRPr="00F11E73">
              <w:rPr>
                <w:sz w:val="22"/>
                <w:szCs w:val="22"/>
                <w:highlight w:val="yellow"/>
              </w:rPr>
              <w:t>234 (</w:t>
            </w:r>
            <w:r w:rsidR="00C63986" w:rsidRPr="00F11E73">
              <w:rPr>
                <w:sz w:val="22"/>
                <w:szCs w:val="22"/>
                <w:highlight w:val="yellow"/>
              </w:rPr>
              <w:t>9.31%</w:t>
            </w:r>
            <w:r w:rsidRPr="00F11E73">
              <w:rPr>
                <w:sz w:val="22"/>
                <w:szCs w:val="22"/>
                <w:highlight w:val="yellow"/>
              </w:rPr>
              <w:t>)</w:t>
            </w:r>
          </w:p>
        </w:tc>
        <w:tc>
          <w:tcPr>
            <w:tcW w:w="417" w:type="pct"/>
            <w:shd w:val="clear" w:color="auto" w:fill="FFFFFF"/>
            <w:noWrap/>
            <w:vAlign w:val="center"/>
          </w:tcPr>
          <w:p w14:paraId="120DB1DF" w14:textId="77777777" w:rsidR="00814E8D" w:rsidRPr="00F11E73" w:rsidRDefault="00814E8D" w:rsidP="00F11E73">
            <w:pPr>
              <w:jc w:val="both"/>
              <w:rPr>
                <w:sz w:val="22"/>
                <w:szCs w:val="22"/>
                <w:highlight w:val="yellow"/>
              </w:rPr>
            </w:pPr>
          </w:p>
        </w:tc>
      </w:tr>
      <w:tr w:rsidR="009C5F84" w:rsidRPr="00F11E73" w14:paraId="3DACD94D" w14:textId="77777777" w:rsidTr="00747BAD">
        <w:trPr>
          <w:trHeight w:val="270"/>
        </w:trPr>
        <w:tc>
          <w:tcPr>
            <w:tcW w:w="1625" w:type="pct"/>
            <w:shd w:val="clear" w:color="auto" w:fill="FFFFFF"/>
            <w:noWrap/>
            <w:vAlign w:val="center"/>
          </w:tcPr>
          <w:p w14:paraId="0F90FD86" w14:textId="727CBE42" w:rsidR="00814E8D" w:rsidRPr="00F11E73" w:rsidRDefault="00814E8D" w:rsidP="00F11E73">
            <w:pPr>
              <w:jc w:val="both"/>
              <w:rPr>
                <w:sz w:val="22"/>
                <w:szCs w:val="22"/>
              </w:rPr>
            </w:pPr>
            <w:r w:rsidRPr="00F11E73">
              <w:rPr>
                <w:sz w:val="22"/>
                <w:szCs w:val="22"/>
              </w:rPr>
              <w:t xml:space="preserve">  Urban place 25,000 or more outside urbanized area</w:t>
            </w:r>
          </w:p>
        </w:tc>
        <w:tc>
          <w:tcPr>
            <w:tcW w:w="750" w:type="pct"/>
            <w:shd w:val="clear" w:color="auto" w:fill="FFFFFF"/>
            <w:noWrap/>
            <w:vAlign w:val="center"/>
          </w:tcPr>
          <w:p w14:paraId="485AC35D" w14:textId="76A2DF48" w:rsidR="00814E8D" w:rsidRPr="00F11E73" w:rsidRDefault="009C5F84" w:rsidP="00F11E73">
            <w:pPr>
              <w:jc w:val="right"/>
              <w:rPr>
                <w:sz w:val="22"/>
                <w:szCs w:val="22"/>
                <w:highlight w:val="yellow"/>
              </w:rPr>
            </w:pPr>
            <w:r w:rsidRPr="00F11E73">
              <w:rPr>
                <w:sz w:val="22"/>
                <w:szCs w:val="22"/>
                <w:highlight w:val="yellow"/>
              </w:rPr>
              <w:t>148 (3.68%)</w:t>
            </w:r>
          </w:p>
        </w:tc>
        <w:tc>
          <w:tcPr>
            <w:tcW w:w="667" w:type="pct"/>
            <w:shd w:val="clear" w:color="auto" w:fill="FFFFFF"/>
            <w:noWrap/>
            <w:vAlign w:val="center"/>
          </w:tcPr>
          <w:p w14:paraId="5D059DC7" w14:textId="463A10F5" w:rsidR="00814E8D" w:rsidRPr="00F11E73" w:rsidRDefault="009C5F84" w:rsidP="00F11E73">
            <w:pPr>
              <w:jc w:val="right"/>
              <w:rPr>
                <w:sz w:val="22"/>
                <w:szCs w:val="22"/>
                <w:highlight w:val="yellow"/>
              </w:rPr>
            </w:pPr>
            <w:r w:rsidRPr="00F11E73">
              <w:rPr>
                <w:sz w:val="22"/>
                <w:szCs w:val="22"/>
                <w:highlight w:val="yellow"/>
              </w:rPr>
              <w:t>39 (4.17%)</w:t>
            </w:r>
          </w:p>
        </w:tc>
        <w:tc>
          <w:tcPr>
            <w:tcW w:w="750" w:type="pct"/>
            <w:shd w:val="clear" w:color="auto" w:fill="FFFFFF"/>
            <w:noWrap/>
            <w:vAlign w:val="center"/>
          </w:tcPr>
          <w:p w14:paraId="3B82B0B6" w14:textId="2A886617" w:rsidR="00814E8D" w:rsidRPr="00F11E73" w:rsidRDefault="009C5F84" w:rsidP="00F11E73">
            <w:pPr>
              <w:jc w:val="right"/>
              <w:rPr>
                <w:sz w:val="22"/>
                <w:szCs w:val="22"/>
                <w:highlight w:val="yellow"/>
              </w:rPr>
            </w:pPr>
            <w:r w:rsidRPr="00F11E73">
              <w:rPr>
                <w:sz w:val="22"/>
                <w:szCs w:val="22"/>
                <w:highlight w:val="yellow"/>
              </w:rPr>
              <w:t>79 (4.59%)</w:t>
            </w:r>
          </w:p>
        </w:tc>
        <w:tc>
          <w:tcPr>
            <w:tcW w:w="791" w:type="pct"/>
            <w:shd w:val="clear" w:color="auto" w:fill="FFFFFF"/>
            <w:noWrap/>
            <w:vAlign w:val="center"/>
          </w:tcPr>
          <w:p w14:paraId="1FC212A8" w14:textId="3B195963" w:rsidR="00814E8D" w:rsidRPr="00F11E73" w:rsidRDefault="009C5F84" w:rsidP="00F11E73">
            <w:pPr>
              <w:jc w:val="right"/>
              <w:rPr>
                <w:sz w:val="22"/>
                <w:szCs w:val="22"/>
                <w:highlight w:val="yellow"/>
              </w:rPr>
            </w:pPr>
            <w:r w:rsidRPr="00F11E73">
              <w:rPr>
                <w:sz w:val="22"/>
                <w:szCs w:val="22"/>
                <w:highlight w:val="yellow"/>
              </w:rPr>
              <w:t>108</w:t>
            </w:r>
            <w:r w:rsidR="00C63986" w:rsidRPr="00F11E73">
              <w:rPr>
                <w:sz w:val="22"/>
                <w:szCs w:val="22"/>
                <w:highlight w:val="yellow"/>
              </w:rPr>
              <w:t xml:space="preserve"> (4.30%)</w:t>
            </w:r>
          </w:p>
        </w:tc>
        <w:tc>
          <w:tcPr>
            <w:tcW w:w="417" w:type="pct"/>
            <w:shd w:val="clear" w:color="auto" w:fill="FFFFFF"/>
            <w:noWrap/>
            <w:vAlign w:val="center"/>
          </w:tcPr>
          <w:p w14:paraId="73527704" w14:textId="77777777" w:rsidR="00814E8D" w:rsidRPr="00F11E73" w:rsidRDefault="00814E8D" w:rsidP="00F11E73">
            <w:pPr>
              <w:jc w:val="both"/>
              <w:rPr>
                <w:sz w:val="22"/>
                <w:szCs w:val="22"/>
                <w:highlight w:val="yellow"/>
              </w:rPr>
            </w:pPr>
          </w:p>
        </w:tc>
      </w:tr>
      <w:tr w:rsidR="009C5F84" w:rsidRPr="00F11E73" w14:paraId="6D2E9731" w14:textId="77777777" w:rsidTr="00747BAD">
        <w:trPr>
          <w:trHeight w:val="270"/>
        </w:trPr>
        <w:tc>
          <w:tcPr>
            <w:tcW w:w="1625" w:type="pct"/>
            <w:shd w:val="clear" w:color="auto" w:fill="FFFFFF"/>
            <w:noWrap/>
            <w:vAlign w:val="center"/>
          </w:tcPr>
          <w:p w14:paraId="66A01D9E" w14:textId="2DC25A6B" w:rsidR="00814E8D" w:rsidRPr="00F11E73" w:rsidRDefault="00814E8D" w:rsidP="00F11E73">
            <w:pPr>
              <w:jc w:val="both"/>
              <w:rPr>
                <w:sz w:val="22"/>
                <w:szCs w:val="22"/>
              </w:rPr>
            </w:pPr>
            <w:r w:rsidRPr="00F11E73">
              <w:rPr>
                <w:sz w:val="22"/>
                <w:szCs w:val="22"/>
              </w:rPr>
              <w:t xml:space="preserve">  Urban place 10,000 to 24,999 outside urbanized area</w:t>
            </w:r>
          </w:p>
        </w:tc>
        <w:tc>
          <w:tcPr>
            <w:tcW w:w="750" w:type="pct"/>
            <w:shd w:val="clear" w:color="auto" w:fill="FFFFFF"/>
            <w:noWrap/>
            <w:vAlign w:val="center"/>
          </w:tcPr>
          <w:p w14:paraId="279D27B1" w14:textId="765F776B" w:rsidR="00814E8D" w:rsidRPr="00F11E73" w:rsidRDefault="009C5F84" w:rsidP="00F11E73">
            <w:pPr>
              <w:jc w:val="right"/>
              <w:rPr>
                <w:sz w:val="22"/>
                <w:szCs w:val="22"/>
                <w:highlight w:val="yellow"/>
              </w:rPr>
            </w:pPr>
            <w:r w:rsidRPr="00F11E73">
              <w:rPr>
                <w:sz w:val="22"/>
                <w:szCs w:val="22"/>
                <w:highlight w:val="yellow"/>
              </w:rPr>
              <w:t>172 (4.28%)</w:t>
            </w:r>
          </w:p>
        </w:tc>
        <w:tc>
          <w:tcPr>
            <w:tcW w:w="667" w:type="pct"/>
            <w:shd w:val="clear" w:color="auto" w:fill="FFFFFF"/>
            <w:noWrap/>
            <w:vAlign w:val="center"/>
          </w:tcPr>
          <w:p w14:paraId="53087D5A" w14:textId="166DE7F3" w:rsidR="00814E8D" w:rsidRPr="00F11E73" w:rsidRDefault="009C5F84" w:rsidP="00F11E73">
            <w:pPr>
              <w:jc w:val="right"/>
              <w:rPr>
                <w:sz w:val="22"/>
                <w:szCs w:val="22"/>
                <w:highlight w:val="yellow"/>
              </w:rPr>
            </w:pPr>
            <w:r w:rsidRPr="00F11E73">
              <w:rPr>
                <w:sz w:val="22"/>
                <w:szCs w:val="22"/>
                <w:highlight w:val="yellow"/>
              </w:rPr>
              <w:t>43 (4.60%)</w:t>
            </w:r>
          </w:p>
        </w:tc>
        <w:tc>
          <w:tcPr>
            <w:tcW w:w="750" w:type="pct"/>
            <w:shd w:val="clear" w:color="auto" w:fill="FFFFFF"/>
            <w:noWrap/>
            <w:vAlign w:val="center"/>
          </w:tcPr>
          <w:p w14:paraId="07BDCD8D" w14:textId="56CBA495" w:rsidR="00814E8D" w:rsidRPr="00F11E73" w:rsidRDefault="009C5F84" w:rsidP="00F11E73">
            <w:pPr>
              <w:jc w:val="right"/>
              <w:rPr>
                <w:sz w:val="22"/>
                <w:szCs w:val="22"/>
                <w:highlight w:val="yellow"/>
              </w:rPr>
            </w:pPr>
            <w:r w:rsidRPr="00F11E73">
              <w:rPr>
                <w:sz w:val="22"/>
                <w:szCs w:val="22"/>
                <w:highlight w:val="yellow"/>
              </w:rPr>
              <w:t>59 (3.43%)</w:t>
            </w:r>
          </w:p>
        </w:tc>
        <w:tc>
          <w:tcPr>
            <w:tcW w:w="791" w:type="pct"/>
            <w:shd w:val="clear" w:color="auto" w:fill="FFFFFF"/>
            <w:noWrap/>
            <w:vAlign w:val="center"/>
          </w:tcPr>
          <w:p w14:paraId="17834443" w14:textId="3E93E93A" w:rsidR="00814E8D" w:rsidRPr="00F11E73" w:rsidRDefault="009C5F84" w:rsidP="00F11E73">
            <w:pPr>
              <w:jc w:val="right"/>
              <w:rPr>
                <w:sz w:val="22"/>
                <w:szCs w:val="22"/>
                <w:highlight w:val="yellow"/>
              </w:rPr>
            </w:pPr>
            <w:r w:rsidRPr="00F11E73">
              <w:rPr>
                <w:sz w:val="22"/>
                <w:szCs w:val="22"/>
                <w:highlight w:val="yellow"/>
              </w:rPr>
              <w:t>96</w:t>
            </w:r>
            <w:r w:rsidR="00C63986" w:rsidRPr="00F11E73">
              <w:rPr>
                <w:sz w:val="22"/>
                <w:szCs w:val="22"/>
                <w:highlight w:val="yellow"/>
              </w:rPr>
              <w:t xml:space="preserve"> (3.82%)</w:t>
            </w:r>
          </w:p>
        </w:tc>
        <w:tc>
          <w:tcPr>
            <w:tcW w:w="417" w:type="pct"/>
            <w:shd w:val="clear" w:color="auto" w:fill="FFFFFF"/>
            <w:noWrap/>
            <w:vAlign w:val="center"/>
          </w:tcPr>
          <w:p w14:paraId="21DE6DFF" w14:textId="77777777" w:rsidR="00814E8D" w:rsidRPr="00F11E73" w:rsidRDefault="00814E8D" w:rsidP="00F11E73">
            <w:pPr>
              <w:jc w:val="both"/>
              <w:rPr>
                <w:sz w:val="22"/>
                <w:szCs w:val="22"/>
                <w:highlight w:val="yellow"/>
              </w:rPr>
            </w:pPr>
          </w:p>
        </w:tc>
      </w:tr>
      <w:tr w:rsidR="009C5F84" w:rsidRPr="00F11E73" w14:paraId="21E601FF" w14:textId="77777777" w:rsidTr="00747BAD">
        <w:trPr>
          <w:trHeight w:val="270"/>
        </w:trPr>
        <w:tc>
          <w:tcPr>
            <w:tcW w:w="1625" w:type="pct"/>
            <w:shd w:val="clear" w:color="auto" w:fill="FFFFFF"/>
            <w:noWrap/>
            <w:vAlign w:val="center"/>
          </w:tcPr>
          <w:p w14:paraId="3527AF11" w14:textId="6FFFC813" w:rsidR="00F071B4" w:rsidRPr="00F11E73" w:rsidRDefault="00F071B4" w:rsidP="00F11E73">
            <w:pPr>
              <w:jc w:val="both"/>
              <w:rPr>
                <w:sz w:val="22"/>
                <w:szCs w:val="22"/>
              </w:rPr>
            </w:pPr>
            <w:r w:rsidRPr="00F11E73">
              <w:rPr>
                <w:sz w:val="22"/>
                <w:szCs w:val="22"/>
              </w:rPr>
              <w:t xml:space="preserve">  Urban place 2,500 to 9,999 outside urbanized area</w:t>
            </w:r>
          </w:p>
        </w:tc>
        <w:tc>
          <w:tcPr>
            <w:tcW w:w="750" w:type="pct"/>
            <w:shd w:val="clear" w:color="auto" w:fill="FFFFFF"/>
            <w:noWrap/>
            <w:vAlign w:val="center"/>
          </w:tcPr>
          <w:p w14:paraId="4E73FB30" w14:textId="53FE6B78" w:rsidR="00F071B4" w:rsidRPr="00F11E73" w:rsidRDefault="009C5F84" w:rsidP="00F11E73">
            <w:pPr>
              <w:jc w:val="right"/>
              <w:rPr>
                <w:sz w:val="22"/>
                <w:szCs w:val="22"/>
                <w:highlight w:val="yellow"/>
              </w:rPr>
            </w:pPr>
            <w:r w:rsidRPr="00F11E73">
              <w:rPr>
                <w:sz w:val="22"/>
                <w:szCs w:val="22"/>
                <w:highlight w:val="yellow"/>
              </w:rPr>
              <w:t>395 (9.82%)</w:t>
            </w:r>
          </w:p>
        </w:tc>
        <w:tc>
          <w:tcPr>
            <w:tcW w:w="667" w:type="pct"/>
            <w:shd w:val="clear" w:color="auto" w:fill="FFFFFF"/>
            <w:noWrap/>
            <w:vAlign w:val="center"/>
          </w:tcPr>
          <w:p w14:paraId="52783C60" w14:textId="57EB2801" w:rsidR="00F071B4" w:rsidRPr="00F11E73" w:rsidRDefault="009C5F84" w:rsidP="00F11E73">
            <w:pPr>
              <w:jc w:val="right"/>
              <w:rPr>
                <w:sz w:val="22"/>
                <w:szCs w:val="22"/>
                <w:highlight w:val="yellow"/>
              </w:rPr>
            </w:pPr>
            <w:r w:rsidRPr="00F11E73">
              <w:rPr>
                <w:sz w:val="22"/>
                <w:szCs w:val="22"/>
                <w:highlight w:val="yellow"/>
              </w:rPr>
              <w:t>73 (7.81%)</w:t>
            </w:r>
          </w:p>
        </w:tc>
        <w:tc>
          <w:tcPr>
            <w:tcW w:w="750" w:type="pct"/>
            <w:shd w:val="clear" w:color="auto" w:fill="FFFFFF"/>
            <w:noWrap/>
            <w:vAlign w:val="center"/>
          </w:tcPr>
          <w:p w14:paraId="69B103D7" w14:textId="1BB8CD6F" w:rsidR="00F071B4" w:rsidRPr="00F11E73" w:rsidRDefault="009C5F84" w:rsidP="00F11E73">
            <w:pPr>
              <w:jc w:val="right"/>
              <w:rPr>
                <w:sz w:val="22"/>
                <w:szCs w:val="22"/>
                <w:highlight w:val="yellow"/>
              </w:rPr>
            </w:pPr>
            <w:r w:rsidRPr="00F11E73">
              <w:rPr>
                <w:sz w:val="22"/>
                <w:szCs w:val="22"/>
                <w:highlight w:val="yellow"/>
              </w:rPr>
              <w:t>145 (8.43%)</w:t>
            </w:r>
          </w:p>
        </w:tc>
        <w:tc>
          <w:tcPr>
            <w:tcW w:w="791" w:type="pct"/>
            <w:shd w:val="clear" w:color="auto" w:fill="FFFFFF"/>
            <w:noWrap/>
            <w:vAlign w:val="center"/>
          </w:tcPr>
          <w:p w14:paraId="46ED4E8F" w14:textId="7756F3BE" w:rsidR="00F071B4" w:rsidRPr="00F11E73" w:rsidRDefault="009C5F84" w:rsidP="00F11E73">
            <w:pPr>
              <w:jc w:val="right"/>
              <w:rPr>
                <w:sz w:val="22"/>
                <w:szCs w:val="22"/>
                <w:highlight w:val="yellow"/>
              </w:rPr>
            </w:pPr>
            <w:r w:rsidRPr="00F11E73">
              <w:rPr>
                <w:sz w:val="22"/>
                <w:szCs w:val="22"/>
                <w:highlight w:val="yellow"/>
              </w:rPr>
              <w:t>164</w:t>
            </w:r>
            <w:r w:rsidR="00C63986" w:rsidRPr="00F11E73">
              <w:rPr>
                <w:sz w:val="22"/>
                <w:szCs w:val="22"/>
                <w:highlight w:val="yellow"/>
              </w:rPr>
              <w:t xml:space="preserve"> (6.53%)</w:t>
            </w:r>
          </w:p>
        </w:tc>
        <w:tc>
          <w:tcPr>
            <w:tcW w:w="417" w:type="pct"/>
            <w:shd w:val="clear" w:color="auto" w:fill="FFFFFF"/>
            <w:noWrap/>
            <w:vAlign w:val="center"/>
          </w:tcPr>
          <w:p w14:paraId="18EB9CAB" w14:textId="77777777" w:rsidR="00F071B4" w:rsidRPr="00F11E73" w:rsidRDefault="00F071B4" w:rsidP="00F11E73">
            <w:pPr>
              <w:jc w:val="both"/>
              <w:rPr>
                <w:sz w:val="22"/>
                <w:szCs w:val="22"/>
                <w:highlight w:val="yellow"/>
              </w:rPr>
            </w:pPr>
          </w:p>
        </w:tc>
      </w:tr>
      <w:tr w:rsidR="009C5F84" w:rsidRPr="00F11E73" w14:paraId="0673E82A" w14:textId="77777777" w:rsidTr="00747BAD">
        <w:trPr>
          <w:trHeight w:val="270"/>
        </w:trPr>
        <w:tc>
          <w:tcPr>
            <w:tcW w:w="1625" w:type="pct"/>
            <w:shd w:val="clear" w:color="auto" w:fill="FFFFFF"/>
            <w:noWrap/>
            <w:vAlign w:val="center"/>
          </w:tcPr>
          <w:p w14:paraId="7AB2A095" w14:textId="491E2CDD" w:rsidR="00814E8D" w:rsidRPr="00F11E73" w:rsidRDefault="00F071B4" w:rsidP="00F11E73">
            <w:pPr>
              <w:jc w:val="both"/>
              <w:rPr>
                <w:sz w:val="22"/>
                <w:szCs w:val="22"/>
              </w:rPr>
            </w:pPr>
            <w:r w:rsidRPr="00F11E73">
              <w:rPr>
                <w:sz w:val="22"/>
                <w:szCs w:val="22"/>
              </w:rPr>
              <w:t xml:space="preserve">  Rural</w:t>
            </w:r>
          </w:p>
        </w:tc>
        <w:tc>
          <w:tcPr>
            <w:tcW w:w="750" w:type="pct"/>
            <w:shd w:val="clear" w:color="auto" w:fill="FFFFFF"/>
            <w:noWrap/>
            <w:vAlign w:val="center"/>
          </w:tcPr>
          <w:p w14:paraId="31C776F4" w14:textId="700A97F3" w:rsidR="00814E8D" w:rsidRPr="00F11E73" w:rsidRDefault="009C5F84" w:rsidP="00F11E73">
            <w:pPr>
              <w:jc w:val="right"/>
              <w:rPr>
                <w:sz w:val="22"/>
                <w:szCs w:val="22"/>
                <w:highlight w:val="yellow"/>
              </w:rPr>
            </w:pPr>
            <w:r w:rsidRPr="00F11E73">
              <w:rPr>
                <w:sz w:val="22"/>
                <w:szCs w:val="22"/>
                <w:highlight w:val="yellow"/>
              </w:rPr>
              <w:t>1908 (47.44%)</w:t>
            </w:r>
          </w:p>
        </w:tc>
        <w:tc>
          <w:tcPr>
            <w:tcW w:w="667" w:type="pct"/>
            <w:shd w:val="clear" w:color="auto" w:fill="FFFFFF"/>
            <w:noWrap/>
            <w:vAlign w:val="center"/>
          </w:tcPr>
          <w:p w14:paraId="4C2B4E2C" w14:textId="1D72C144" w:rsidR="00814E8D" w:rsidRPr="00F11E73" w:rsidRDefault="009C5F84" w:rsidP="00F11E73">
            <w:pPr>
              <w:jc w:val="right"/>
              <w:rPr>
                <w:sz w:val="22"/>
                <w:szCs w:val="22"/>
                <w:highlight w:val="yellow"/>
              </w:rPr>
            </w:pPr>
            <w:r w:rsidRPr="00F11E73">
              <w:rPr>
                <w:sz w:val="22"/>
                <w:szCs w:val="22"/>
                <w:highlight w:val="yellow"/>
              </w:rPr>
              <w:t>351 (37.54%)</w:t>
            </w:r>
          </w:p>
        </w:tc>
        <w:tc>
          <w:tcPr>
            <w:tcW w:w="750" w:type="pct"/>
            <w:shd w:val="clear" w:color="auto" w:fill="FFFFFF"/>
            <w:noWrap/>
            <w:vAlign w:val="center"/>
          </w:tcPr>
          <w:p w14:paraId="3462DE87" w14:textId="3048BCF9" w:rsidR="00814E8D" w:rsidRPr="00F11E73" w:rsidRDefault="009C5F84" w:rsidP="00F11E73">
            <w:pPr>
              <w:jc w:val="right"/>
              <w:rPr>
                <w:sz w:val="22"/>
                <w:szCs w:val="22"/>
                <w:highlight w:val="yellow"/>
              </w:rPr>
            </w:pPr>
            <w:r w:rsidRPr="00F11E73">
              <w:rPr>
                <w:sz w:val="22"/>
                <w:szCs w:val="22"/>
                <w:highlight w:val="yellow"/>
              </w:rPr>
              <w:t>520 (30.23%)</w:t>
            </w:r>
          </w:p>
        </w:tc>
        <w:tc>
          <w:tcPr>
            <w:tcW w:w="791" w:type="pct"/>
            <w:shd w:val="clear" w:color="auto" w:fill="FFFFFF"/>
            <w:noWrap/>
            <w:vAlign w:val="center"/>
          </w:tcPr>
          <w:p w14:paraId="4FFFB423" w14:textId="12CADB41" w:rsidR="00814E8D" w:rsidRPr="00F11E73" w:rsidRDefault="009C5F84" w:rsidP="00F11E73">
            <w:pPr>
              <w:jc w:val="right"/>
              <w:rPr>
                <w:sz w:val="22"/>
                <w:szCs w:val="22"/>
                <w:highlight w:val="yellow"/>
              </w:rPr>
            </w:pPr>
            <w:r w:rsidRPr="00F11E73">
              <w:rPr>
                <w:sz w:val="22"/>
                <w:szCs w:val="22"/>
                <w:highlight w:val="yellow"/>
              </w:rPr>
              <w:t>679</w:t>
            </w:r>
            <w:r w:rsidR="00C63986" w:rsidRPr="00F11E73">
              <w:rPr>
                <w:sz w:val="22"/>
                <w:szCs w:val="22"/>
                <w:highlight w:val="yellow"/>
              </w:rPr>
              <w:t xml:space="preserve"> (27.02%)</w:t>
            </w:r>
          </w:p>
        </w:tc>
        <w:tc>
          <w:tcPr>
            <w:tcW w:w="417" w:type="pct"/>
            <w:shd w:val="clear" w:color="auto" w:fill="FFFFFF"/>
            <w:noWrap/>
            <w:vAlign w:val="center"/>
          </w:tcPr>
          <w:p w14:paraId="1FAE8D6A" w14:textId="77777777" w:rsidR="00814E8D" w:rsidRPr="00F11E73" w:rsidRDefault="00814E8D" w:rsidP="00F11E73">
            <w:pPr>
              <w:jc w:val="both"/>
              <w:rPr>
                <w:sz w:val="22"/>
                <w:szCs w:val="22"/>
                <w:highlight w:val="yellow"/>
              </w:rPr>
            </w:pPr>
          </w:p>
        </w:tc>
      </w:tr>
      <w:tr w:rsidR="009C5F84" w:rsidRPr="00F11E73" w14:paraId="2482E49A" w14:textId="77777777" w:rsidTr="00747BAD">
        <w:trPr>
          <w:trHeight w:val="270"/>
        </w:trPr>
        <w:tc>
          <w:tcPr>
            <w:tcW w:w="1625" w:type="pct"/>
            <w:shd w:val="clear" w:color="auto" w:fill="FFFFFF"/>
            <w:noWrap/>
            <w:vAlign w:val="center"/>
          </w:tcPr>
          <w:p w14:paraId="43443EA2" w14:textId="70A7AEBA" w:rsidR="00814E8D" w:rsidRPr="00F11E73" w:rsidRDefault="00814E8D" w:rsidP="00F11E73">
            <w:pPr>
              <w:jc w:val="both"/>
              <w:rPr>
                <w:sz w:val="22"/>
                <w:szCs w:val="22"/>
              </w:rPr>
            </w:pPr>
            <w:r w:rsidRPr="00F11E73">
              <w:rPr>
                <w:sz w:val="22"/>
                <w:szCs w:val="22"/>
              </w:rPr>
              <w:t xml:space="preserve">Standard </w:t>
            </w:r>
            <w:r w:rsidR="006D693D">
              <w:rPr>
                <w:sz w:val="22"/>
                <w:szCs w:val="22"/>
              </w:rPr>
              <w:t>m</w:t>
            </w:r>
            <w:r w:rsidRPr="00F11E73">
              <w:rPr>
                <w:sz w:val="22"/>
                <w:szCs w:val="22"/>
              </w:rPr>
              <w:t xml:space="preserve">etropolitan </w:t>
            </w:r>
            <w:r w:rsidR="006D693D">
              <w:rPr>
                <w:sz w:val="22"/>
                <w:szCs w:val="22"/>
              </w:rPr>
              <w:t>s</w:t>
            </w:r>
            <w:r w:rsidRPr="00F11E73">
              <w:rPr>
                <w:sz w:val="22"/>
                <w:szCs w:val="22"/>
              </w:rPr>
              <w:t xml:space="preserve">tatistical Area </w:t>
            </w:r>
          </w:p>
        </w:tc>
        <w:tc>
          <w:tcPr>
            <w:tcW w:w="750" w:type="pct"/>
            <w:shd w:val="clear" w:color="auto" w:fill="FFFFFF"/>
            <w:noWrap/>
            <w:vAlign w:val="center"/>
          </w:tcPr>
          <w:p w14:paraId="2C23B78D" w14:textId="77777777" w:rsidR="00814E8D" w:rsidRPr="00F11E73" w:rsidRDefault="00814E8D" w:rsidP="00F11E73">
            <w:pPr>
              <w:jc w:val="right"/>
              <w:rPr>
                <w:sz w:val="22"/>
                <w:szCs w:val="22"/>
              </w:rPr>
            </w:pPr>
          </w:p>
        </w:tc>
        <w:tc>
          <w:tcPr>
            <w:tcW w:w="667" w:type="pct"/>
            <w:shd w:val="clear" w:color="auto" w:fill="FFFFFF"/>
            <w:noWrap/>
            <w:vAlign w:val="center"/>
          </w:tcPr>
          <w:p w14:paraId="714568DF" w14:textId="77777777" w:rsidR="00814E8D" w:rsidRPr="00F11E73" w:rsidRDefault="00814E8D" w:rsidP="00F11E73">
            <w:pPr>
              <w:jc w:val="right"/>
              <w:rPr>
                <w:sz w:val="22"/>
                <w:szCs w:val="22"/>
              </w:rPr>
            </w:pPr>
          </w:p>
        </w:tc>
        <w:tc>
          <w:tcPr>
            <w:tcW w:w="750" w:type="pct"/>
            <w:shd w:val="clear" w:color="auto" w:fill="FFFFFF"/>
            <w:noWrap/>
            <w:vAlign w:val="center"/>
          </w:tcPr>
          <w:p w14:paraId="0ED52C40" w14:textId="77777777" w:rsidR="00814E8D" w:rsidRPr="00F11E73" w:rsidRDefault="00814E8D" w:rsidP="00F11E73">
            <w:pPr>
              <w:jc w:val="right"/>
              <w:rPr>
                <w:sz w:val="22"/>
                <w:szCs w:val="22"/>
              </w:rPr>
            </w:pPr>
          </w:p>
        </w:tc>
        <w:tc>
          <w:tcPr>
            <w:tcW w:w="791" w:type="pct"/>
            <w:shd w:val="clear" w:color="auto" w:fill="FFFFFF"/>
            <w:noWrap/>
            <w:vAlign w:val="center"/>
          </w:tcPr>
          <w:p w14:paraId="230F42D5" w14:textId="77777777" w:rsidR="00814E8D" w:rsidRPr="00F11E73" w:rsidRDefault="00814E8D" w:rsidP="00F11E73">
            <w:pPr>
              <w:jc w:val="right"/>
              <w:rPr>
                <w:sz w:val="22"/>
                <w:szCs w:val="22"/>
              </w:rPr>
            </w:pPr>
          </w:p>
        </w:tc>
        <w:tc>
          <w:tcPr>
            <w:tcW w:w="417" w:type="pct"/>
            <w:shd w:val="clear" w:color="auto" w:fill="FFFFFF"/>
            <w:noWrap/>
            <w:vAlign w:val="center"/>
          </w:tcPr>
          <w:p w14:paraId="1B83A5F8" w14:textId="77777777" w:rsidR="00814E8D" w:rsidRPr="00F11E73" w:rsidRDefault="00814E8D" w:rsidP="00F11E73">
            <w:pPr>
              <w:jc w:val="both"/>
              <w:rPr>
                <w:sz w:val="22"/>
                <w:szCs w:val="22"/>
              </w:rPr>
            </w:pPr>
            <w:r w:rsidRPr="00F11E73">
              <w:rPr>
                <w:sz w:val="22"/>
                <w:szCs w:val="22"/>
              </w:rPr>
              <w:t>&lt;0.001</w:t>
            </w:r>
          </w:p>
        </w:tc>
      </w:tr>
      <w:tr w:rsidR="009C5F84" w:rsidRPr="00F11E73" w14:paraId="156AC4C7" w14:textId="77777777" w:rsidTr="00747BAD">
        <w:trPr>
          <w:trHeight w:val="270"/>
        </w:trPr>
        <w:tc>
          <w:tcPr>
            <w:tcW w:w="1625" w:type="pct"/>
            <w:shd w:val="clear" w:color="auto" w:fill="FFFFFF"/>
            <w:noWrap/>
            <w:vAlign w:val="center"/>
          </w:tcPr>
          <w:p w14:paraId="4C88A2B0" w14:textId="77777777" w:rsidR="00814E8D" w:rsidRPr="00F11E73" w:rsidRDefault="00814E8D" w:rsidP="00F11E73">
            <w:pPr>
              <w:jc w:val="both"/>
              <w:rPr>
                <w:sz w:val="22"/>
                <w:szCs w:val="22"/>
              </w:rPr>
            </w:pPr>
            <w:r w:rsidRPr="00F11E73">
              <w:rPr>
                <w:sz w:val="22"/>
                <w:szCs w:val="22"/>
              </w:rPr>
              <w:t xml:space="preserve">  In central city </w:t>
            </w:r>
          </w:p>
        </w:tc>
        <w:tc>
          <w:tcPr>
            <w:tcW w:w="750" w:type="pct"/>
            <w:shd w:val="clear" w:color="auto" w:fill="FFFFFF"/>
            <w:noWrap/>
            <w:vAlign w:val="center"/>
          </w:tcPr>
          <w:p w14:paraId="30D6235D" w14:textId="75AEE06A" w:rsidR="00814E8D" w:rsidRPr="00F11E73" w:rsidRDefault="00C63986" w:rsidP="00F11E73">
            <w:pPr>
              <w:jc w:val="right"/>
              <w:rPr>
                <w:sz w:val="22"/>
                <w:szCs w:val="22"/>
              </w:rPr>
            </w:pPr>
            <w:r w:rsidRPr="00F11E73">
              <w:rPr>
                <w:sz w:val="22"/>
                <w:szCs w:val="22"/>
              </w:rPr>
              <w:t>91</w:t>
            </w:r>
            <w:r w:rsidR="00814E8D" w:rsidRPr="00F11E73">
              <w:rPr>
                <w:sz w:val="22"/>
                <w:szCs w:val="22"/>
              </w:rPr>
              <w:t>5 (2</w:t>
            </w:r>
            <w:r w:rsidRPr="00F11E73">
              <w:rPr>
                <w:sz w:val="22"/>
                <w:szCs w:val="22"/>
              </w:rPr>
              <w:t>2</w:t>
            </w:r>
            <w:r w:rsidR="00814E8D" w:rsidRPr="00F11E73">
              <w:rPr>
                <w:sz w:val="22"/>
                <w:szCs w:val="22"/>
              </w:rPr>
              <w:t>.</w:t>
            </w:r>
            <w:r w:rsidRPr="00F11E73">
              <w:rPr>
                <w:sz w:val="22"/>
                <w:szCs w:val="22"/>
              </w:rPr>
              <w:t>75</w:t>
            </w:r>
            <w:r w:rsidR="00814E8D" w:rsidRPr="00F11E73">
              <w:rPr>
                <w:sz w:val="22"/>
                <w:szCs w:val="22"/>
              </w:rPr>
              <w:t>%)</w:t>
            </w:r>
          </w:p>
        </w:tc>
        <w:tc>
          <w:tcPr>
            <w:tcW w:w="667" w:type="pct"/>
            <w:shd w:val="clear" w:color="auto" w:fill="FFFFFF"/>
            <w:noWrap/>
            <w:vAlign w:val="center"/>
          </w:tcPr>
          <w:p w14:paraId="22177011" w14:textId="218CE565" w:rsidR="00814E8D" w:rsidRPr="00F11E73" w:rsidRDefault="00C63986" w:rsidP="00F11E73">
            <w:pPr>
              <w:jc w:val="right"/>
              <w:rPr>
                <w:sz w:val="22"/>
                <w:szCs w:val="22"/>
              </w:rPr>
            </w:pPr>
            <w:r w:rsidRPr="00F11E73">
              <w:rPr>
                <w:sz w:val="22"/>
                <w:szCs w:val="22"/>
              </w:rPr>
              <w:t>259</w:t>
            </w:r>
            <w:r w:rsidR="00814E8D" w:rsidRPr="00F11E73">
              <w:rPr>
                <w:sz w:val="22"/>
                <w:szCs w:val="22"/>
              </w:rPr>
              <w:t xml:space="preserve"> (2</w:t>
            </w:r>
            <w:r w:rsidRPr="00F11E73">
              <w:rPr>
                <w:sz w:val="22"/>
                <w:szCs w:val="22"/>
              </w:rPr>
              <w:t>7</w:t>
            </w:r>
            <w:r w:rsidR="00814E8D" w:rsidRPr="00F11E73">
              <w:rPr>
                <w:sz w:val="22"/>
                <w:szCs w:val="22"/>
              </w:rPr>
              <w:t>.</w:t>
            </w:r>
            <w:r w:rsidRPr="00F11E73">
              <w:rPr>
                <w:sz w:val="22"/>
                <w:szCs w:val="22"/>
              </w:rPr>
              <w:t>70</w:t>
            </w:r>
            <w:r w:rsidR="00814E8D" w:rsidRPr="00F11E73">
              <w:rPr>
                <w:sz w:val="22"/>
                <w:szCs w:val="22"/>
              </w:rPr>
              <w:t>%)</w:t>
            </w:r>
          </w:p>
        </w:tc>
        <w:tc>
          <w:tcPr>
            <w:tcW w:w="750" w:type="pct"/>
            <w:shd w:val="clear" w:color="auto" w:fill="FFFFFF"/>
            <w:noWrap/>
            <w:vAlign w:val="center"/>
          </w:tcPr>
          <w:p w14:paraId="78330860" w14:textId="69A17895" w:rsidR="00814E8D" w:rsidRPr="00F11E73" w:rsidRDefault="00814E8D" w:rsidP="00F11E73">
            <w:pPr>
              <w:jc w:val="right"/>
              <w:rPr>
                <w:sz w:val="22"/>
                <w:szCs w:val="22"/>
              </w:rPr>
            </w:pPr>
            <w:r w:rsidRPr="00F11E73">
              <w:rPr>
                <w:sz w:val="22"/>
                <w:szCs w:val="22"/>
              </w:rPr>
              <w:t>5</w:t>
            </w:r>
            <w:r w:rsidR="00C63986" w:rsidRPr="00F11E73">
              <w:rPr>
                <w:sz w:val="22"/>
                <w:szCs w:val="22"/>
              </w:rPr>
              <w:t xml:space="preserve">24 </w:t>
            </w:r>
            <w:r w:rsidRPr="00F11E73">
              <w:rPr>
                <w:sz w:val="22"/>
                <w:szCs w:val="22"/>
              </w:rPr>
              <w:t>(3</w:t>
            </w:r>
            <w:r w:rsidR="00C63986" w:rsidRPr="00F11E73">
              <w:rPr>
                <w:sz w:val="22"/>
                <w:szCs w:val="22"/>
              </w:rPr>
              <w:t>0</w:t>
            </w:r>
            <w:r w:rsidRPr="00F11E73">
              <w:rPr>
                <w:sz w:val="22"/>
                <w:szCs w:val="22"/>
              </w:rPr>
              <w:t>.</w:t>
            </w:r>
            <w:r w:rsidR="00C63986" w:rsidRPr="00F11E73">
              <w:rPr>
                <w:sz w:val="22"/>
                <w:szCs w:val="22"/>
              </w:rPr>
              <w:t>47</w:t>
            </w:r>
            <w:r w:rsidRPr="00F11E73">
              <w:rPr>
                <w:sz w:val="22"/>
                <w:szCs w:val="22"/>
              </w:rPr>
              <w:t>%)</w:t>
            </w:r>
          </w:p>
        </w:tc>
        <w:tc>
          <w:tcPr>
            <w:tcW w:w="791" w:type="pct"/>
            <w:shd w:val="clear" w:color="auto" w:fill="FFFFFF"/>
            <w:noWrap/>
            <w:vAlign w:val="center"/>
          </w:tcPr>
          <w:p w14:paraId="58D540A9" w14:textId="0FE3B0F8" w:rsidR="00814E8D" w:rsidRPr="00F11E73" w:rsidRDefault="00C63986" w:rsidP="00F11E73">
            <w:pPr>
              <w:jc w:val="right"/>
              <w:rPr>
                <w:sz w:val="22"/>
                <w:szCs w:val="22"/>
              </w:rPr>
            </w:pPr>
            <w:r w:rsidRPr="00F11E73">
              <w:rPr>
                <w:sz w:val="22"/>
                <w:szCs w:val="22"/>
              </w:rPr>
              <w:t xml:space="preserve">754 </w:t>
            </w:r>
            <w:r w:rsidR="00814E8D" w:rsidRPr="00F11E73">
              <w:rPr>
                <w:sz w:val="22"/>
                <w:szCs w:val="22"/>
              </w:rPr>
              <w:t>(3</w:t>
            </w:r>
            <w:r w:rsidRPr="00F11E73">
              <w:rPr>
                <w:sz w:val="22"/>
                <w:szCs w:val="22"/>
              </w:rPr>
              <w:t>0</w:t>
            </w:r>
            <w:r w:rsidR="00814E8D" w:rsidRPr="00F11E73">
              <w:rPr>
                <w:sz w:val="22"/>
                <w:szCs w:val="22"/>
              </w:rPr>
              <w:t>.</w:t>
            </w:r>
            <w:r w:rsidRPr="00F11E73">
              <w:rPr>
                <w:sz w:val="22"/>
                <w:szCs w:val="22"/>
              </w:rPr>
              <w:t>00</w:t>
            </w:r>
            <w:r w:rsidR="00814E8D" w:rsidRPr="00F11E73">
              <w:rPr>
                <w:sz w:val="22"/>
                <w:szCs w:val="22"/>
              </w:rPr>
              <w:t>%)</w:t>
            </w:r>
          </w:p>
        </w:tc>
        <w:tc>
          <w:tcPr>
            <w:tcW w:w="417" w:type="pct"/>
            <w:shd w:val="clear" w:color="auto" w:fill="FFFFFF"/>
            <w:noWrap/>
            <w:vAlign w:val="center"/>
          </w:tcPr>
          <w:p w14:paraId="081E81EB" w14:textId="77777777" w:rsidR="00814E8D" w:rsidRPr="00F11E73" w:rsidRDefault="00814E8D" w:rsidP="00F11E73">
            <w:pPr>
              <w:jc w:val="both"/>
              <w:rPr>
                <w:sz w:val="22"/>
                <w:szCs w:val="22"/>
              </w:rPr>
            </w:pPr>
          </w:p>
        </w:tc>
      </w:tr>
      <w:tr w:rsidR="009C5F84" w:rsidRPr="00F11E73" w14:paraId="375BD75C" w14:textId="77777777" w:rsidTr="00747BAD">
        <w:trPr>
          <w:trHeight w:val="270"/>
        </w:trPr>
        <w:tc>
          <w:tcPr>
            <w:tcW w:w="1625" w:type="pct"/>
            <w:shd w:val="clear" w:color="auto" w:fill="FFFFFF"/>
            <w:noWrap/>
            <w:vAlign w:val="center"/>
          </w:tcPr>
          <w:p w14:paraId="3C0BC6CF" w14:textId="77777777" w:rsidR="00814E8D" w:rsidRPr="00F11E73" w:rsidRDefault="00814E8D" w:rsidP="00F11E73">
            <w:pPr>
              <w:jc w:val="both"/>
              <w:rPr>
                <w:sz w:val="22"/>
                <w:szCs w:val="22"/>
              </w:rPr>
            </w:pPr>
            <w:r w:rsidRPr="00F11E73">
              <w:rPr>
                <w:sz w:val="22"/>
                <w:szCs w:val="22"/>
              </w:rPr>
              <w:t xml:space="preserve">  Not in central </w:t>
            </w:r>
          </w:p>
        </w:tc>
        <w:tc>
          <w:tcPr>
            <w:tcW w:w="750" w:type="pct"/>
            <w:shd w:val="clear" w:color="auto" w:fill="FFFFFF"/>
            <w:noWrap/>
            <w:vAlign w:val="center"/>
          </w:tcPr>
          <w:p w14:paraId="2AD6B5BD" w14:textId="0C192A5B" w:rsidR="00814E8D" w:rsidRPr="00F11E73" w:rsidRDefault="00C63986" w:rsidP="00F11E73">
            <w:pPr>
              <w:jc w:val="right"/>
              <w:rPr>
                <w:sz w:val="22"/>
                <w:szCs w:val="22"/>
              </w:rPr>
            </w:pPr>
            <w:r w:rsidRPr="00F11E73">
              <w:rPr>
                <w:sz w:val="22"/>
                <w:szCs w:val="22"/>
              </w:rPr>
              <w:t>741</w:t>
            </w:r>
            <w:r w:rsidR="00814E8D" w:rsidRPr="00F11E73">
              <w:rPr>
                <w:sz w:val="22"/>
                <w:szCs w:val="22"/>
              </w:rPr>
              <w:t xml:space="preserve"> (1</w:t>
            </w:r>
            <w:r w:rsidRPr="00F11E73">
              <w:rPr>
                <w:sz w:val="22"/>
                <w:szCs w:val="22"/>
              </w:rPr>
              <w:t>8</w:t>
            </w:r>
            <w:r w:rsidR="00814E8D" w:rsidRPr="00F11E73">
              <w:rPr>
                <w:sz w:val="22"/>
                <w:szCs w:val="22"/>
              </w:rPr>
              <w:t>.</w:t>
            </w:r>
            <w:r w:rsidRPr="00F11E73">
              <w:rPr>
                <w:sz w:val="22"/>
                <w:szCs w:val="22"/>
              </w:rPr>
              <w:t>42</w:t>
            </w:r>
            <w:r w:rsidR="00814E8D" w:rsidRPr="00F11E73">
              <w:rPr>
                <w:sz w:val="22"/>
                <w:szCs w:val="22"/>
              </w:rPr>
              <w:t>%)</w:t>
            </w:r>
          </w:p>
        </w:tc>
        <w:tc>
          <w:tcPr>
            <w:tcW w:w="667" w:type="pct"/>
            <w:shd w:val="clear" w:color="auto" w:fill="FFFFFF"/>
            <w:noWrap/>
            <w:vAlign w:val="center"/>
          </w:tcPr>
          <w:p w14:paraId="0A06D287" w14:textId="029AF9A7" w:rsidR="00814E8D" w:rsidRPr="00F11E73" w:rsidRDefault="00C63986" w:rsidP="00F11E73">
            <w:pPr>
              <w:jc w:val="right"/>
              <w:rPr>
                <w:sz w:val="22"/>
                <w:szCs w:val="22"/>
              </w:rPr>
            </w:pPr>
            <w:r w:rsidRPr="00F11E73">
              <w:rPr>
                <w:sz w:val="22"/>
                <w:szCs w:val="22"/>
              </w:rPr>
              <w:t>244</w:t>
            </w:r>
            <w:r w:rsidR="00814E8D" w:rsidRPr="00F11E73">
              <w:rPr>
                <w:sz w:val="22"/>
                <w:szCs w:val="22"/>
              </w:rPr>
              <w:t xml:space="preserve"> (2</w:t>
            </w:r>
            <w:r w:rsidRPr="00F11E73">
              <w:rPr>
                <w:sz w:val="22"/>
                <w:szCs w:val="22"/>
              </w:rPr>
              <w:t>6</w:t>
            </w:r>
            <w:r w:rsidR="00814E8D" w:rsidRPr="00F11E73">
              <w:rPr>
                <w:sz w:val="22"/>
                <w:szCs w:val="22"/>
              </w:rPr>
              <w:t>.</w:t>
            </w:r>
            <w:r w:rsidRPr="00F11E73">
              <w:rPr>
                <w:sz w:val="22"/>
                <w:szCs w:val="22"/>
              </w:rPr>
              <w:t>10</w:t>
            </w:r>
            <w:r w:rsidR="00814E8D" w:rsidRPr="00F11E73">
              <w:rPr>
                <w:sz w:val="22"/>
                <w:szCs w:val="22"/>
              </w:rPr>
              <w:t>%)</w:t>
            </w:r>
          </w:p>
        </w:tc>
        <w:tc>
          <w:tcPr>
            <w:tcW w:w="750" w:type="pct"/>
            <w:shd w:val="clear" w:color="auto" w:fill="FFFFFF"/>
            <w:noWrap/>
            <w:vAlign w:val="center"/>
          </w:tcPr>
          <w:p w14:paraId="42C747BB" w14:textId="7038B817" w:rsidR="00814E8D" w:rsidRPr="00F11E73" w:rsidRDefault="00C63986" w:rsidP="00F11E73">
            <w:pPr>
              <w:jc w:val="right"/>
              <w:rPr>
                <w:sz w:val="22"/>
                <w:szCs w:val="22"/>
              </w:rPr>
            </w:pPr>
            <w:r w:rsidRPr="00F11E73">
              <w:rPr>
                <w:sz w:val="22"/>
                <w:szCs w:val="22"/>
              </w:rPr>
              <w:t xml:space="preserve">570 </w:t>
            </w:r>
            <w:r w:rsidR="00814E8D" w:rsidRPr="00F11E73">
              <w:rPr>
                <w:sz w:val="22"/>
                <w:szCs w:val="22"/>
              </w:rPr>
              <w:t>(3</w:t>
            </w:r>
            <w:r w:rsidRPr="00F11E73">
              <w:rPr>
                <w:sz w:val="22"/>
                <w:szCs w:val="22"/>
              </w:rPr>
              <w:t>3</w:t>
            </w:r>
            <w:r w:rsidR="00814E8D" w:rsidRPr="00F11E73">
              <w:rPr>
                <w:sz w:val="22"/>
                <w:szCs w:val="22"/>
              </w:rPr>
              <w:t>.</w:t>
            </w:r>
            <w:r w:rsidRPr="00F11E73">
              <w:rPr>
                <w:sz w:val="22"/>
                <w:szCs w:val="22"/>
              </w:rPr>
              <w:t>13</w:t>
            </w:r>
            <w:r w:rsidR="00814E8D" w:rsidRPr="00F11E73">
              <w:rPr>
                <w:sz w:val="22"/>
                <w:szCs w:val="22"/>
              </w:rPr>
              <w:t>%)</w:t>
            </w:r>
          </w:p>
        </w:tc>
        <w:tc>
          <w:tcPr>
            <w:tcW w:w="791" w:type="pct"/>
            <w:shd w:val="clear" w:color="auto" w:fill="FFFFFF"/>
            <w:noWrap/>
            <w:vAlign w:val="center"/>
          </w:tcPr>
          <w:p w14:paraId="72179DBB" w14:textId="5DA3E163" w:rsidR="00814E8D" w:rsidRPr="00F11E73" w:rsidRDefault="00C63986" w:rsidP="00F11E73">
            <w:pPr>
              <w:jc w:val="right"/>
              <w:rPr>
                <w:sz w:val="22"/>
                <w:szCs w:val="22"/>
              </w:rPr>
            </w:pPr>
            <w:r w:rsidRPr="00F11E73">
              <w:rPr>
                <w:sz w:val="22"/>
                <w:szCs w:val="22"/>
              </w:rPr>
              <w:t xml:space="preserve">979 </w:t>
            </w:r>
            <w:r w:rsidR="00814E8D" w:rsidRPr="00F11E73">
              <w:rPr>
                <w:sz w:val="22"/>
                <w:szCs w:val="22"/>
              </w:rPr>
              <w:t>(3</w:t>
            </w:r>
            <w:r w:rsidRPr="00F11E73">
              <w:rPr>
                <w:sz w:val="22"/>
                <w:szCs w:val="22"/>
              </w:rPr>
              <w:t>8</w:t>
            </w:r>
            <w:r w:rsidR="00814E8D" w:rsidRPr="00F11E73">
              <w:rPr>
                <w:sz w:val="22"/>
                <w:szCs w:val="22"/>
              </w:rPr>
              <w:t>.</w:t>
            </w:r>
            <w:r w:rsidRPr="00F11E73">
              <w:rPr>
                <w:sz w:val="22"/>
                <w:szCs w:val="22"/>
              </w:rPr>
              <w:t>96</w:t>
            </w:r>
            <w:r w:rsidR="00814E8D" w:rsidRPr="00F11E73">
              <w:rPr>
                <w:sz w:val="22"/>
                <w:szCs w:val="22"/>
              </w:rPr>
              <w:t>%)</w:t>
            </w:r>
          </w:p>
        </w:tc>
        <w:tc>
          <w:tcPr>
            <w:tcW w:w="417" w:type="pct"/>
            <w:shd w:val="clear" w:color="auto" w:fill="FFFFFF"/>
            <w:noWrap/>
            <w:vAlign w:val="center"/>
          </w:tcPr>
          <w:p w14:paraId="0F0B161C" w14:textId="77777777" w:rsidR="00814E8D" w:rsidRPr="00F11E73" w:rsidRDefault="00814E8D" w:rsidP="00F11E73">
            <w:pPr>
              <w:jc w:val="both"/>
              <w:rPr>
                <w:sz w:val="22"/>
                <w:szCs w:val="22"/>
              </w:rPr>
            </w:pPr>
          </w:p>
        </w:tc>
      </w:tr>
      <w:tr w:rsidR="009C5F84" w:rsidRPr="00F11E73" w14:paraId="1621C4EF" w14:textId="77777777" w:rsidTr="00747BAD">
        <w:trPr>
          <w:trHeight w:val="270"/>
        </w:trPr>
        <w:tc>
          <w:tcPr>
            <w:tcW w:w="1625" w:type="pct"/>
            <w:shd w:val="clear" w:color="auto" w:fill="FFFFFF"/>
            <w:noWrap/>
            <w:vAlign w:val="center"/>
          </w:tcPr>
          <w:p w14:paraId="5961BE2F" w14:textId="77777777" w:rsidR="00814E8D" w:rsidRPr="00F11E73" w:rsidRDefault="00814E8D" w:rsidP="00F11E73">
            <w:pPr>
              <w:jc w:val="both"/>
              <w:rPr>
                <w:sz w:val="22"/>
                <w:szCs w:val="22"/>
              </w:rPr>
            </w:pPr>
            <w:r w:rsidRPr="00F11E73">
              <w:rPr>
                <w:sz w:val="22"/>
                <w:szCs w:val="22"/>
              </w:rPr>
              <w:t xml:space="preserve">  Not in SMSA</w:t>
            </w:r>
          </w:p>
        </w:tc>
        <w:tc>
          <w:tcPr>
            <w:tcW w:w="750" w:type="pct"/>
            <w:shd w:val="clear" w:color="auto" w:fill="FFFFFF"/>
            <w:noWrap/>
            <w:vAlign w:val="center"/>
          </w:tcPr>
          <w:p w14:paraId="15CA0225" w14:textId="0E3AD8E3" w:rsidR="00814E8D" w:rsidRPr="00F11E73" w:rsidRDefault="00C63986" w:rsidP="00F11E73">
            <w:pPr>
              <w:jc w:val="right"/>
              <w:rPr>
                <w:sz w:val="22"/>
                <w:szCs w:val="22"/>
              </w:rPr>
            </w:pPr>
            <w:r w:rsidRPr="00F11E73">
              <w:rPr>
                <w:sz w:val="22"/>
                <w:szCs w:val="22"/>
              </w:rPr>
              <w:t>2366</w:t>
            </w:r>
            <w:r w:rsidR="00814E8D" w:rsidRPr="00F11E73">
              <w:rPr>
                <w:sz w:val="22"/>
                <w:szCs w:val="22"/>
              </w:rPr>
              <w:t xml:space="preserve"> (5</w:t>
            </w:r>
            <w:r w:rsidRPr="00F11E73">
              <w:rPr>
                <w:sz w:val="22"/>
                <w:szCs w:val="22"/>
              </w:rPr>
              <w:t>8</w:t>
            </w:r>
            <w:r w:rsidR="00814E8D" w:rsidRPr="00F11E73">
              <w:rPr>
                <w:sz w:val="22"/>
                <w:szCs w:val="22"/>
              </w:rPr>
              <w:t>.</w:t>
            </w:r>
            <w:r w:rsidRPr="00F11E73">
              <w:rPr>
                <w:sz w:val="22"/>
                <w:szCs w:val="22"/>
              </w:rPr>
              <w:t>83</w:t>
            </w:r>
            <w:r w:rsidR="00814E8D" w:rsidRPr="00F11E73">
              <w:rPr>
                <w:sz w:val="22"/>
                <w:szCs w:val="22"/>
              </w:rPr>
              <w:t>%)</w:t>
            </w:r>
          </w:p>
        </w:tc>
        <w:tc>
          <w:tcPr>
            <w:tcW w:w="667" w:type="pct"/>
            <w:shd w:val="clear" w:color="auto" w:fill="FFFFFF"/>
            <w:noWrap/>
            <w:vAlign w:val="center"/>
          </w:tcPr>
          <w:p w14:paraId="01C0FC98" w14:textId="6A19294B" w:rsidR="00814E8D" w:rsidRPr="00F11E73" w:rsidRDefault="00C63986" w:rsidP="00F11E73">
            <w:pPr>
              <w:jc w:val="right"/>
              <w:rPr>
                <w:sz w:val="22"/>
                <w:szCs w:val="22"/>
              </w:rPr>
            </w:pPr>
            <w:r w:rsidRPr="00F11E73">
              <w:rPr>
                <w:sz w:val="22"/>
                <w:szCs w:val="22"/>
              </w:rPr>
              <w:t>432</w:t>
            </w:r>
            <w:r w:rsidR="00814E8D" w:rsidRPr="00F11E73">
              <w:rPr>
                <w:sz w:val="22"/>
                <w:szCs w:val="22"/>
              </w:rPr>
              <w:t xml:space="preserve"> (4</w:t>
            </w:r>
            <w:r w:rsidRPr="00F11E73">
              <w:rPr>
                <w:sz w:val="22"/>
                <w:szCs w:val="22"/>
              </w:rPr>
              <w:t>6</w:t>
            </w:r>
            <w:r w:rsidR="00814E8D" w:rsidRPr="00F11E73">
              <w:rPr>
                <w:sz w:val="22"/>
                <w:szCs w:val="22"/>
              </w:rPr>
              <w:t>.</w:t>
            </w:r>
            <w:r w:rsidRPr="00F11E73">
              <w:rPr>
                <w:sz w:val="22"/>
                <w:szCs w:val="22"/>
              </w:rPr>
              <w:t>20</w:t>
            </w:r>
            <w:r w:rsidR="00814E8D" w:rsidRPr="00F11E73">
              <w:rPr>
                <w:sz w:val="22"/>
                <w:szCs w:val="22"/>
              </w:rPr>
              <w:t>%)</w:t>
            </w:r>
          </w:p>
        </w:tc>
        <w:tc>
          <w:tcPr>
            <w:tcW w:w="750" w:type="pct"/>
            <w:shd w:val="clear" w:color="auto" w:fill="FFFFFF"/>
            <w:noWrap/>
            <w:vAlign w:val="center"/>
          </w:tcPr>
          <w:p w14:paraId="63A6FAB4" w14:textId="67705239" w:rsidR="00814E8D" w:rsidRPr="00F11E73" w:rsidRDefault="00C63986" w:rsidP="00F11E73">
            <w:pPr>
              <w:jc w:val="right"/>
              <w:rPr>
                <w:sz w:val="22"/>
                <w:szCs w:val="22"/>
              </w:rPr>
            </w:pPr>
            <w:r w:rsidRPr="00F11E73">
              <w:rPr>
                <w:sz w:val="22"/>
                <w:szCs w:val="22"/>
              </w:rPr>
              <w:t xml:space="preserve">626 </w:t>
            </w:r>
            <w:r w:rsidR="00814E8D" w:rsidRPr="00F11E73">
              <w:rPr>
                <w:sz w:val="22"/>
                <w:szCs w:val="22"/>
              </w:rPr>
              <w:t>(3</w:t>
            </w:r>
            <w:r w:rsidRPr="00F11E73">
              <w:rPr>
                <w:sz w:val="22"/>
                <w:szCs w:val="22"/>
              </w:rPr>
              <w:t>6</w:t>
            </w:r>
            <w:r w:rsidR="00814E8D" w:rsidRPr="00F11E73">
              <w:rPr>
                <w:sz w:val="22"/>
                <w:szCs w:val="22"/>
              </w:rPr>
              <w:t>.</w:t>
            </w:r>
            <w:r w:rsidRPr="00F11E73">
              <w:rPr>
                <w:sz w:val="22"/>
                <w:szCs w:val="22"/>
              </w:rPr>
              <w:t>40</w:t>
            </w:r>
            <w:r w:rsidR="00814E8D" w:rsidRPr="00F11E73">
              <w:rPr>
                <w:sz w:val="22"/>
                <w:szCs w:val="22"/>
              </w:rPr>
              <w:t>%)</w:t>
            </w:r>
          </w:p>
        </w:tc>
        <w:tc>
          <w:tcPr>
            <w:tcW w:w="791" w:type="pct"/>
            <w:shd w:val="clear" w:color="auto" w:fill="FFFFFF"/>
            <w:noWrap/>
            <w:vAlign w:val="center"/>
          </w:tcPr>
          <w:p w14:paraId="17ECC108" w14:textId="4E169E95" w:rsidR="00814E8D" w:rsidRPr="00F11E73" w:rsidRDefault="00C63986" w:rsidP="00F11E73">
            <w:pPr>
              <w:jc w:val="right"/>
              <w:rPr>
                <w:sz w:val="22"/>
                <w:szCs w:val="22"/>
              </w:rPr>
            </w:pPr>
            <w:r w:rsidRPr="00F11E73">
              <w:rPr>
                <w:sz w:val="22"/>
                <w:szCs w:val="22"/>
              </w:rPr>
              <w:t xml:space="preserve">780 </w:t>
            </w:r>
            <w:r w:rsidR="00814E8D" w:rsidRPr="00F11E73">
              <w:rPr>
                <w:sz w:val="22"/>
                <w:szCs w:val="22"/>
              </w:rPr>
              <w:t>(3</w:t>
            </w:r>
            <w:r w:rsidRPr="00F11E73">
              <w:rPr>
                <w:sz w:val="22"/>
                <w:szCs w:val="22"/>
              </w:rPr>
              <w:t>1</w:t>
            </w:r>
            <w:r w:rsidR="00814E8D" w:rsidRPr="00F11E73">
              <w:rPr>
                <w:sz w:val="22"/>
                <w:szCs w:val="22"/>
              </w:rPr>
              <w:t>.</w:t>
            </w:r>
            <w:r w:rsidRPr="00F11E73">
              <w:rPr>
                <w:sz w:val="22"/>
                <w:szCs w:val="22"/>
              </w:rPr>
              <w:t>0</w:t>
            </w:r>
            <w:r w:rsidR="00814E8D" w:rsidRPr="00F11E73">
              <w:rPr>
                <w:sz w:val="22"/>
                <w:szCs w:val="22"/>
              </w:rPr>
              <w:t>4%)</w:t>
            </w:r>
          </w:p>
        </w:tc>
        <w:tc>
          <w:tcPr>
            <w:tcW w:w="417" w:type="pct"/>
            <w:shd w:val="clear" w:color="auto" w:fill="FFFFFF"/>
            <w:noWrap/>
            <w:vAlign w:val="center"/>
          </w:tcPr>
          <w:p w14:paraId="70B62120" w14:textId="77777777" w:rsidR="00814E8D" w:rsidRPr="00F11E73" w:rsidRDefault="00814E8D" w:rsidP="00F11E73">
            <w:pPr>
              <w:jc w:val="both"/>
              <w:rPr>
                <w:sz w:val="22"/>
                <w:szCs w:val="22"/>
              </w:rPr>
            </w:pPr>
          </w:p>
        </w:tc>
      </w:tr>
      <w:tr w:rsidR="009C5F84" w:rsidRPr="00F11E73" w14:paraId="3194B2F3" w14:textId="77777777" w:rsidTr="00747BAD">
        <w:trPr>
          <w:trHeight w:val="270"/>
        </w:trPr>
        <w:tc>
          <w:tcPr>
            <w:tcW w:w="1625" w:type="pct"/>
            <w:tcBorders>
              <w:bottom w:val="single" w:sz="4" w:space="0" w:color="auto"/>
            </w:tcBorders>
            <w:shd w:val="clear" w:color="auto" w:fill="FFFFFF"/>
            <w:noWrap/>
            <w:vAlign w:val="center"/>
          </w:tcPr>
          <w:p w14:paraId="288CC57D" w14:textId="77777777" w:rsidR="00814E8D" w:rsidRPr="00F11E73" w:rsidRDefault="00814E8D" w:rsidP="00F11E73">
            <w:pPr>
              <w:jc w:val="both"/>
              <w:rPr>
                <w:sz w:val="22"/>
                <w:szCs w:val="22"/>
              </w:rPr>
            </w:pPr>
            <w:r w:rsidRPr="00F11E73">
              <w:rPr>
                <w:sz w:val="22"/>
                <w:szCs w:val="22"/>
              </w:rPr>
              <w:t xml:space="preserve">Resides in urban area, </w:t>
            </w:r>
            <w:proofErr w:type="gramStart"/>
            <w:r w:rsidRPr="00F11E73">
              <w:rPr>
                <w:sz w:val="22"/>
                <w:szCs w:val="22"/>
              </w:rPr>
              <w:t>Yes</w:t>
            </w:r>
            <w:proofErr w:type="gramEnd"/>
          </w:p>
        </w:tc>
        <w:tc>
          <w:tcPr>
            <w:tcW w:w="750" w:type="pct"/>
            <w:tcBorders>
              <w:bottom w:val="single" w:sz="4" w:space="0" w:color="auto"/>
            </w:tcBorders>
            <w:shd w:val="clear" w:color="auto" w:fill="FFFFFF"/>
            <w:noWrap/>
            <w:vAlign w:val="center"/>
          </w:tcPr>
          <w:p w14:paraId="3B811CE2" w14:textId="414FD990" w:rsidR="00814E8D" w:rsidRPr="00F11E73" w:rsidRDefault="00C63986" w:rsidP="00F11E73">
            <w:pPr>
              <w:jc w:val="right"/>
              <w:rPr>
                <w:sz w:val="22"/>
                <w:szCs w:val="22"/>
              </w:rPr>
            </w:pPr>
            <w:r w:rsidRPr="00F11E73">
              <w:rPr>
                <w:sz w:val="22"/>
                <w:szCs w:val="22"/>
              </w:rPr>
              <w:t>211</w:t>
            </w:r>
            <w:r w:rsidR="00814E8D" w:rsidRPr="00F11E73">
              <w:rPr>
                <w:sz w:val="22"/>
                <w:szCs w:val="22"/>
              </w:rPr>
              <w:t>8 (5</w:t>
            </w:r>
            <w:r w:rsidRPr="00F11E73">
              <w:rPr>
                <w:sz w:val="22"/>
                <w:szCs w:val="22"/>
              </w:rPr>
              <w:t>2</w:t>
            </w:r>
            <w:r w:rsidR="00814E8D" w:rsidRPr="00F11E73">
              <w:rPr>
                <w:sz w:val="22"/>
                <w:szCs w:val="22"/>
              </w:rPr>
              <w:t>.</w:t>
            </w:r>
            <w:r w:rsidRPr="00F11E73">
              <w:rPr>
                <w:sz w:val="22"/>
                <w:szCs w:val="22"/>
              </w:rPr>
              <w:t>66</w:t>
            </w:r>
            <w:r w:rsidR="00814E8D" w:rsidRPr="00F11E73">
              <w:rPr>
                <w:sz w:val="22"/>
                <w:szCs w:val="22"/>
              </w:rPr>
              <w:t>%)</w:t>
            </w:r>
          </w:p>
        </w:tc>
        <w:tc>
          <w:tcPr>
            <w:tcW w:w="667" w:type="pct"/>
            <w:tcBorders>
              <w:bottom w:val="single" w:sz="4" w:space="0" w:color="auto"/>
            </w:tcBorders>
            <w:shd w:val="clear" w:color="auto" w:fill="FFFFFF"/>
            <w:noWrap/>
            <w:vAlign w:val="center"/>
          </w:tcPr>
          <w:p w14:paraId="633DE716" w14:textId="6A86C494" w:rsidR="00814E8D" w:rsidRPr="00F11E73" w:rsidRDefault="00814E8D" w:rsidP="00F11E73">
            <w:pPr>
              <w:jc w:val="right"/>
              <w:rPr>
                <w:sz w:val="22"/>
                <w:szCs w:val="22"/>
              </w:rPr>
            </w:pPr>
            <w:r w:rsidRPr="00F11E73">
              <w:rPr>
                <w:sz w:val="22"/>
                <w:szCs w:val="22"/>
              </w:rPr>
              <w:t>58</w:t>
            </w:r>
            <w:r w:rsidR="00C63986" w:rsidRPr="00F11E73">
              <w:rPr>
                <w:sz w:val="22"/>
                <w:szCs w:val="22"/>
              </w:rPr>
              <w:t xml:space="preserve">4 </w:t>
            </w:r>
            <w:r w:rsidRPr="00F11E73">
              <w:rPr>
                <w:sz w:val="22"/>
                <w:szCs w:val="22"/>
              </w:rPr>
              <w:t>(</w:t>
            </w:r>
            <w:r w:rsidR="00747BAD" w:rsidRPr="00F11E73">
              <w:rPr>
                <w:sz w:val="22"/>
                <w:szCs w:val="22"/>
              </w:rPr>
              <w:t>62</w:t>
            </w:r>
            <w:r w:rsidRPr="00F11E73">
              <w:rPr>
                <w:sz w:val="22"/>
                <w:szCs w:val="22"/>
              </w:rPr>
              <w:t>.</w:t>
            </w:r>
            <w:r w:rsidR="00747BAD" w:rsidRPr="00F11E73">
              <w:rPr>
                <w:sz w:val="22"/>
                <w:szCs w:val="22"/>
              </w:rPr>
              <w:t>55</w:t>
            </w:r>
            <w:r w:rsidRPr="00F11E73">
              <w:rPr>
                <w:sz w:val="22"/>
                <w:szCs w:val="22"/>
              </w:rPr>
              <w:t>%)</w:t>
            </w:r>
          </w:p>
        </w:tc>
        <w:tc>
          <w:tcPr>
            <w:tcW w:w="750" w:type="pct"/>
            <w:tcBorders>
              <w:bottom w:val="single" w:sz="4" w:space="0" w:color="auto"/>
            </w:tcBorders>
            <w:shd w:val="clear" w:color="auto" w:fill="FFFFFF"/>
            <w:noWrap/>
            <w:vAlign w:val="center"/>
          </w:tcPr>
          <w:p w14:paraId="58D720CA" w14:textId="0F1C1E9F" w:rsidR="00814E8D" w:rsidRPr="00F11E73" w:rsidRDefault="00C63986" w:rsidP="00F11E73">
            <w:pPr>
              <w:jc w:val="right"/>
              <w:rPr>
                <w:sz w:val="22"/>
                <w:szCs w:val="22"/>
              </w:rPr>
            </w:pPr>
            <w:r w:rsidRPr="00F11E73">
              <w:rPr>
                <w:sz w:val="22"/>
                <w:szCs w:val="22"/>
              </w:rPr>
              <w:t xml:space="preserve">1202 </w:t>
            </w:r>
            <w:r w:rsidR="00814E8D" w:rsidRPr="00F11E73">
              <w:rPr>
                <w:sz w:val="22"/>
                <w:szCs w:val="22"/>
              </w:rPr>
              <w:t>(</w:t>
            </w:r>
            <w:r w:rsidR="00747BAD" w:rsidRPr="00F11E73">
              <w:rPr>
                <w:sz w:val="22"/>
                <w:szCs w:val="22"/>
              </w:rPr>
              <w:t>69</w:t>
            </w:r>
            <w:r w:rsidR="00814E8D" w:rsidRPr="00F11E73">
              <w:rPr>
                <w:sz w:val="22"/>
                <w:szCs w:val="22"/>
              </w:rPr>
              <w:t>.</w:t>
            </w:r>
            <w:r w:rsidR="00747BAD" w:rsidRPr="00F11E73">
              <w:rPr>
                <w:sz w:val="22"/>
                <w:szCs w:val="22"/>
              </w:rPr>
              <w:t>88</w:t>
            </w:r>
            <w:r w:rsidR="00814E8D" w:rsidRPr="00F11E73">
              <w:rPr>
                <w:sz w:val="22"/>
                <w:szCs w:val="22"/>
              </w:rPr>
              <w:t>%)</w:t>
            </w:r>
          </w:p>
        </w:tc>
        <w:tc>
          <w:tcPr>
            <w:tcW w:w="791" w:type="pct"/>
            <w:tcBorders>
              <w:bottom w:val="single" w:sz="4" w:space="0" w:color="auto"/>
            </w:tcBorders>
            <w:shd w:val="clear" w:color="auto" w:fill="FFFFFF"/>
            <w:noWrap/>
            <w:vAlign w:val="center"/>
          </w:tcPr>
          <w:p w14:paraId="5011D181" w14:textId="44CF630C" w:rsidR="00814E8D" w:rsidRPr="00F11E73" w:rsidRDefault="00C63986" w:rsidP="00F11E73">
            <w:pPr>
              <w:jc w:val="right"/>
              <w:rPr>
                <w:sz w:val="22"/>
                <w:szCs w:val="22"/>
              </w:rPr>
            </w:pPr>
            <w:r w:rsidRPr="00F11E73">
              <w:rPr>
                <w:sz w:val="22"/>
                <w:szCs w:val="22"/>
              </w:rPr>
              <w:t xml:space="preserve">1836 </w:t>
            </w:r>
            <w:r w:rsidR="00814E8D" w:rsidRPr="00F11E73">
              <w:rPr>
                <w:sz w:val="22"/>
                <w:szCs w:val="22"/>
              </w:rPr>
              <w:t>(73.0</w:t>
            </w:r>
            <w:r w:rsidR="00747BAD" w:rsidRPr="00F11E73">
              <w:rPr>
                <w:sz w:val="22"/>
                <w:szCs w:val="22"/>
              </w:rPr>
              <w:t>6</w:t>
            </w:r>
            <w:r w:rsidR="00814E8D" w:rsidRPr="00F11E73">
              <w:rPr>
                <w:sz w:val="22"/>
                <w:szCs w:val="22"/>
              </w:rPr>
              <w:t>%)</w:t>
            </w:r>
          </w:p>
        </w:tc>
        <w:tc>
          <w:tcPr>
            <w:tcW w:w="417" w:type="pct"/>
            <w:tcBorders>
              <w:bottom w:val="single" w:sz="4" w:space="0" w:color="auto"/>
            </w:tcBorders>
            <w:shd w:val="clear" w:color="auto" w:fill="FFFFFF"/>
            <w:noWrap/>
            <w:vAlign w:val="center"/>
          </w:tcPr>
          <w:p w14:paraId="569F1FD3" w14:textId="77777777" w:rsidR="00814E8D" w:rsidRPr="00F11E73" w:rsidRDefault="00814E8D" w:rsidP="00F11E73">
            <w:pPr>
              <w:jc w:val="both"/>
              <w:rPr>
                <w:sz w:val="22"/>
                <w:szCs w:val="22"/>
              </w:rPr>
            </w:pPr>
            <w:r w:rsidRPr="00F11E73">
              <w:rPr>
                <w:sz w:val="22"/>
                <w:szCs w:val="22"/>
              </w:rPr>
              <w:t>&lt;0.001</w:t>
            </w:r>
          </w:p>
        </w:tc>
      </w:tr>
    </w:tbl>
    <w:p w14:paraId="660598C1" w14:textId="77777777" w:rsidR="00176326" w:rsidRPr="00F11E73" w:rsidRDefault="00176326" w:rsidP="00F11E73">
      <w:pPr>
        <w:jc w:val="both"/>
        <w:rPr>
          <w:sz w:val="22"/>
          <w:szCs w:val="22"/>
        </w:rPr>
      </w:pPr>
    </w:p>
    <w:p w14:paraId="687638B5" w14:textId="281619A1" w:rsidR="00FA6D1D" w:rsidRPr="00F11E73" w:rsidRDefault="00176326" w:rsidP="00F11E73">
      <w:pPr>
        <w:jc w:val="both"/>
        <w:rPr>
          <w:sz w:val="22"/>
          <w:szCs w:val="22"/>
        </w:rPr>
      </w:pPr>
      <w:r w:rsidRPr="00F11E73">
        <w:rPr>
          <w:noProof/>
          <w:sz w:val="22"/>
          <w:szCs w:val="22"/>
        </w:rPr>
        <w:lastRenderedPageBreak/>
        <w:drawing>
          <wp:inline distT="0" distB="0" distL="0" distR="0" wp14:anchorId="2707888B" wp14:editId="670E05A0">
            <wp:extent cx="4167486" cy="4015657"/>
            <wp:effectExtent l="0" t="0" r="5080" b="4445"/>
            <wp:docPr id="2" name="Picture 2"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3228" cy="4030826"/>
                    </a:xfrm>
                    <a:prstGeom prst="rect">
                      <a:avLst/>
                    </a:prstGeom>
                    <a:noFill/>
                    <a:ln>
                      <a:noFill/>
                    </a:ln>
                  </pic:spPr>
                </pic:pic>
              </a:graphicData>
            </a:graphic>
          </wp:inline>
        </w:drawing>
      </w:r>
    </w:p>
    <w:p w14:paraId="676DEBAB" w14:textId="043C3995" w:rsidR="00176326" w:rsidRPr="00F11E73" w:rsidRDefault="00176326" w:rsidP="00F11E73">
      <w:pPr>
        <w:jc w:val="both"/>
        <w:rPr>
          <w:sz w:val="22"/>
          <w:szCs w:val="22"/>
        </w:rPr>
      </w:pPr>
      <w:r w:rsidRPr="00F11E73">
        <w:rPr>
          <w:sz w:val="22"/>
          <w:szCs w:val="22"/>
        </w:rPr>
        <w:t>Appendix 1. Conceptual framework for Cox proportional hazard models in the primary analysis</w:t>
      </w:r>
    </w:p>
    <w:p w14:paraId="72F3E146" w14:textId="77777777" w:rsidR="00046E67" w:rsidRPr="00F11E73" w:rsidRDefault="00046E67" w:rsidP="00F11E73">
      <w:pPr>
        <w:jc w:val="both"/>
        <w:rPr>
          <w:sz w:val="22"/>
          <w:szCs w:val="22"/>
        </w:rPr>
      </w:pPr>
    </w:p>
    <w:p w14:paraId="16B275C1" w14:textId="0A33E747" w:rsidR="00FA6D1D" w:rsidRPr="00F11E73" w:rsidRDefault="00FA6D1D" w:rsidP="00F11E73">
      <w:pPr>
        <w:jc w:val="both"/>
        <w:rPr>
          <w:sz w:val="22"/>
          <w:szCs w:val="22"/>
        </w:rPr>
      </w:pPr>
      <w:r w:rsidRPr="00F11E73">
        <w:rPr>
          <w:sz w:val="22"/>
          <w:szCs w:val="22"/>
        </w:rPr>
        <w:t xml:space="preserve">Appendix </w:t>
      </w:r>
      <w:r w:rsidR="00176326" w:rsidRPr="00F11E73">
        <w:rPr>
          <w:sz w:val="22"/>
          <w:szCs w:val="22"/>
        </w:rPr>
        <w:t>2</w:t>
      </w:r>
      <w:r w:rsidRPr="00F11E73">
        <w:rPr>
          <w:sz w:val="22"/>
          <w:szCs w:val="22"/>
        </w:rPr>
        <w:t>. Association between alcohol intake and hazard of death from cancer in overall NHANES II (N=</w:t>
      </w:r>
      <w:r w:rsidR="006E5EBA" w:rsidRPr="00F11E73">
        <w:rPr>
          <w:sz w:val="22"/>
          <w:szCs w:val="22"/>
        </w:rPr>
        <w:t>9</w:t>
      </w:r>
      <w:r w:rsidR="00E5106F" w:rsidRPr="00F11E73">
        <w:rPr>
          <w:sz w:val="22"/>
          <w:szCs w:val="22"/>
        </w:rPr>
        <w:t>190</w:t>
      </w:r>
      <w:r w:rsidRPr="00F11E73">
        <w:rPr>
          <w:sz w:val="22"/>
          <w:szCs w:val="22"/>
        </w:rPr>
        <w:t>).</w:t>
      </w:r>
    </w:p>
    <w:tbl>
      <w:tblPr>
        <w:tblStyle w:val="TableGrid"/>
        <w:tblW w:w="0" w:type="auto"/>
        <w:tblLook w:val="04A0" w:firstRow="1" w:lastRow="0" w:firstColumn="1" w:lastColumn="0" w:noHBand="0" w:noVBand="1"/>
      </w:tblPr>
      <w:tblGrid>
        <w:gridCol w:w="1435"/>
        <w:gridCol w:w="1080"/>
        <w:gridCol w:w="1822"/>
        <w:gridCol w:w="1823"/>
        <w:gridCol w:w="1822"/>
        <w:gridCol w:w="1823"/>
        <w:gridCol w:w="900"/>
      </w:tblGrid>
      <w:tr w:rsidR="00FA6D1D" w:rsidRPr="00F11E73" w14:paraId="5BAA3406" w14:textId="77777777" w:rsidTr="006D693D">
        <w:tc>
          <w:tcPr>
            <w:tcW w:w="1435" w:type="dxa"/>
            <w:tcBorders>
              <w:right w:val="nil"/>
            </w:tcBorders>
          </w:tcPr>
          <w:p w14:paraId="575C2156" w14:textId="77777777" w:rsidR="00FA6D1D" w:rsidRPr="00F11E73" w:rsidRDefault="00FA6D1D" w:rsidP="00F11E73">
            <w:pPr>
              <w:jc w:val="both"/>
              <w:rPr>
                <w:sz w:val="22"/>
                <w:szCs w:val="22"/>
              </w:rPr>
            </w:pPr>
          </w:p>
        </w:tc>
        <w:tc>
          <w:tcPr>
            <w:tcW w:w="1080" w:type="dxa"/>
            <w:tcBorders>
              <w:left w:val="nil"/>
              <w:right w:val="nil"/>
            </w:tcBorders>
            <w:vAlign w:val="center"/>
          </w:tcPr>
          <w:p w14:paraId="0477D13D" w14:textId="77777777" w:rsidR="00FA6D1D" w:rsidRPr="00F11E73" w:rsidRDefault="00FA6D1D" w:rsidP="00F11E73">
            <w:pPr>
              <w:jc w:val="both"/>
              <w:rPr>
                <w:sz w:val="22"/>
                <w:szCs w:val="22"/>
              </w:rPr>
            </w:pPr>
            <w:r w:rsidRPr="00F11E73">
              <w:rPr>
                <w:sz w:val="22"/>
                <w:szCs w:val="22"/>
              </w:rPr>
              <w:t>0/week</w:t>
            </w:r>
          </w:p>
        </w:tc>
        <w:tc>
          <w:tcPr>
            <w:tcW w:w="1822" w:type="dxa"/>
            <w:tcBorders>
              <w:left w:val="nil"/>
              <w:right w:val="nil"/>
            </w:tcBorders>
            <w:vAlign w:val="center"/>
          </w:tcPr>
          <w:p w14:paraId="03A2C158" w14:textId="77777777" w:rsidR="00FA6D1D" w:rsidRPr="00F11E73" w:rsidRDefault="00FA6D1D" w:rsidP="00F11E73">
            <w:pPr>
              <w:jc w:val="both"/>
              <w:rPr>
                <w:sz w:val="22"/>
                <w:szCs w:val="22"/>
              </w:rPr>
            </w:pPr>
            <w:r w:rsidRPr="00F11E73">
              <w:rPr>
                <w:sz w:val="22"/>
                <w:szCs w:val="22"/>
              </w:rPr>
              <w:t>0-0.5/week</w:t>
            </w:r>
          </w:p>
        </w:tc>
        <w:tc>
          <w:tcPr>
            <w:tcW w:w="1823" w:type="dxa"/>
            <w:tcBorders>
              <w:left w:val="nil"/>
              <w:right w:val="nil"/>
            </w:tcBorders>
            <w:vAlign w:val="center"/>
          </w:tcPr>
          <w:p w14:paraId="15DFF894" w14:textId="77777777" w:rsidR="00FA6D1D" w:rsidRPr="00F11E73" w:rsidRDefault="00FA6D1D" w:rsidP="00F11E73">
            <w:pPr>
              <w:jc w:val="both"/>
              <w:rPr>
                <w:sz w:val="22"/>
                <w:szCs w:val="22"/>
              </w:rPr>
            </w:pPr>
            <w:r w:rsidRPr="00F11E73">
              <w:rPr>
                <w:sz w:val="22"/>
                <w:szCs w:val="22"/>
              </w:rPr>
              <w:t>0.5-2/week</w:t>
            </w:r>
          </w:p>
        </w:tc>
        <w:tc>
          <w:tcPr>
            <w:tcW w:w="1822" w:type="dxa"/>
            <w:tcBorders>
              <w:left w:val="nil"/>
              <w:right w:val="nil"/>
            </w:tcBorders>
            <w:vAlign w:val="center"/>
          </w:tcPr>
          <w:p w14:paraId="4C5014AA" w14:textId="77777777" w:rsidR="00FA6D1D" w:rsidRPr="00F11E73" w:rsidRDefault="00FA6D1D" w:rsidP="00F11E73">
            <w:pPr>
              <w:jc w:val="both"/>
              <w:rPr>
                <w:sz w:val="22"/>
                <w:szCs w:val="22"/>
              </w:rPr>
            </w:pPr>
            <w:r w:rsidRPr="00F11E73">
              <w:rPr>
                <w:sz w:val="22"/>
                <w:szCs w:val="22"/>
              </w:rPr>
              <w:t>&gt;2/week</w:t>
            </w:r>
          </w:p>
        </w:tc>
        <w:tc>
          <w:tcPr>
            <w:tcW w:w="1823" w:type="dxa"/>
            <w:tcBorders>
              <w:left w:val="nil"/>
              <w:right w:val="nil"/>
            </w:tcBorders>
          </w:tcPr>
          <w:p w14:paraId="3735A1DD" w14:textId="77777777" w:rsidR="00FA6D1D" w:rsidRPr="00F11E73" w:rsidRDefault="00FA6D1D" w:rsidP="00F11E73">
            <w:pPr>
              <w:jc w:val="both"/>
              <w:rPr>
                <w:sz w:val="22"/>
                <w:szCs w:val="22"/>
              </w:rPr>
            </w:pPr>
            <w:r w:rsidRPr="00F11E73">
              <w:rPr>
                <w:sz w:val="22"/>
                <w:szCs w:val="22"/>
              </w:rPr>
              <w:t>Continuous</w:t>
            </w:r>
          </w:p>
        </w:tc>
        <w:tc>
          <w:tcPr>
            <w:tcW w:w="900" w:type="dxa"/>
            <w:tcBorders>
              <w:left w:val="nil"/>
            </w:tcBorders>
          </w:tcPr>
          <w:p w14:paraId="1F8F688A" w14:textId="77777777" w:rsidR="00FA6D1D" w:rsidRPr="00F11E73" w:rsidRDefault="00FA6D1D" w:rsidP="00F11E73">
            <w:pPr>
              <w:jc w:val="both"/>
              <w:rPr>
                <w:sz w:val="22"/>
                <w:szCs w:val="22"/>
              </w:rPr>
            </w:pPr>
            <w:proofErr w:type="spellStart"/>
            <w:r w:rsidRPr="00F11E73">
              <w:rPr>
                <w:sz w:val="22"/>
                <w:szCs w:val="22"/>
              </w:rPr>
              <w:t>P</w:t>
            </w:r>
            <w:r w:rsidRPr="00F11E73">
              <w:rPr>
                <w:sz w:val="22"/>
                <w:szCs w:val="22"/>
                <w:vertAlign w:val="subscript"/>
              </w:rPr>
              <w:t>trend</w:t>
            </w:r>
            <w:proofErr w:type="spellEnd"/>
          </w:p>
        </w:tc>
      </w:tr>
      <w:tr w:rsidR="00FA6D1D" w:rsidRPr="00F11E73" w14:paraId="66C6E329" w14:textId="77777777" w:rsidTr="008179FF">
        <w:tc>
          <w:tcPr>
            <w:tcW w:w="10705" w:type="dxa"/>
            <w:gridSpan w:val="7"/>
            <w:tcBorders>
              <w:bottom w:val="single" w:sz="4" w:space="0" w:color="auto"/>
            </w:tcBorders>
          </w:tcPr>
          <w:p w14:paraId="2B9AA55E" w14:textId="139D06F9" w:rsidR="00FA6D1D" w:rsidRPr="00F11E73" w:rsidRDefault="00FA6D1D" w:rsidP="00F11E73">
            <w:pPr>
              <w:jc w:val="both"/>
              <w:rPr>
                <w:sz w:val="22"/>
                <w:szCs w:val="22"/>
                <w:vertAlign w:val="superscript"/>
              </w:rPr>
            </w:pPr>
            <w:r w:rsidRPr="00F11E73">
              <w:rPr>
                <w:sz w:val="22"/>
                <w:szCs w:val="22"/>
              </w:rPr>
              <w:t>Logistics</w:t>
            </w:r>
            <w:r w:rsidR="004D4DA5" w:rsidRPr="00F11E73">
              <w:rPr>
                <w:sz w:val="22"/>
                <w:szCs w:val="22"/>
              </w:rPr>
              <w:t xml:space="preserve"> </w:t>
            </w:r>
            <w:proofErr w:type="spellStart"/>
            <w:r w:rsidR="004D4DA5" w:rsidRPr="00F11E73">
              <w:rPr>
                <w:sz w:val="22"/>
                <w:szCs w:val="22"/>
              </w:rPr>
              <w:t>regression</w:t>
            </w:r>
            <w:r w:rsidR="00E5106F" w:rsidRPr="00F11E73">
              <w:rPr>
                <w:sz w:val="22"/>
                <w:szCs w:val="22"/>
                <w:vertAlign w:val="superscript"/>
              </w:rPr>
              <w:t>a</w:t>
            </w:r>
            <w:proofErr w:type="spellEnd"/>
          </w:p>
        </w:tc>
      </w:tr>
      <w:tr w:rsidR="00FA6D1D" w:rsidRPr="00F11E73" w14:paraId="0D3B497E" w14:textId="77777777" w:rsidTr="006D693D">
        <w:tc>
          <w:tcPr>
            <w:tcW w:w="1435" w:type="dxa"/>
            <w:tcBorders>
              <w:bottom w:val="nil"/>
              <w:right w:val="nil"/>
            </w:tcBorders>
          </w:tcPr>
          <w:p w14:paraId="770577D4" w14:textId="77777777" w:rsidR="00FA6D1D" w:rsidRPr="00F11E73" w:rsidRDefault="00FA6D1D" w:rsidP="00F11E73">
            <w:pPr>
              <w:jc w:val="both"/>
              <w:rPr>
                <w:sz w:val="22"/>
                <w:szCs w:val="22"/>
              </w:rPr>
            </w:pPr>
            <w:r w:rsidRPr="00F11E73">
              <w:rPr>
                <w:sz w:val="22"/>
                <w:szCs w:val="22"/>
              </w:rPr>
              <w:t>Crude model</w:t>
            </w:r>
          </w:p>
        </w:tc>
        <w:tc>
          <w:tcPr>
            <w:tcW w:w="1080" w:type="dxa"/>
            <w:tcBorders>
              <w:left w:val="nil"/>
              <w:bottom w:val="nil"/>
              <w:right w:val="nil"/>
            </w:tcBorders>
          </w:tcPr>
          <w:p w14:paraId="27D2FB59" w14:textId="77777777" w:rsidR="00FA6D1D" w:rsidRPr="00F11E73" w:rsidRDefault="00FA6D1D" w:rsidP="00F11E73">
            <w:pPr>
              <w:jc w:val="both"/>
              <w:rPr>
                <w:sz w:val="22"/>
                <w:szCs w:val="22"/>
              </w:rPr>
            </w:pPr>
            <w:r w:rsidRPr="00F11E73">
              <w:rPr>
                <w:sz w:val="22"/>
                <w:szCs w:val="22"/>
              </w:rPr>
              <w:t>Ref</w:t>
            </w:r>
          </w:p>
        </w:tc>
        <w:tc>
          <w:tcPr>
            <w:tcW w:w="1822" w:type="dxa"/>
            <w:tcBorders>
              <w:left w:val="nil"/>
              <w:bottom w:val="nil"/>
              <w:right w:val="nil"/>
            </w:tcBorders>
          </w:tcPr>
          <w:p w14:paraId="64015E92" w14:textId="7FDEFE8F" w:rsidR="00FA6D1D" w:rsidRPr="00F11E73" w:rsidRDefault="005D7BB8" w:rsidP="00F11E73">
            <w:pPr>
              <w:jc w:val="both"/>
              <w:rPr>
                <w:sz w:val="22"/>
                <w:szCs w:val="22"/>
              </w:rPr>
            </w:pPr>
            <w:r w:rsidRPr="00F11E73">
              <w:rPr>
                <w:sz w:val="22"/>
                <w:szCs w:val="22"/>
              </w:rPr>
              <w:t>0.97 (0.72, 1.32)</w:t>
            </w:r>
          </w:p>
        </w:tc>
        <w:tc>
          <w:tcPr>
            <w:tcW w:w="1823" w:type="dxa"/>
            <w:tcBorders>
              <w:left w:val="nil"/>
              <w:bottom w:val="nil"/>
              <w:right w:val="nil"/>
            </w:tcBorders>
          </w:tcPr>
          <w:p w14:paraId="2395EDB1" w14:textId="14A246B0" w:rsidR="00FA6D1D" w:rsidRPr="00F11E73" w:rsidRDefault="005D7BB8" w:rsidP="00F11E73">
            <w:pPr>
              <w:jc w:val="both"/>
              <w:rPr>
                <w:sz w:val="22"/>
                <w:szCs w:val="22"/>
              </w:rPr>
            </w:pPr>
            <w:r w:rsidRPr="00F11E73">
              <w:rPr>
                <w:sz w:val="22"/>
                <w:szCs w:val="22"/>
              </w:rPr>
              <w:t>0.87 (0.68, 1.12)</w:t>
            </w:r>
          </w:p>
        </w:tc>
        <w:tc>
          <w:tcPr>
            <w:tcW w:w="1822" w:type="dxa"/>
            <w:tcBorders>
              <w:left w:val="nil"/>
              <w:bottom w:val="nil"/>
              <w:right w:val="nil"/>
            </w:tcBorders>
          </w:tcPr>
          <w:p w14:paraId="49CC734C" w14:textId="0EA7A4FA" w:rsidR="00FA6D1D" w:rsidRPr="00F11E73" w:rsidRDefault="005D7BB8" w:rsidP="00F11E73">
            <w:pPr>
              <w:jc w:val="both"/>
              <w:rPr>
                <w:sz w:val="22"/>
                <w:szCs w:val="22"/>
              </w:rPr>
            </w:pPr>
            <w:r w:rsidRPr="00F11E73">
              <w:rPr>
                <w:sz w:val="22"/>
                <w:szCs w:val="22"/>
              </w:rPr>
              <w:t>1.23 (1.00, 1.50)</w:t>
            </w:r>
          </w:p>
        </w:tc>
        <w:tc>
          <w:tcPr>
            <w:tcW w:w="1823" w:type="dxa"/>
            <w:tcBorders>
              <w:left w:val="nil"/>
              <w:bottom w:val="nil"/>
              <w:right w:val="nil"/>
            </w:tcBorders>
          </w:tcPr>
          <w:p w14:paraId="436FF5D6" w14:textId="15EDD1E9" w:rsidR="00FA6D1D" w:rsidRPr="00F11E73" w:rsidRDefault="005D7BB8" w:rsidP="00F11E73">
            <w:pPr>
              <w:jc w:val="both"/>
              <w:rPr>
                <w:sz w:val="22"/>
                <w:szCs w:val="22"/>
              </w:rPr>
            </w:pPr>
            <w:r w:rsidRPr="00F11E73">
              <w:rPr>
                <w:sz w:val="22"/>
                <w:szCs w:val="22"/>
              </w:rPr>
              <w:t>1.03 (1.01, 1.05)</w:t>
            </w:r>
          </w:p>
        </w:tc>
        <w:tc>
          <w:tcPr>
            <w:tcW w:w="900" w:type="dxa"/>
            <w:tcBorders>
              <w:left w:val="nil"/>
              <w:bottom w:val="nil"/>
            </w:tcBorders>
          </w:tcPr>
          <w:p w14:paraId="3936FAAB" w14:textId="7FE69215" w:rsidR="00FA6D1D" w:rsidRPr="00F11E73" w:rsidRDefault="005D7BB8" w:rsidP="00F11E73">
            <w:pPr>
              <w:jc w:val="both"/>
              <w:rPr>
                <w:sz w:val="22"/>
                <w:szCs w:val="22"/>
              </w:rPr>
            </w:pPr>
            <w:r w:rsidRPr="00F11E73">
              <w:rPr>
                <w:sz w:val="22"/>
                <w:szCs w:val="22"/>
              </w:rPr>
              <w:t>0.127</w:t>
            </w:r>
          </w:p>
        </w:tc>
      </w:tr>
      <w:tr w:rsidR="00FA6D1D" w:rsidRPr="00F11E73" w14:paraId="4542C491" w14:textId="77777777" w:rsidTr="006D693D">
        <w:tc>
          <w:tcPr>
            <w:tcW w:w="1435" w:type="dxa"/>
            <w:tcBorders>
              <w:top w:val="nil"/>
              <w:bottom w:val="nil"/>
              <w:right w:val="nil"/>
            </w:tcBorders>
          </w:tcPr>
          <w:p w14:paraId="367F124F" w14:textId="77777777" w:rsidR="00FA6D1D" w:rsidRPr="00F11E73" w:rsidRDefault="00FA6D1D" w:rsidP="00F11E73">
            <w:pPr>
              <w:jc w:val="both"/>
              <w:rPr>
                <w:sz w:val="22"/>
                <w:szCs w:val="22"/>
              </w:rPr>
            </w:pPr>
            <w:r w:rsidRPr="00F11E73">
              <w:rPr>
                <w:sz w:val="22"/>
                <w:szCs w:val="22"/>
              </w:rPr>
              <w:t>Age-adjusted</w:t>
            </w:r>
          </w:p>
        </w:tc>
        <w:tc>
          <w:tcPr>
            <w:tcW w:w="1080" w:type="dxa"/>
            <w:tcBorders>
              <w:top w:val="nil"/>
              <w:left w:val="nil"/>
              <w:bottom w:val="nil"/>
              <w:right w:val="nil"/>
            </w:tcBorders>
          </w:tcPr>
          <w:p w14:paraId="43EE28A1" w14:textId="77777777" w:rsidR="00FA6D1D" w:rsidRPr="00F11E73" w:rsidRDefault="00FA6D1D" w:rsidP="00F11E73">
            <w:pPr>
              <w:jc w:val="both"/>
              <w:rPr>
                <w:sz w:val="22"/>
                <w:szCs w:val="22"/>
              </w:rPr>
            </w:pPr>
            <w:r w:rsidRPr="00F11E73">
              <w:rPr>
                <w:sz w:val="22"/>
                <w:szCs w:val="22"/>
              </w:rPr>
              <w:t>Ref</w:t>
            </w:r>
          </w:p>
        </w:tc>
        <w:tc>
          <w:tcPr>
            <w:tcW w:w="1822" w:type="dxa"/>
            <w:tcBorders>
              <w:top w:val="nil"/>
              <w:left w:val="nil"/>
              <w:bottom w:val="nil"/>
              <w:right w:val="nil"/>
            </w:tcBorders>
          </w:tcPr>
          <w:p w14:paraId="229990B7" w14:textId="65EA7E82" w:rsidR="00FA6D1D" w:rsidRPr="00F11E73" w:rsidRDefault="005D7BB8" w:rsidP="00F11E73">
            <w:pPr>
              <w:jc w:val="both"/>
              <w:rPr>
                <w:sz w:val="22"/>
                <w:szCs w:val="22"/>
              </w:rPr>
            </w:pPr>
            <w:r w:rsidRPr="00F11E73">
              <w:rPr>
                <w:sz w:val="22"/>
                <w:szCs w:val="22"/>
              </w:rPr>
              <w:t>1.12 (0.82, 1.53)</w:t>
            </w:r>
          </w:p>
        </w:tc>
        <w:tc>
          <w:tcPr>
            <w:tcW w:w="1823" w:type="dxa"/>
            <w:tcBorders>
              <w:top w:val="nil"/>
              <w:left w:val="nil"/>
              <w:bottom w:val="nil"/>
              <w:right w:val="nil"/>
            </w:tcBorders>
          </w:tcPr>
          <w:p w14:paraId="7851895B" w14:textId="3A7B5183" w:rsidR="00FA6D1D" w:rsidRPr="00F11E73" w:rsidRDefault="005D7BB8" w:rsidP="00F11E73">
            <w:pPr>
              <w:jc w:val="both"/>
              <w:rPr>
                <w:sz w:val="22"/>
                <w:szCs w:val="22"/>
              </w:rPr>
            </w:pPr>
            <w:r w:rsidRPr="00F11E73">
              <w:rPr>
                <w:sz w:val="22"/>
                <w:szCs w:val="22"/>
              </w:rPr>
              <w:t>1.17 (0.90, 1.51)</w:t>
            </w:r>
          </w:p>
        </w:tc>
        <w:tc>
          <w:tcPr>
            <w:tcW w:w="1822" w:type="dxa"/>
            <w:tcBorders>
              <w:top w:val="nil"/>
              <w:left w:val="nil"/>
              <w:bottom w:val="nil"/>
              <w:right w:val="nil"/>
            </w:tcBorders>
          </w:tcPr>
          <w:p w14:paraId="6B0F4FD5" w14:textId="5EF15C08" w:rsidR="00FA6D1D" w:rsidRPr="00F11E73" w:rsidRDefault="005D7BB8" w:rsidP="00F11E73">
            <w:pPr>
              <w:jc w:val="both"/>
              <w:rPr>
                <w:sz w:val="22"/>
                <w:szCs w:val="22"/>
              </w:rPr>
            </w:pPr>
            <w:r w:rsidRPr="00F11E73">
              <w:rPr>
                <w:sz w:val="22"/>
                <w:szCs w:val="22"/>
              </w:rPr>
              <w:t>1.67 (1.36, 2.06)</w:t>
            </w:r>
          </w:p>
        </w:tc>
        <w:tc>
          <w:tcPr>
            <w:tcW w:w="1823" w:type="dxa"/>
            <w:tcBorders>
              <w:top w:val="nil"/>
              <w:left w:val="nil"/>
              <w:bottom w:val="nil"/>
              <w:right w:val="nil"/>
            </w:tcBorders>
          </w:tcPr>
          <w:p w14:paraId="45768E3F" w14:textId="5661F5A6" w:rsidR="00FA6D1D" w:rsidRPr="00F11E73" w:rsidRDefault="005D7BB8" w:rsidP="00F11E73">
            <w:pPr>
              <w:jc w:val="both"/>
              <w:rPr>
                <w:sz w:val="22"/>
                <w:szCs w:val="22"/>
              </w:rPr>
            </w:pPr>
            <w:r w:rsidRPr="00F11E73">
              <w:rPr>
                <w:sz w:val="22"/>
                <w:szCs w:val="22"/>
              </w:rPr>
              <w:t>1.04 (1.03, 1.06)</w:t>
            </w:r>
          </w:p>
        </w:tc>
        <w:tc>
          <w:tcPr>
            <w:tcW w:w="900" w:type="dxa"/>
            <w:tcBorders>
              <w:top w:val="nil"/>
              <w:left w:val="nil"/>
              <w:bottom w:val="nil"/>
            </w:tcBorders>
          </w:tcPr>
          <w:p w14:paraId="703BE811" w14:textId="0163E9A9" w:rsidR="00FA6D1D" w:rsidRPr="00F11E73" w:rsidRDefault="005D7BB8" w:rsidP="00F11E73">
            <w:pPr>
              <w:jc w:val="both"/>
              <w:rPr>
                <w:sz w:val="22"/>
                <w:szCs w:val="22"/>
              </w:rPr>
            </w:pPr>
            <w:r w:rsidRPr="00F11E73">
              <w:rPr>
                <w:sz w:val="22"/>
                <w:szCs w:val="22"/>
              </w:rPr>
              <w:t>&lt;0.001</w:t>
            </w:r>
          </w:p>
        </w:tc>
      </w:tr>
      <w:tr w:rsidR="00FA6D1D" w:rsidRPr="00F11E73" w14:paraId="4EB23020" w14:textId="77777777" w:rsidTr="006D693D">
        <w:tc>
          <w:tcPr>
            <w:tcW w:w="1435" w:type="dxa"/>
            <w:tcBorders>
              <w:top w:val="nil"/>
              <w:right w:val="nil"/>
            </w:tcBorders>
          </w:tcPr>
          <w:p w14:paraId="2D7BDA33" w14:textId="77777777" w:rsidR="00FA6D1D" w:rsidRPr="00F11E73" w:rsidRDefault="00FA6D1D" w:rsidP="00F11E73">
            <w:pPr>
              <w:jc w:val="both"/>
              <w:rPr>
                <w:sz w:val="22"/>
                <w:szCs w:val="22"/>
              </w:rPr>
            </w:pPr>
            <w:r w:rsidRPr="00F11E73">
              <w:rPr>
                <w:sz w:val="22"/>
                <w:szCs w:val="22"/>
              </w:rPr>
              <w:t>MV-adjusted</w:t>
            </w:r>
          </w:p>
        </w:tc>
        <w:tc>
          <w:tcPr>
            <w:tcW w:w="1080" w:type="dxa"/>
            <w:tcBorders>
              <w:top w:val="nil"/>
              <w:left w:val="nil"/>
              <w:right w:val="nil"/>
            </w:tcBorders>
          </w:tcPr>
          <w:p w14:paraId="036EA31C" w14:textId="77777777" w:rsidR="00FA6D1D" w:rsidRPr="00F11E73" w:rsidRDefault="00FA6D1D" w:rsidP="00F11E73">
            <w:pPr>
              <w:jc w:val="both"/>
              <w:rPr>
                <w:sz w:val="22"/>
                <w:szCs w:val="22"/>
              </w:rPr>
            </w:pPr>
            <w:r w:rsidRPr="00F11E73">
              <w:rPr>
                <w:sz w:val="22"/>
                <w:szCs w:val="22"/>
              </w:rPr>
              <w:t>Ref</w:t>
            </w:r>
          </w:p>
        </w:tc>
        <w:tc>
          <w:tcPr>
            <w:tcW w:w="1822" w:type="dxa"/>
            <w:tcBorders>
              <w:top w:val="nil"/>
              <w:left w:val="nil"/>
              <w:right w:val="nil"/>
            </w:tcBorders>
          </w:tcPr>
          <w:p w14:paraId="46740EB6" w14:textId="2173E03C" w:rsidR="00FA6D1D" w:rsidRPr="00F11E73" w:rsidRDefault="005D7BB8" w:rsidP="00F11E73">
            <w:pPr>
              <w:jc w:val="both"/>
              <w:rPr>
                <w:sz w:val="22"/>
                <w:szCs w:val="22"/>
              </w:rPr>
            </w:pPr>
            <w:r w:rsidRPr="00F11E73">
              <w:rPr>
                <w:sz w:val="22"/>
                <w:szCs w:val="22"/>
              </w:rPr>
              <w:t>1.06 (0.77, 1.45)</w:t>
            </w:r>
          </w:p>
        </w:tc>
        <w:tc>
          <w:tcPr>
            <w:tcW w:w="1823" w:type="dxa"/>
            <w:tcBorders>
              <w:top w:val="nil"/>
              <w:left w:val="nil"/>
              <w:right w:val="nil"/>
            </w:tcBorders>
          </w:tcPr>
          <w:p w14:paraId="6D653607" w14:textId="2E17DFE2" w:rsidR="00FA6D1D" w:rsidRPr="00F11E73" w:rsidRDefault="005D7BB8" w:rsidP="00F11E73">
            <w:pPr>
              <w:jc w:val="both"/>
              <w:rPr>
                <w:sz w:val="22"/>
                <w:szCs w:val="22"/>
              </w:rPr>
            </w:pPr>
            <w:r w:rsidRPr="00F11E73">
              <w:rPr>
                <w:sz w:val="22"/>
                <w:szCs w:val="22"/>
              </w:rPr>
              <w:t>1.00 (0.77, 1.31)</w:t>
            </w:r>
          </w:p>
        </w:tc>
        <w:tc>
          <w:tcPr>
            <w:tcW w:w="1822" w:type="dxa"/>
            <w:tcBorders>
              <w:top w:val="nil"/>
              <w:left w:val="nil"/>
              <w:right w:val="nil"/>
            </w:tcBorders>
          </w:tcPr>
          <w:p w14:paraId="5ED6A98B" w14:textId="43AFC988" w:rsidR="00FA6D1D" w:rsidRPr="00F11E73" w:rsidRDefault="005D7BB8" w:rsidP="00F11E73">
            <w:pPr>
              <w:jc w:val="both"/>
              <w:rPr>
                <w:sz w:val="22"/>
                <w:szCs w:val="22"/>
              </w:rPr>
            </w:pPr>
            <w:r w:rsidRPr="00F11E73">
              <w:rPr>
                <w:sz w:val="22"/>
                <w:szCs w:val="22"/>
              </w:rPr>
              <w:t>1.29 (1.02, 1.63)</w:t>
            </w:r>
          </w:p>
        </w:tc>
        <w:tc>
          <w:tcPr>
            <w:tcW w:w="1823" w:type="dxa"/>
            <w:tcBorders>
              <w:top w:val="nil"/>
              <w:left w:val="nil"/>
              <w:right w:val="nil"/>
            </w:tcBorders>
          </w:tcPr>
          <w:p w14:paraId="6C333533" w14:textId="0A54CD30" w:rsidR="00FA6D1D" w:rsidRPr="00F11E73" w:rsidRDefault="005D7BB8" w:rsidP="00F11E73">
            <w:pPr>
              <w:jc w:val="both"/>
              <w:rPr>
                <w:sz w:val="22"/>
                <w:szCs w:val="22"/>
              </w:rPr>
            </w:pPr>
            <w:r w:rsidRPr="00F11E73">
              <w:rPr>
                <w:sz w:val="22"/>
                <w:szCs w:val="22"/>
              </w:rPr>
              <w:t>1.03 (1.01, 1.04)</w:t>
            </w:r>
          </w:p>
        </w:tc>
        <w:tc>
          <w:tcPr>
            <w:tcW w:w="900" w:type="dxa"/>
            <w:tcBorders>
              <w:top w:val="nil"/>
              <w:left w:val="nil"/>
            </w:tcBorders>
          </w:tcPr>
          <w:p w14:paraId="038CE176" w14:textId="4A891582" w:rsidR="00FA6D1D" w:rsidRPr="00F11E73" w:rsidRDefault="005D7BB8" w:rsidP="00F11E73">
            <w:pPr>
              <w:jc w:val="both"/>
              <w:rPr>
                <w:sz w:val="22"/>
                <w:szCs w:val="22"/>
              </w:rPr>
            </w:pPr>
            <w:r w:rsidRPr="00F11E73">
              <w:rPr>
                <w:sz w:val="22"/>
                <w:szCs w:val="22"/>
              </w:rPr>
              <w:t>0.054</w:t>
            </w:r>
          </w:p>
        </w:tc>
      </w:tr>
      <w:tr w:rsidR="00FA6D1D" w:rsidRPr="00F11E73" w14:paraId="3917C87A" w14:textId="77777777" w:rsidTr="008179FF">
        <w:tc>
          <w:tcPr>
            <w:tcW w:w="10705" w:type="dxa"/>
            <w:gridSpan w:val="7"/>
            <w:tcBorders>
              <w:bottom w:val="single" w:sz="4" w:space="0" w:color="auto"/>
            </w:tcBorders>
          </w:tcPr>
          <w:p w14:paraId="24ED27AC" w14:textId="0A212BDE" w:rsidR="00FA6D1D" w:rsidRPr="00F11E73" w:rsidRDefault="00FA6D1D" w:rsidP="00F11E73">
            <w:pPr>
              <w:jc w:val="both"/>
              <w:rPr>
                <w:sz w:val="22"/>
                <w:szCs w:val="22"/>
                <w:vertAlign w:val="superscript"/>
              </w:rPr>
            </w:pPr>
            <w:r w:rsidRPr="00F11E73">
              <w:rPr>
                <w:sz w:val="22"/>
                <w:szCs w:val="22"/>
              </w:rPr>
              <w:t>Poisson</w:t>
            </w:r>
            <w:r w:rsidR="004D4DA5" w:rsidRPr="00F11E73">
              <w:rPr>
                <w:sz w:val="22"/>
                <w:szCs w:val="22"/>
              </w:rPr>
              <w:t xml:space="preserve"> </w:t>
            </w:r>
            <w:proofErr w:type="spellStart"/>
            <w:r w:rsidR="004D4DA5" w:rsidRPr="00F11E73">
              <w:rPr>
                <w:sz w:val="22"/>
                <w:szCs w:val="22"/>
              </w:rPr>
              <w:t>regression</w:t>
            </w:r>
            <w:r w:rsidR="00E5106F" w:rsidRPr="00F11E73">
              <w:rPr>
                <w:sz w:val="22"/>
                <w:szCs w:val="22"/>
                <w:vertAlign w:val="superscript"/>
              </w:rPr>
              <w:t>a</w:t>
            </w:r>
            <w:proofErr w:type="spellEnd"/>
          </w:p>
        </w:tc>
      </w:tr>
      <w:tr w:rsidR="00FA6D1D" w:rsidRPr="00F11E73" w14:paraId="08A08F4F" w14:textId="77777777" w:rsidTr="006D693D">
        <w:tc>
          <w:tcPr>
            <w:tcW w:w="1435" w:type="dxa"/>
            <w:tcBorders>
              <w:bottom w:val="nil"/>
              <w:right w:val="nil"/>
            </w:tcBorders>
          </w:tcPr>
          <w:p w14:paraId="6072C5BD" w14:textId="77777777" w:rsidR="00FA6D1D" w:rsidRPr="00F11E73" w:rsidRDefault="00FA6D1D" w:rsidP="00F11E73">
            <w:pPr>
              <w:jc w:val="both"/>
              <w:rPr>
                <w:sz w:val="22"/>
                <w:szCs w:val="22"/>
              </w:rPr>
            </w:pPr>
            <w:r w:rsidRPr="00F11E73">
              <w:rPr>
                <w:sz w:val="22"/>
                <w:szCs w:val="22"/>
              </w:rPr>
              <w:t>Crude model</w:t>
            </w:r>
          </w:p>
        </w:tc>
        <w:tc>
          <w:tcPr>
            <w:tcW w:w="1080" w:type="dxa"/>
            <w:tcBorders>
              <w:left w:val="nil"/>
              <w:bottom w:val="nil"/>
              <w:right w:val="nil"/>
            </w:tcBorders>
          </w:tcPr>
          <w:p w14:paraId="2E18C033" w14:textId="77777777" w:rsidR="00FA6D1D" w:rsidRPr="00F11E73" w:rsidRDefault="00FA6D1D" w:rsidP="00F11E73">
            <w:pPr>
              <w:jc w:val="both"/>
              <w:rPr>
                <w:sz w:val="22"/>
                <w:szCs w:val="22"/>
              </w:rPr>
            </w:pPr>
            <w:r w:rsidRPr="00F11E73">
              <w:rPr>
                <w:sz w:val="22"/>
                <w:szCs w:val="22"/>
              </w:rPr>
              <w:t>Ref</w:t>
            </w:r>
          </w:p>
        </w:tc>
        <w:tc>
          <w:tcPr>
            <w:tcW w:w="1822" w:type="dxa"/>
            <w:tcBorders>
              <w:left w:val="nil"/>
              <w:bottom w:val="nil"/>
              <w:right w:val="nil"/>
            </w:tcBorders>
          </w:tcPr>
          <w:p w14:paraId="06922485" w14:textId="2BBBF4C6" w:rsidR="00FA6D1D" w:rsidRPr="00F11E73" w:rsidRDefault="004D4DA5" w:rsidP="00F11E73">
            <w:pPr>
              <w:jc w:val="both"/>
              <w:rPr>
                <w:sz w:val="22"/>
                <w:szCs w:val="22"/>
              </w:rPr>
            </w:pPr>
            <w:r w:rsidRPr="00F11E73">
              <w:rPr>
                <w:sz w:val="22"/>
                <w:szCs w:val="22"/>
              </w:rPr>
              <w:t xml:space="preserve">0.95 (0.70,1.27) </w:t>
            </w:r>
          </w:p>
        </w:tc>
        <w:tc>
          <w:tcPr>
            <w:tcW w:w="1823" w:type="dxa"/>
            <w:tcBorders>
              <w:left w:val="nil"/>
              <w:bottom w:val="nil"/>
              <w:right w:val="nil"/>
            </w:tcBorders>
          </w:tcPr>
          <w:p w14:paraId="2F8FBA70" w14:textId="48484417" w:rsidR="00FA6D1D" w:rsidRPr="00F11E73" w:rsidRDefault="004D4DA5" w:rsidP="00F11E73">
            <w:pPr>
              <w:jc w:val="both"/>
              <w:rPr>
                <w:sz w:val="22"/>
                <w:szCs w:val="22"/>
              </w:rPr>
            </w:pPr>
            <w:r w:rsidRPr="00F11E73">
              <w:rPr>
                <w:sz w:val="22"/>
                <w:szCs w:val="22"/>
              </w:rPr>
              <w:t>0.84 (0.66, 1.07)</w:t>
            </w:r>
          </w:p>
        </w:tc>
        <w:tc>
          <w:tcPr>
            <w:tcW w:w="1822" w:type="dxa"/>
            <w:tcBorders>
              <w:left w:val="nil"/>
              <w:bottom w:val="nil"/>
              <w:right w:val="nil"/>
            </w:tcBorders>
          </w:tcPr>
          <w:p w14:paraId="37F03667" w14:textId="71A9DC8A" w:rsidR="00FA6D1D" w:rsidRPr="00F11E73" w:rsidRDefault="004D4DA5" w:rsidP="00F11E73">
            <w:pPr>
              <w:jc w:val="both"/>
              <w:rPr>
                <w:sz w:val="22"/>
                <w:szCs w:val="22"/>
              </w:rPr>
            </w:pPr>
            <w:r w:rsidRPr="00F11E73">
              <w:rPr>
                <w:sz w:val="22"/>
                <w:szCs w:val="22"/>
              </w:rPr>
              <w:t>1.16 (0.95, 1.41)</w:t>
            </w:r>
          </w:p>
        </w:tc>
        <w:tc>
          <w:tcPr>
            <w:tcW w:w="1823" w:type="dxa"/>
            <w:tcBorders>
              <w:left w:val="nil"/>
              <w:bottom w:val="nil"/>
              <w:right w:val="nil"/>
            </w:tcBorders>
          </w:tcPr>
          <w:p w14:paraId="1563CD7C" w14:textId="176EF25F" w:rsidR="00FA6D1D" w:rsidRPr="00F11E73" w:rsidRDefault="008A214A" w:rsidP="00F11E73">
            <w:pPr>
              <w:jc w:val="both"/>
              <w:rPr>
                <w:sz w:val="22"/>
                <w:szCs w:val="22"/>
              </w:rPr>
            </w:pPr>
            <w:r w:rsidRPr="00F11E73">
              <w:rPr>
                <w:sz w:val="22"/>
                <w:szCs w:val="22"/>
              </w:rPr>
              <w:t>1.03 (1.02, 1.04)</w:t>
            </w:r>
          </w:p>
        </w:tc>
        <w:tc>
          <w:tcPr>
            <w:tcW w:w="900" w:type="dxa"/>
            <w:tcBorders>
              <w:left w:val="nil"/>
              <w:bottom w:val="nil"/>
            </w:tcBorders>
          </w:tcPr>
          <w:p w14:paraId="30CECD23" w14:textId="1A4282AC" w:rsidR="00FA6D1D" w:rsidRPr="00F11E73" w:rsidRDefault="008A214A" w:rsidP="00F11E73">
            <w:pPr>
              <w:jc w:val="both"/>
              <w:rPr>
                <w:sz w:val="22"/>
                <w:szCs w:val="22"/>
              </w:rPr>
            </w:pPr>
            <w:r w:rsidRPr="00F11E73">
              <w:rPr>
                <w:sz w:val="22"/>
                <w:szCs w:val="22"/>
              </w:rPr>
              <w:t>0.309</w:t>
            </w:r>
          </w:p>
        </w:tc>
      </w:tr>
      <w:tr w:rsidR="00FA6D1D" w:rsidRPr="00F11E73" w14:paraId="475130CB" w14:textId="77777777" w:rsidTr="006D693D">
        <w:tc>
          <w:tcPr>
            <w:tcW w:w="1435" w:type="dxa"/>
            <w:tcBorders>
              <w:top w:val="nil"/>
              <w:bottom w:val="nil"/>
              <w:right w:val="nil"/>
            </w:tcBorders>
          </w:tcPr>
          <w:p w14:paraId="12A68A24" w14:textId="77777777" w:rsidR="00FA6D1D" w:rsidRPr="00F11E73" w:rsidRDefault="00FA6D1D" w:rsidP="00F11E73">
            <w:pPr>
              <w:jc w:val="both"/>
              <w:rPr>
                <w:sz w:val="22"/>
                <w:szCs w:val="22"/>
              </w:rPr>
            </w:pPr>
            <w:r w:rsidRPr="00F11E73">
              <w:rPr>
                <w:sz w:val="22"/>
                <w:szCs w:val="22"/>
              </w:rPr>
              <w:t>Age-adjusted</w:t>
            </w:r>
          </w:p>
        </w:tc>
        <w:tc>
          <w:tcPr>
            <w:tcW w:w="1080" w:type="dxa"/>
            <w:tcBorders>
              <w:top w:val="nil"/>
              <w:left w:val="nil"/>
              <w:bottom w:val="nil"/>
              <w:right w:val="nil"/>
            </w:tcBorders>
          </w:tcPr>
          <w:p w14:paraId="1A0E42A6" w14:textId="77777777" w:rsidR="00FA6D1D" w:rsidRPr="00F11E73" w:rsidRDefault="00FA6D1D" w:rsidP="00F11E73">
            <w:pPr>
              <w:jc w:val="both"/>
              <w:rPr>
                <w:sz w:val="22"/>
                <w:szCs w:val="22"/>
              </w:rPr>
            </w:pPr>
            <w:r w:rsidRPr="00F11E73">
              <w:rPr>
                <w:sz w:val="22"/>
                <w:szCs w:val="22"/>
              </w:rPr>
              <w:t>Ref</w:t>
            </w:r>
          </w:p>
        </w:tc>
        <w:tc>
          <w:tcPr>
            <w:tcW w:w="1822" w:type="dxa"/>
            <w:tcBorders>
              <w:top w:val="nil"/>
              <w:left w:val="nil"/>
              <w:bottom w:val="nil"/>
              <w:right w:val="nil"/>
            </w:tcBorders>
          </w:tcPr>
          <w:p w14:paraId="301F9D4B" w14:textId="36379447" w:rsidR="00FA6D1D" w:rsidRPr="00F11E73" w:rsidRDefault="008A214A" w:rsidP="00F11E73">
            <w:pPr>
              <w:jc w:val="both"/>
              <w:rPr>
                <w:sz w:val="22"/>
                <w:szCs w:val="22"/>
              </w:rPr>
            </w:pPr>
            <w:r w:rsidRPr="00F11E73">
              <w:rPr>
                <w:sz w:val="22"/>
                <w:szCs w:val="22"/>
              </w:rPr>
              <w:t>1.11 (0.83, 1.50)</w:t>
            </w:r>
          </w:p>
        </w:tc>
        <w:tc>
          <w:tcPr>
            <w:tcW w:w="1823" w:type="dxa"/>
            <w:tcBorders>
              <w:top w:val="nil"/>
              <w:left w:val="nil"/>
              <w:bottom w:val="nil"/>
              <w:right w:val="nil"/>
            </w:tcBorders>
          </w:tcPr>
          <w:p w14:paraId="47E2088F" w14:textId="1D85318A" w:rsidR="00FA6D1D" w:rsidRPr="00F11E73" w:rsidRDefault="008A214A" w:rsidP="00F11E73">
            <w:pPr>
              <w:jc w:val="both"/>
              <w:rPr>
                <w:sz w:val="22"/>
                <w:szCs w:val="22"/>
              </w:rPr>
            </w:pPr>
            <w:r w:rsidRPr="00F11E73">
              <w:rPr>
                <w:sz w:val="22"/>
                <w:szCs w:val="22"/>
              </w:rPr>
              <w:t>1.14 (0.89, 1.45)</w:t>
            </w:r>
          </w:p>
        </w:tc>
        <w:tc>
          <w:tcPr>
            <w:tcW w:w="1822" w:type="dxa"/>
            <w:tcBorders>
              <w:top w:val="nil"/>
              <w:left w:val="nil"/>
              <w:bottom w:val="nil"/>
              <w:right w:val="nil"/>
            </w:tcBorders>
          </w:tcPr>
          <w:p w14:paraId="456F2646" w14:textId="111EF30E" w:rsidR="00FA6D1D" w:rsidRPr="00F11E73" w:rsidRDefault="008A214A" w:rsidP="00F11E73">
            <w:pPr>
              <w:jc w:val="both"/>
              <w:rPr>
                <w:sz w:val="22"/>
                <w:szCs w:val="22"/>
              </w:rPr>
            </w:pPr>
            <w:r w:rsidRPr="00F11E73">
              <w:rPr>
                <w:sz w:val="22"/>
                <w:szCs w:val="22"/>
              </w:rPr>
              <w:t>1.60 (1.31, 1.95)</w:t>
            </w:r>
          </w:p>
        </w:tc>
        <w:tc>
          <w:tcPr>
            <w:tcW w:w="1823" w:type="dxa"/>
            <w:tcBorders>
              <w:top w:val="nil"/>
              <w:left w:val="nil"/>
              <w:bottom w:val="nil"/>
              <w:right w:val="nil"/>
            </w:tcBorders>
          </w:tcPr>
          <w:p w14:paraId="541C1A7A" w14:textId="6F79601D" w:rsidR="00FA6D1D" w:rsidRPr="00F11E73" w:rsidRDefault="008A214A" w:rsidP="00F11E73">
            <w:pPr>
              <w:jc w:val="both"/>
              <w:rPr>
                <w:sz w:val="22"/>
                <w:szCs w:val="22"/>
              </w:rPr>
            </w:pPr>
            <w:r w:rsidRPr="00F11E73">
              <w:rPr>
                <w:sz w:val="22"/>
                <w:szCs w:val="22"/>
              </w:rPr>
              <w:t>1.04 (1.03, 1.05)</w:t>
            </w:r>
          </w:p>
        </w:tc>
        <w:tc>
          <w:tcPr>
            <w:tcW w:w="900" w:type="dxa"/>
            <w:tcBorders>
              <w:top w:val="nil"/>
              <w:left w:val="nil"/>
              <w:bottom w:val="nil"/>
            </w:tcBorders>
          </w:tcPr>
          <w:p w14:paraId="5530AC5C" w14:textId="7AC536AA" w:rsidR="00FA6D1D" w:rsidRPr="00F11E73" w:rsidRDefault="008A214A" w:rsidP="00F11E73">
            <w:pPr>
              <w:jc w:val="both"/>
              <w:rPr>
                <w:sz w:val="22"/>
                <w:szCs w:val="22"/>
              </w:rPr>
            </w:pPr>
            <w:r w:rsidRPr="00F11E73">
              <w:rPr>
                <w:sz w:val="22"/>
                <w:szCs w:val="22"/>
              </w:rPr>
              <w:t>&lt;0.001</w:t>
            </w:r>
          </w:p>
        </w:tc>
      </w:tr>
      <w:tr w:rsidR="00FA6D1D" w:rsidRPr="00F11E73" w14:paraId="7AA50240" w14:textId="77777777" w:rsidTr="006D693D">
        <w:tc>
          <w:tcPr>
            <w:tcW w:w="1435" w:type="dxa"/>
            <w:tcBorders>
              <w:top w:val="nil"/>
              <w:right w:val="nil"/>
            </w:tcBorders>
          </w:tcPr>
          <w:p w14:paraId="10C9C0C1" w14:textId="77777777" w:rsidR="00FA6D1D" w:rsidRPr="00F11E73" w:rsidRDefault="00FA6D1D" w:rsidP="00F11E73">
            <w:pPr>
              <w:jc w:val="both"/>
              <w:rPr>
                <w:sz w:val="22"/>
                <w:szCs w:val="22"/>
              </w:rPr>
            </w:pPr>
            <w:r w:rsidRPr="00F11E73">
              <w:rPr>
                <w:sz w:val="22"/>
                <w:szCs w:val="22"/>
              </w:rPr>
              <w:t>MV-adjusted</w:t>
            </w:r>
          </w:p>
        </w:tc>
        <w:tc>
          <w:tcPr>
            <w:tcW w:w="1080" w:type="dxa"/>
            <w:tcBorders>
              <w:top w:val="nil"/>
              <w:left w:val="nil"/>
              <w:right w:val="nil"/>
            </w:tcBorders>
          </w:tcPr>
          <w:p w14:paraId="26F459E5" w14:textId="77777777" w:rsidR="00FA6D1D" w:rsidRPr="00F11E73" w:rsidRDefault="00FA6D1D" w:rsidP="00F11E73">
            <w:pPr>
              <w:jc w:val="both"/>
              <w:rPr>
                <w:sz w:val="22"/>
                <w:szCs w:val="22"/>
              </w:rPr>
            </w:pPr>
            <w:r w:rsidRPr="00F11E73">
              <w:rPr>
                <w:sz w:val="22"/>
                <w:szCs w:val="22"/>
              </w:rPr>
              <w:t>Ref</w:t>
            </w:r>
          </w:p>
        </w:tc>
        <w:tc>
          <w:tcPr>
            <w:tcW w:w="1822" w:type="dxa"/>
            <w:tcBorders>
              <w:top w:val="nil"/>
              <w:left w:val="nil"/>
              <w:right w:val="nil"/>
            </w:tcBorders>
          </w:tcPr>
          <w:p w14:paraId="07297F5C" w14:textId="312174A7" w:rsidR="00FA6D1D" w:rsidRPr="00F11E73" w:rsidRDefault="008A214A" w:rsidP="00F11E73">
            <w:pPr>
              <w:jc w:val="both"/>
              <w:rPr>
                <w:sz w:val="22"/>
                <w:szCs w:val="22"/>
              </w:rPr>
            </w:pPr>
            <w:r w:rsidRPr="00F11E73">
              <w:rPr>
                <w:sz w:val="22"/>
                <w:szCs w:val="22"/>
              </w:rPr>
              <w:t>1.06 (0.79, 1.44)</w:t>
            </w:r>
          </w:p>
        </w:tc>
        <w:tc>
          <w:tcPr>
            <w:tcW w:w="1823" w:type="dxa"/>
            <w:tcBorders>
              <w:top w:val="nil"/>
              <w:left w:val="nil"/>
              <w:right w:val="nil"/>
            </w:tcBorders>
          </w:tcPr>
          <w:p w14:paraId="5E07A5BE" w14:textId="6751A1E8" w:rsidR="00FA6D1D" w:rsidRPr="00F11E73" w:rsidRDefault="008A214A" w:rsidP="00F11E73">
            <w:pPr>
              <w:jc w:val="both"/>
              <w:rPr>
                <w:sz w:val="22"/>
                <w:szCs w:val="22"/>
              </w:rPr>
            </w:pPr>
            <w:r w:rsidRPr="00F11E73">
              <w:rPr>
                <w:sz w:val="22"/>
                <w:szCs w:val="22"/>
              </w:rPr>
              <w:t>0.98 (0.76, 1.27)</w:t>
            </w:r>
          </w:p>
        </w:tc>
        <w:tc>
          <w:tcPr>
            <w:tcW w:w="1822" w:type="dxa"/>
            <w:tcBorders>
              <w:top w:val="nil"/>
              <w:left w:val="nil"/>
              <w:right w:val="nil"/>
            </w:tcBorders>
          </w:tcPr>
          <w:p w14:paraId="666E4223" w14:textId="435CF769" w:rsidR="00FA6D1D" w:rsidRPr="00F11E73" w:rsidRDefault="008A214A" w:rsidP="00F11E73">
            <w:pPr>
              <w:jc w:val="both"/>
              <w:rPr>
                <w:sz w:val="22"/>
                <w:szCs w:val="22"/>
              </w:rPr>
            </w:pPr>
            <w:r w:rsidRPr="00F11E73">
              <w:rPr>
                <w:sz w:val="22"/>
                <w:szCs w:val="22"/>
              </w:rPr>
              <w:t>1.24 (1.00, 1.55)</w:t>
            </w:r>
          </w:p>
        </w:tc>
        <w:tc>
          <w:tcPr>
            <w:tcW w:w="1823" w:type="dxa"/>
            <w:tcBorders>
              <w:top w:val="nil"/>
              <w:left w:val="nil"/>
              <w:right w:val="nil"/>
            </w:tcBorders>
          </w:tcPr>
          <w:p w14:paraId="2EEC29EF" w14:textId="2BE8BBC7" w:rsidR="00FA6D1D" w:rsidRPr="00F11E73" w:rsidRDefault="008A214A" w:rsidP="00F11E73">
            <w:pPr>
              <w:jc w:val="both"/>
              <w:rPr>
                <w:sz w:val="22"/>
                <w:szCs w:val="22"/>
              </w:rPr>
            </w:pPr>
            <w:r w:rsidRPr="00F11E73">
              <w:rPr>
                <w:sz w:val="22"/>
                <w:szCs w:val="22"/>
              </w:rPr>
              <w:t>1.02 (1.01, 1.09)</w:t>
            </w:r>
          </w:p>
        </w:tc>
        <w:tc>
          <w:tcPr>
            <w:tcW w:w="900" w:type="dxa"/>
            <w:tcBorders>
              <w:top w:val="nil"/>
              <w:left w:val="nil"/>
            </w:tcBorders>
          </w:tcPr>
          <w:p w14:paraId="35117AE9" w14:textId="2178715E" w:rsidR="00FA6D1D" w:rsidRPr="00F11E73" w:rsidRDefault="008A214A" w:rsidP="00F11E73">
            <w:pPr>
              <w:jc w:val="both"/>
              <w:rPr>
                <w:sz w:val="22"/>
                <w:szCs w:val="22"/>
              </w:rPr>
            </w:pPr>
            <w:r w:rsidRPr="00F11E73">
              <w:rPr>
                <w:sz w:val="22"/>
                <w:szCs w:val="22"/>
              </w:rPr>
              <w:t>0.088</w:t>
            </w:r>
          </w:p>
        </w:tc>
      </w:tr>
    </w:tbl>
    <w:p w14:paraId="385E5A14" w14:textId="0D3B105E" w:rsidR="00FA6D1D" w:rsidRPr="00F11E73" w:rsidRDefault="00E5106F" w:rsidP="00F11E73">
      <w:pPr>
        <w:pStyle w:val="ListParagraph"/>
        <w:numPr>
          <w:ilvl w:val="0"/>
          <w:numId w:val="3"/>
        </w:numPr>
        <w:spacing w:line="240" w:lineRule="auto"/>
        <w:jc w:val="both"/>
        <w:rPr>
          <w:rFonts w:ascii="Times New Roman" w:hAnsi="Times New Roman" w:cs="Times New Roman"/>
        </w:rPr>
      </w:pPr>
      <w:r w:rsidRPr="00F11E73">
        <w:rPr>
          <w:rFonts w:ascii="Times New Roman" w:hAnsi="Times New Roman" w:cs="Times New Roman"/>
        </w:rPr>
        <w:t xml:space="preserve">Odds ratios are reported for logistic regressions and incidence rate ratios are reported for Poisson regressions. Log </w:t>
      </w:r>
      <w:r w:rsidR="00993CFF" w:rsidRPr="00F11E73">
        <w:rPr>
          <w:rFonts w:ascii="Times New Roman" w:hAnsi="Times New Roman" w:cs="Times New Roman"/>
        </w:rPr>
        <w:t>of follow-up years are set as the offset in Poisson regressions.</w:t>
      </w:r>
    </w:p>
    <w:p w14:paraId="584872EB" w14:textId="6E6D7597" w:rsidR="00CC7D47" w:rsidRPr="00F11E73" w:rsidRDefault="00CC7D47" w:rsidP="00F11E73">
      <w:pPr>
        <w:jc w:val="both"/>
        <w:rPr>
          <w:sz w:val="22"/>
          <w:szCs w:val="22"/>
        </w:rPr>
      </w:pPr>
    </w:p>
    <w:p w14:paraId="0A6A228D" w14:textId="5E4B0621" w:rsidR="00CC7D47" w:rsidRPr="00F11E73" w:rsidRDefault="00CC7D47" w:rsidP="00F11E73">
      <w:pPr>
        <w:jc w:val="both"/>
        <w:rPr>
          <w:sz w:val="22"/>
          <w:szCs w:val="22"/>
        </w:rPr>
      </w:pPr>
      <w:r w:rsidRPr="00F11E73">
        <w:rPr>
          <w:sz w:val="22"/>
          <w:szCs w:val="22"/>
        </w:rPr>
        <w:t>Appendix 3. Tests for the proportional hazard assumption throughout the</w:t>
      </w:r>
      <w:r w:rsidR="00377EF9" w:rsidRPr="00F11E73">
        <w:rPr>
          <w:sz w:val="22"/>
          <w:szCs w:val="22"/>
        </w:rPr>
        <w:t xml:space="preserve"> Cox</w:t>
      </w:r>
      <w:r w:rsidRPr="00F11E73">
        <w:rPr>
          <w:sz w:val="22"/>
          <w:szCs w:val="22"/>
        </w:rPr>
        <w:t xml:space="preserve"> models</w:t>
      </w:r>
      <w:r w:rsidR="008A4C4D" w:rsidRPr="00F11E73">
        <w:rPr>
          <w:sz w:val="22"/>
          <w:szCs w:val="22"/>
        </w:rPr>
        <w:t xml:space="preserve"> in the primary analysis</w:t>
      </w:r>
      <w:r w:rsidRPr="00F11E73">
        <w:rPr>
          <w:sz w:val="22"/>
          <w:szCs w:val="22"/>
        </w:rPr>
        <w:t xml:space="preserve"> </w:t>
      </w:r>
      <w:r w:rsidRPr="00F11E73">
        <w:rPr>
          <w:rFonts w:eastAsia="SimSun"/>
          <w:color w:val="000000"/>
          <w:sz w:val="22"/>
          <w:szCs w:val="22"/>
          <w:highlight w:val="yellow"/>
          <w:lang w:bidi="ar"/>
        </w:rPr>
        <w:t>(N=9190)</w:t>
      </w:r>
      <w:r w:rsidRPr="00F11E73">
        <w:rPr>
          <w:sz w:val="22"/>
          <w:szCs w:val="22"/>
        </w:rPr>
        <w:t xml:space="preserve">. </w:t>
      </w:r>
    </w:p>
    <w:tbl>
      <w:tblPr>
        <w:tblStyle w:val="TableGrid"/>
        <w:tblW w:w="0" w:type="auto"/>
        <w:tblLook w:val="04A0" w:firstRow="1" w:lastRow="0" w:firstColumn="1" w:lastColumn="0" w:noHBand="0" w:noVBand="1"/>
      </w:tblPr>
      <w:tblGrid>
        <w:gridCol w:w="3325"/>
        <w:gridCol w:w="2250"/>
        <w:gridCol w:w="3420"/>
        <w:gridCol w:w="1795"/>
      </w:tblGrid>
      <w:tr w:rsidR="00CC7D47" w:rsidRPr="00F11E73" w14:paraId="446063E1" w14:textId="77777777" w:rsidTr="008179FF">
        <w:tc>
          <w:tcPr>
            <w:tcW w:w="3325" w:type="dxa"/>
            <w:tcBorders>
              <w:right w:val="nil"/>
            </w:tcBorders>
          </w:tcPr>
          <w:p w14:paraId="24BC3465" w14:textId="77777777" w:rsidR="00CC7D47" w:rsidRPr="00F11E73" w:rsidRDefault="00CC7D47" w:rsidP="00F11E73">
            <w:pPr>
              <w:jc w:val="both"/>
              <w:rPr>
                <w:sz w:val="22"/>
                <w:szCs w:val="22"/>
              </w:rPr>
            </w:pPr>
          </w:p>
        </w:tc>
        <w:tc>
          <w:tcPr>
            <w:tcW w:w="2250" w:type="dxa"/>
            <w:tcBorders>
              <w:left w:val="nil"/>
              <w:right w:val="nil"/>
            </w:tcBorders>
          </w:tcPr>
          <w:p w14:paraId="6332D0DE" w14:textId="77777777" w:rsidR="00CC7D47" w:rsidRPr="00F11E73" w:rsidRDefault="00CC7D47" w:rsidP="00F11E73">
            <w:pPr>
              <w:jc w:val="both"/>
              <w:rPr>
                <w:sz w:val="22"/>
                <w:szCs w:val="22"/>
              </w:rPr>
            </w:pPr>
            <w:r w:rsidRPr="00F11E73">
              <w:rPr>
                <w:sz w:val="22"/>
                <w:szCs w:val="22"/>
              </w:rPr>
              <w:t>Chi-squared statistic</w:t>
            </w:r>
          </w:p>
        </w:tc>
        <w:tc>
          <w:tcPr>
            <w:tcW w:w="3420" w:type="dxa"/>
            <w:tcBorders>
              <w:left w:val="nil"/>
              <w:right w:val="nil"/>
            </w:tcBorders>
          </w:tcPr>
          <w:p w14:paraId="2F83CE1C" w14:textId="77777777" w:rsidR="00CC7D47" w:rsidRPr="00F11E73" w:rsidRDefault="00CC7D47" w:rsidP="00F11E73">
            <w:pPr>
              <w:jc w:val="both"/>
              <w:rPr>
                <w:sz w:val="22"/>
                <w:szCs w:val="22"/>
              </w:rPr>
            </w:pPr>
            <w:r w:rsidRPr="00F11E73">
              <w:rPr>
                <w:sz w:val="22"/>
                <w:szCs w:val="22"/>
              </w:rPr>
              <w:t>p-value for alcohol consumption</w:t>
            </w:r>
          </w:p>
        </w:tc>
        <w:tc>
          <w:tcPr>
            <w:tcW w:w="1795" w:type="dxa"/>
            <w:tcBorders>
              <w:left w:val="nil"/>
            </w:tcBorders>
          </w:tcPr>
          <w:p w14:paraId="6E86CC81" w14:textId="77777777" w:rsidR="00CC7D47" w:rsidRPr="00F11E73" w:rsidRDefault="00CC7D47" w:rsidP="00F11E73">
            <w:pPr>
              <w:jc w:val="both"/>
              <w:rPr>
                <w:sz w:val="22"/>
                <w:szCs w:val="22"/>
              </w:rPr>
            </w:pPr>
            <w:r w:rsidRPr="00F11E73">
              <w:rPr>
                <w:sz w:val="22"/>
                <w:szCs w:val="22"/>
              </w:rPr>
              <w:t>Global p-value</w:t>
            </w:r>
          </w:p>
        </w:tc>
      </w:tr>
      <w:tr w:rsidR="00CC7D47" w:rsidRPr="00F11E73" w14:paraId="194FF357" w14:textId="77777777" w:rsidTr="008179FF">
        <w:tc>
          <w:tcPr>
            <w:tcW w:w="10790" w:type="dxa"/>
            <w:gridSpan w:val="4"/>
            <w:tcBorders>
              <w:bottom w:val="single" w:sz="4" w:space="0" w:color="auto"/>
            </w:tcBorders>
          </w:tcPr>
          <w:p w14:paraId="40E481AF" w14:textId="77777777" w:rsidR="00CC7D47" w:rsidRPr="00F11E73" w:rsidRDefault="00CC7D47" w:rsidP="00F11E73">
            <w:pPr>
              <w:jc w:val="both"/>
              <w:rPr>
                <w:sz w:val="22"/>
                <w:szCs w:val="22"/>
              </w:rPr>
            </w:pPr>
            <w:r w:rsidRPr="00F11E73">
              <w:rPr>
                <w:sz w:val="22"/>
                <w:szCs w:val="22"/>
              </w:rPr>
              <w:t>First approach, defining the exposure as alcohol intake age 21-entry, time scale as age</w:t>
            </w:r>
          </w:p>
        </w:tc>
      </w:tr>
      <w:tr w:rsidR="00CC7D47" w:rsidRPr="00F11E73" w14:paraId="5A8E705C" w14:textId="77777777" w:rsidTr="008179FF">
        <w:tc>
          <w:tcPr>
            <w:tcW w:w="3325" w:type="dxa"/>
            <w:tcBorders>
              <w:bottom w:val="nil"/>
              <w:right w:val="nil"/>
            </w:tcBorders>
          </w:tcPr>
          <w:p w14:paraId="2B36FF23" w14:textId="77777777" w:rsidR="00CC7D47" w:rsidRPr="00F11E73" w:rsidRDefault="00CC7D47" w:rsidP="00F11E73">
            <w:pPr>
              <w:jc w:val="both"/>
              <w:rPr>
                <w:sz w:val="22"/>
                <w:szCs w:val="22"/>
              </w:rPr>
            </w:pPr>
            <w:r w:rsidRPr="00F11E73">
              <w:rPr>
                <w:sz w:val="22"/>
                <w:szCs w:val="22"/>
              </w:rPr>
              <w:t>MV-adjusted categorical model</w:t>
            </w:r>
          </w:p>
        </w:tc>
        <w:tc>
          <w:tcPr>
            <w:tcW w:w="2250" w:type="dxa"/>
            <w:tcBorders>
              <w:left w:val="nil"/>
              <w:bottom w:val="nil"/>
              <w:right w:val="nil"/>
            </w:tcBorders>
          </w:tcPr>
          <w:p w14:paraId="77E6B3D5" w14:textId="77777777" w:rsidR="00CC7D47" w:rsidRPr="00F11E73" w:rsidRDefault="00CC7D47" w:rsidP="00F11E73">
            <w:pPr>
              <w:jc w:val="both"/>
              <w:rPr>
                <w:sz w:val="22"/>
                <w:szCs w:val="22"/>
              </w:rPr>
            </w:pPr>
            <w:r w:rsidRPr="00F11E73">
              <w:rPr>
                <w:sz w:val="22"/>
                <w:szCs w:val="22"/>
              </w:rPr>
              <w:t>6.93</w:t>
            </w:r>
          </w:p>
        </w:tc>
        <w:tc>
          <w:tcPr>
            <w:tcW w:w="3420" w:type="dxa"/>
            <w:tcBorders>
              <w:left w:val="nil"/>
              <w:bottom w:val="nil"/>
              <w:right w:val="nil"/>
            </w:tcBorders>
          </w:tcPr>
          <w:p w14:paraId="688DF594" w14:textId="77777777" w:rsidR="00CC7D47" w:rsidRPr="00F11E73" w:rsidRDefault="00CC7D47" w:rsidP="00F11E73">
            <w:pPr>
              <w:jc w:val="both"/>
              <w:rPr>
                <w:sz w:val="22"/>
                <w:szCs w:val="22"/>
              </w:rPr>
            </w:pPr>
            <w:r w:rsidRPr="00F11E73">
              <w:rPr>
                <w:sz w:val="22"/>
                <w:szCs w:val="22"/>
              </w:rPr>
              <w:t>0.074</w:t>
            </w:r>
          </w:p>
        </w:tc>
        <w:tc>
          <w:tcPr>
            <w:tcW w:w="1795" w:type="dxa"/>
            <w:tcBorders>
              <w:left w:val="nil"/>
              <w:bottom w:val="nil"/>
            </w:tcBorders>
          </w:tcPr>
          <w:p w14:paraId="29130AB4" w14:textId="77777777" w:rsidR="00CC7D47" w:rsidRPr="00F11E73" w:rsidRDefault="00CC7D47" w:rsidP="00F11E73">
            <w:pPr>
              <w:jc w:val="both"/>
              <w:rPr>
                <w:sz w:val="22"/>
                <w:szCs w:val="22"/>
              </w:rPr>
            </w:pPr>
            <w:r w:rsidRPr="00F11E73">
              <w:rPr>
                <w:sz w:val="22"/>
                <w:szCs w:val="22"/>
              </w:rPr>
              <w:t>0.178</w:t>
            </w:r>
          </w:p>
        </w:tc>
      </w:tr>
      <w:tr w:rsidR="00CC7D47" w:rsidRPr="00F11E73" w14:paraId="1878D3DC" w14:textId="77777777" w:rsidTr="008179FF">
        <w:tc>
          <w:tcPr>
            <w:tcW w:w="3325" w:type="dxa"/>
            <w:tcBorders>
              <w:top w:val="nil"/>
              <w:right w:val="nil"/>
            </w:tcBorders>
          </w:tcPr>
          <w:p w14:paraId="25795283" w14:textId="77777777" w:rsidR="00CC7D47" w:rsidRPr="00F11E73" w:rsidRDefault="00CC7D47" w:rsidP="00F11E73">
            <w:pPr>
              <w:jc w:val="both"/>
              <w:rPr>
                <w:sz w:val="22"/>
                <w:szCs w:val="22"/>
              </w:rPr>
            </w:pPr>
            <w:r w:rsidRPr="00F11E73">
              <w:rPr>
                <w:sz w:val="22"/>
                <w:szCs w:val="22"/>
              </w:rPr>
              <w:t>MV-adjusted continuous model</w:t>
            </w:r>
          </w:p>
        </w:tc>
        <w:tc>
          <w:tcPr>
            <w:tcW w:w="2250" w:type="dxa"/>
            <w:tcBorders>
              <w:top w:val="nil"/>
              <w:left w:val="nil"/>
              <w:right w:val="nil"/>
            </w:tcBorders>
          </w:tcPr>
          <w:p w14:paraId="3A5F444E" w14:textId="77777777" w:rsidR="00CC7D47" w:rsidRPr="00F11E73" w:rsidRDefault="00CC7D47" w:rsidP="00F11E73">
            <w:pPr>
              <w:jc w:val="both"/>
              <w:rPr>
                <w:sz w:val="22"/>
                <w:szCs w:val="22"/>
              </w:rPr>
            </w:pPr>
            <w:r w:rsidRPr="00F11E73">
              <w:rPr>
                <w:sz w:val="22"/>
                <w:szCs w:val="22"/>
              </w:rPr>
              <w:t>0.15</w:t>
            </w:r>
          </w:p>
        </w:tc>
        <w:tc>
          <w:tcPr>
            <w:tcW w:w="3420" w:type="dxa"/>
            <w:tcBorders>
              <w:top w:val="nil"/>
              <w:left w:val="nil"/>
              <w:right w:val="nil"/>
            </w:tcBorders>
          </w:tcPr>
          <w:p w14:paraId="73CC4092" w14:textId="77777777" w:rsidR="00CC7D47" w:rsidRPr="00F11E73" w:rsidRDefault="00CC7D47" w:rsidP="00F11E73">
            <w:pPr>
              <w:jc w:val="both"/>
              <w:rPr>
                <w:sz w:val="22"/>
                <w:szCs w:val="22"/>
              </w:rPr>
            </w:pPr>
            <w:r w:rsidRPr="00F11E73">
              <w:rPr>
                <w:sz w:val="22"/>
                <w:szCs w:val="22"/>
              </w:rPr>
              <w:t>0.697</w:t>
            </w:r>
          </w:p>
        </w:tc>
        <w:tc>
          <w:tcPr>
            <w:tcW w:w="1795" w:type="dxa"/>
            <w:tcBorders>
              <w:top w:val="nil"/>
              <w:left w:val="nil"/>
            </w:tcBorders>
          </w:tcPr>
          <w:p w14:paraId="7DD611E1" w14:textId="77777777" w:rsidR="00CC7D47" w:rsidRPr="00F11E73" w:rsidRDefault="00CC7D47" w:rsidP="00F11E73">
            <w:pPr>
              <w:jc w:val="both"/>
              <w:rPr>
                <w:sz w:val="22"/>
                <w:szCs w:val="22"/>
              </w:rPr>
            </w:pPr>
            <w:r w:rsidRPr="00F11E73">
              <w:rPr>
                <w:sz w:val="22"/>
                <w:szCs w:val="22"/>
              </w:rPr>
              <w:t>0.2326</w:t>
            </w:r>
          </w:p>
        </w:tc>
      </w:tr>
      <w:tr w:rsidR="00CC7D47" w:rsidRPr="00F11E73" w14:paraId="1BE1CBE6" w14:textId="77777777" w:rsidTr="008179FF">
        <w:tc>
          <w:tcPr>
            <w:tcW w:w="10790" w:type="dxa"/>
            <w:gridSpan w:val="4"/>
            <w:tcBorders>
              <w:bottom w:val="single" w:sz="4" w:space="0" w:color="auto"/>
            </w:tcBorders>
          </w:tcPr>
          <w:p w14:paraId="6E6460C8" w14:textId="77777777" w:rsidR="00CC7D47" w:rsidRPr="00F11E73" w:rsidRDefault="00CC7D47" w:rsidP="00F11E73">
            <w:pPr>
              <w:jc w:val="both"/>
              <w:rPr>
                <w:sz w:val="22"/>
                <w:szCs w:val="22"/>
              </w:rPr>
            </w:pPr>
            <w:r w:rsidRPr="00F11E73">
              <w:rPr>
                <w:sz w:val="22"/>
                <w:szCs w:val="22"/>
              </w:rPr>
              <w:t>Second approach, defining the exposure as prevalent alcohol intake at baseline, time scale as years since entry</w:t>
            </w:r>
          </w:p>
        </w:tc>
      </w:tr>
      <w:tr w:rsidR="00CC7D47" w:rsidRPr="00F11E73" w14:paraId="6A61C09A" w14:textId="77777777" w:rsidTr="008179FF">
        <w:tc>
          <w:tcPr>
            <w:tcW w:w="3325" w:type="dxa"/>
            <w:tcBorders>
              <w:bottom w:val="nil"/>
              <w:right w:val="nil"/>
            </w:tcBorders>
          </w:tcPr>
          <w:p w14:paraId="4057F81E" w14:textId="77777777" w:rsidR="00CC7D47" w:rsidRPr="00F11E73" w:rsidRDefault="00CC7D47" w:rsidP="00F11E73">
            <w:pPr>
              <w:jc w:val="both"/>
              <w:rPr>
                <w:sz w:val="22"/>
                <w:szCs w:val="22"/>
              </w:rPr>
            </w:pPr>
            <w:r w:rsidRPr="00F11E73">
              <w:rPr>
                <w:sz w:val="22"/>
                <w:szCs w:val="22"/>
              </w:rPr>
              <w:t>MV-adjusted categorical model</w:t>
            </w:r>
          </w:p>
        </w:tc>
        <w:tc>
          <w:tcPr>
            <w:tcW w:w="2250" w:type="dxa"/>
            <w:tcBorders>
              <w:left w:val="nil"/>
              <w:bottom w:val="nil"/>
              <w:right w:val="nil"/>
            </w:tcBorders>
          </w:tcPr>
          <w:p w14:paraId="09D66E45" w14:textId="77777777" w:rsidR="00CC7D47" w:rsidRPr="00F11E73" w:rsidRDefault="00CC7D47" w:rsidP="00F11E73">
            <w:pPr>
              <w:jc w:val="both"/>
              <w:rPr>
                <w:sz w:val="22"/>
                <w:szCs w:val="22"/>
              </w:rPr>
            </w:pPr>
            <w:r w:rsidRPr="00F11E73">
              <w:rPr>
                <w:sz w:val="22"/>
                <w:szCs w:val="22"/>
              </w:rPr>
              <w:t>2.92</w:t>
            </w:r>
          </w:p>
        </w:tc>
        <w:tc>
          <w:tcPr>
            <w:tcW w:w="3420" w:type="dxa"/>
            <w:tcBorders>
              <w:left w:val="nil"/>
              <w:bottom w:val="nil"/>
              <w:right w:val="nil"/>
            </w:tcBorders>
          </w:tcPr>
          <w:p w14:paraId="0250F89B" w14:textId="77777777" w:rsidR="00CC7D47" w:rsidRPr="00F11E73" w:rsidRDefault="00CC7D47" w:rsidP="00F11E73">
            <w:pPr>
              <w:jc w:val="both"/>
              <w:rPr>
                <w:sz w:val="22"/>
                <w:szCs w:val="22"/>
              </w:rPr>
            </w:pPr>
            <w:r w:rsidRPr="00F11E73">
              <w:rPr>
                <w:sz w:val="22"/>
                <w:szCs w:val="22"/>
              </w:rPr>
              <w:t>0.404</w:t>
            </w:r>
          </w:p>
        </w:tc>
        <w:tc>
          <w:tcPr>
            <w:tcW w:w="1795" w:type="dxa"/>
            <w:tcBorders>
              <w:left w:val="nil"/>
              <w:bottom w:val="nil"/>
            </w:tcBorders>
          </w:tcPr>
          <w:p w14:paraId="775DF3E0" w14:textId="77777777" w:rsidR="00CC7D47" w:rsidRPr="00F11E73" w:rsidRDefault="00CC7D47" w:rsidP="00F11E73">
            <w:pPr>
              <w:jc w:val="both"/>
              <w:rPr>
                <w:sz w:val="22"/>
                <w:szCs w:val="22"/>
              </w:rPr>
            </w:pPr>
            <w:r w:rsidRPr="00F11E73">
              <w:rPr>
                <w:sz w:val="22"/>
                <w:szCs w:val="22"/>
              </w:rPr>
              <w:t>0.653</w:t>
            </w:r>
          </w:p>
        </w:tc>
      </w:tr>
      <w:tr w:rsidR="00CC7D47" w:rsidRPr="00F11E73" w14:paraId="70A4CA63" w14:textId="77777777" w:rsidTr="008179FF">
        <w:tc>
          <w:tcPr>
            <w:tcW w:w="3325" w:type="dxa"/>
            <w:tcBorders>
              <w:top w:val="nil"/>
              <w:right w:val="nil"/>
            </w:tcBorders>
          </w:tcPr>
          <w:p w14:paraId="4326B7D3" w14:textId="77777777" w:rsidR="00CC7D47" w:rsidRPr="00F11E73" w:rsidRDefault="00CC7D47" w:rsidP="00F11E73">
            <w:pPr>
              <w:jc w:val="both"/>
              <w:rPr>
                <w:sz w:val="22"/>
                <w:szCs w:val="22"/>
              </w:rPr>
            </w:pPr>
            <w:r w:rsidRPr="00F11E73">
              <w:rPr>
                <w:sz w:val="22"/>
                <w:szCs w:val="22"/>
              </w:rPr>
              <w:t>MV-adjusted continuous model</w:t>
            </w:r>
          </w:p>
        </w:tc>
        <w:tc>
          <w:tcPr>
            <w:tcW w:w="2250" w:type="dxa"/>
            <w:tcBorders>
              <w:top w:val="nil"/>
              <w:left w:val="nil"/>
              <w:right w:val="nil"/>
            </w:tcBorders>
          </w:tcPr>
          <w:p w14:paraId="3F66F85D" w14:textId="77777777" w:rsidR="00CC7D47" w:rsidRPr="00F11E73" w:rsidRDefault="00CC7D47" w:rsidP="00F11E73">
            <w:pPr>
              <w:jc w:val="both"/>
              <w:rPr>
                <w:sz w:val="22"/>
                <w:szCs w:val="22"/>
              </w:rPr>
            </w:pPr>
            <w:r w:rsidRPr="00F11E73">
              <w:rPr>
                <w:sz w:val="22"/>
                <w:szCs w:val="22"/>
              </w:rPr>
              <w:t>0.53</w:t>
            </w:r>
          </w:p>
        </w:tc>
        <w:tc>
          <w:tcPr>
            <w:tcW w:w="3420" w:type="dxa"/>
            <w:tcBorders>
              <w:top w:val="nil"/>
              <w:left w:val="nil"/>
              <w:right w:val="nil"/>
            </w:tcBorders>
          </w:tcPr>
          <w:p w14:paraId="6C52D209" w14:textId="77777777" w:rsidR="00CC7D47" w:rsidRPr="00F11E73" w:rsidRDefault="00CC7D47" w:rsidP="00F11E73">
            <w:pPr>
              <w:jc w:val="both"/>
              <w:rPr>
                <w:sz w:val="22"/>
                <w:szCs w:val="22"/>
              </w:rPr>
            </w:pPr>
            <w:r w:rsidRPr="00F11E73">
              <w:rPr>
                <w:sz w:val="22"/>
                <w:szCs w:val="22"/>
              </w:rPr>
              <w:t>0.465</w:t>
            </w:r>
          </w:p>
        </w:tc>
        <w:tc>
          <w:tcPr>
            <w:tcW w:w="1795" w:type="dxa"/>
            <w:tcBorders>
              <w:top w:val="nil"/>
              <w:left w:val="nil"/>
            </w:tcBorders>
          </w:tcPr>
          <w:p w14:paraId="4050A3B2" w14:textId="77777777" w:rsidR="00CC7D47" w:rsidRPr="00F11E73" w:rsidRDefault="00CC7D47" w:rsidP="00F11E73">
            <w:pPr>
              <w:jc w:val="both"/>
              <w:rPr>
                <w:sz w:val="22"/>
                <w:szCs w:val="22"/>
              </w:rPr>
            </w:pPr>
            <w:r w:rsidRPr="00F11E73">
              <w:rPr>
                <w:sz w:val="22"/>
                <w:szCs w:val="22"/>
              </w:rPr>
              <w:t>0.</w:t>
            </w:r>
            <w:commentRangeStart w:id="8"/>
            <w:r w:rsidRPr="00F11E73">
              <w:rPr>
                <w:sz w:val="22"/>
                <w:szCs w:val="22"/>
              </w:rPr>
              <w:t>672</w:t>
            </w:r>
            <w:commentRangeEnd w:id="8"/>
            <w:r w:rsidRPr="00F11E73">
              <w:rPr>
                <w:rStyle w:val="CommentReference"/>
                <w:sz w:val="22"/>
                <w:szCs w:val="22"/>
              </w:rPr>
              <w:commentReference w:id="8"/>
            </w:r>
          </w:p>
        </w:tc>
      </w:tr>
    </w:tbl>
    <w:p w14:paraId="7CF5394A" w14:textId="77777777" w:rsidR="00CC7D47" w:rsidRPr="00F11E73" w:rsidRDefault="00CC7D47" w:rsidP="00F11E73">
      <w:pPr>
        <w:jc w:val="both"/>
        <w:rPr>
          <w:sz w:val="22"/>
          <w:szCs w:val="22"/>
        </w:rPr>
      </w:pPr>
    </w:p>
    <w:p w14:paraId="66A3B980" w14:textId="2E100EA1" w:rsidR="00CC7D47" w:rsidRPr="00F11E73" w:rsidRDefault="00CC7D47" w:rsidP="00F11E73">
      <w:pPr>
        <w:jc w:val="both"/>
        <w:rPr>
          <w:sz w:val="22"/>
          <w:szCs w:val="22"/>
        </w:rPr>
      </w:pPr>
    </w:p>
    <w:p w14:paraId="390DF1AF" w14:textId="66FD8D14" w:rsidR="00046E67" w:rsidRPr="00F11E73" w:rsidRDefault="00046E67" w:rsidP="00F11E73">
      <w:pPr>
        <w:jc w:val="both"/>
        <w:rPr>
          <w:sz w:val="22"/>
          <w:szCs w:val="22"/>
        </w:rPr>
      </w:pPr>
    </w:p>
    <w:p w14:paraId="281A358C" w14:textId="77777777" w:rsidR="00046E67" w:rsidRPr="00F11E73" w:rsidRDefault="00046E67" w:rsidP="00F11E73">
      <w:pPr>
        <w:jc w:val="both"/>
        <w:rPr>
          <w:sz w:val="22"/>
          <w:szCs w:val="22"/>
        </w:rPr>
      </w:pPr>
    </w:p>
    <w:p w14:paraId="784501FC" w14:textId="77777777" w:rsidR="00CC7D47" w:rsidRPr="00F11E73" w:rsidRDefault="00CC7D47" w:rsidP="00F11E73">
      <w:pPr>
        <w:jc w:val="both"/>
        <w:rPr>
          <w:sz w:val="22"/>
          <w:szCs w:val="22"/>
        </w:rPr>
      </w:pPr>
    </w:p>
    <w:p w14:paraId="49B9DD88" w14:textId="77777777" w:rsidR="00941AC8" w:rsidRPr="00F11E73" w:rsidRDefault="00941AC8" w:rsidP="00F11E73">
      <w:pPr>
        <w:jc w:val="both"/>
        <w:rPr>
          <w:sz w:val="22"/>
          <w:szCs w:val="22"/>
        </w:rPr>
      </w:pPr>
      <w:r w:rsidRPr="00F11E73">
        <w:rPr>
          <w:noProof/>
          <w:sz w:val="22"/>
          <w:szCs w:val="22"/>
        </w:rPr>
        <w:lastRenderedPageBreak/>
        <w:drawing>
          <wp:inline distT="0" distB="0" distL="0" distR="0" wp14:anchorId="652FDD78" wp14:editId="78502420">
            <wp:extent cx="5253687" cy="3242275"/>
            <wp:effectExtent l="0" t="0" r="4445" b="0"/>
            <wp:docPr id="3" name="Picture 3"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图表, 折线图&#10;&#10;Description automatically generated"/>
                    <pic:cNvPicPr/>
                  </pic:nvPicPr>
                  <pic:blipFill>
                    <a:blip r:embed="rId13"/>
                    <a:stretch>
                      <a:fillRect/>
                    </a:stretch>
                  </pic:blipFill>
                  <pic:spPr>
                    <a:xfrm>
                      <a:off x="0" y="0"/>
                      <a:ext cx="5259619" cy="3245936"/>
                    </a:xfrm>
                    <a:prstGeom prst="rect">
                      <a:avLst/>
                    </a:prstGeom>
                  </pic:spPr>
                </pic:pic>
              </a:graphicData>
            </a:graphic>
          </wp:inline>
        </w:drawing>
      </w:r>
    </w:p>
    <w:p w14:paraId="7A7492C7" w14:textId="5A82868B" w:rsidR="00941AC8" w:rsidRPr="00F11E73" w:rsidRDefault="00941AC8" w:rsidP="00F11E73">
      <w:pPr>
        <w:jc w:val="both"/>
        <w:rPr>
          <w:sz w:val="22"/>
          <w:szCs w:val="22"/>
        </w:rPr>
      </w:pPr>
      <w:r w:rsidRPr="00F11E73">
        <w:rPr>
          <w:sz w:val="22"/>
          <w:szCs w:val="22"/>
        </w:rPr>
        <w:t xml:space="preserve">Appendix </w:t>
      </w:r>
      <w:r w:rsidR="00CC7D47" w:rsidRPr="00F11E73">
        <w:rPr>
          <w:sz w:val="22"/>
          <w:szCs w:val="22"/>
        </w:rPr>
        <w:t>4</w:t>
      </w:r>
      <w:r w:rsidRPr="00F11E73">
        <w:rPr>
          <w:sz w:val="22"/>
          <w:szCs w:val="22"/>
        </w:rPr>
        <w:t xml:space="preserve">. </w:t>
      </w:r>
      <w:r w:rsidRPr="00F11E73">
        <w:rPr>
          <w:sz w:val="22"/>
          <w:szCs w:val="22"/>
          <w:highlight w:val="cyan"/>
        </w:rPr>
        <w:t xml:space="preserve">title? // not discussed in </w:t>
      </w:r>
      <w:proofErr w:type="gramStart"/>
      <w:r w:rsidRPr="00F11E73">
        <w:rPr>
          <w:sz w:val="22"/>
          <w:szCs w:val="22"/>
          <w:highlight w:val="cyan"/>
        </w:rPr>
        <w:t>text?</w:t>
      </w:r>
      <w:proofErr w:type="gramEnd"/>
    </w:p>
    <w:p w14:paraId="47F9803F" w14:textId="77777777" w:rsidR="00941AC8" w:rsidRPr="00F11E73" w:rsidRDefault="00941AC8" w:rsidP="00F11E73">
      <w:pPr>
        <w:jc w:val="both"/>
        <w:rPr>
          <w:sz w:val="22"/>
          <w:szCs w:val="22"/>
        </w:rPr>
      </w:pPr>
    </w:p>
    <w:sectPr w:rsidR="00941AC8" w:rsidRPr="00F11E73" w:rsidSect="00676129">
      <w:footerReference w:type="default" r:id="rId1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eyi Liu" w:date="2022-05-11T17:16:00Z" w:initials="JL">
    <w:p w14:paraId="5D200F53" w14:textId="77777777" w:rsidR="008B55A5" w:rsidRDefault="008B55A5" w:rsidP="008B55A5">
      <w:r>
        <w:rPr>
          <w:rStyle w:val="CommentReference"/>
        </w:rPr>
        <w:annotationRef/>
      </w:r>
      <w:r>
        <w:rPr>
          <w:rFonts w:asciiTheme="minorHAnsi" w:eastAsiaTheme="minorEastAsia" w:hAnsiTheme="minorHAnsi" w:cstheme="minorBidi"/>
          <w:sz w:val="20"/>
          <w:szCs w:val="20"/>
        </w:rPr>
        <w:t>Why only for mv-adjusted model from the second approach?</w:t>
      </w:r>
    </w:p>
  </w:comment>
  <w:comment w:id="1" w:author="Jueyi Liu" w:date="2022-05-11T16:51:00Z" w:initials="JL">
    <w:p w14:paraId="31F8DA97" w14:textId="77777777" w:rsidR="008B55A5" w:rsidRDefault="008B55A5" w:rsidP="008B55A5">
      <w:r>
        <w:rPr>
          <w:rStyle w:val="CommentReference"/>
        </w:rPr>
        <w:annotationRef/>
      </w:r>
      <w:r>
        <w:rPr>
          <w:rFonts w:asciiTheme="minorHAnsi" w:eastAsiaTheme="minorEastAsia" w:hAnsiTheme="minorHAnsi" w:cstheme="minorBidi"/>
          <w:sz w:val="20"/>
          <w:szCs w:val="20"/>
        </w:rPr>
        <w:t>?</w:t>
      </w:r>
    </w:p>
  </w:comment>
  <w:comment w:id="2" w:author="Jueyi Liu" w:date="2022-05-03T15:55:00Z" w:initials="JL">
    <w:p w14:paraId="32E69ADD" w14:textId="77777777" w:rsidR="008B55A5" w:rsidRDefault="008B55A5" w:rsidP="008B55A5">
      <w:r>
        <w:rPr>
          <w:rStyle w:val="CommentReference"/>
        </w:rPr>
        <w:annotationRef/>
      </w:r>
      <w:r>
        <w:rPr>
          <w:sz w:val="20"/>
          <w:szCs w:val="20"/>
        </w:rPr>
        <w:t>?? Which table shows this?</w:t>
      </w:r>
    </w:p>
  </w:comment>
  <w:comment w:id="3" w:author="Jueyi Liu" w:date="2022-05-11T16:38:00Z" w:initials="JL">
    <w:p w14:paraId="6CC14E3A" w14:textId="77777777" w:rsidR="005E4F31" w:rsidRDefault="005E4F31" w:rsidP="00DF3F33">
      <w:r>
        <w:rPr>
          <w:rStyle w:val="CommentReference"/>
        </w:rPr>
        <w:annotationRef/>
      </w:r>
      <w:r>
        <w:rPr>
          <w:rFonts w:asciiTheme="minorHAnsi" w:eastAsiaTheme="minorEastAsia" w:hAnsiTheme="minorHAnsi" w:cstheme="minorBidi"/>
          <w:sz w:val="20"/>
          <w:szCs w:val="20"/>
        </w:rPr>
        <w:t>Explain why risk can translate to rate?</w:t>
      </w:r>
    </w:p>
  </w:comment>
  <w:comment w:id="4" w:author="Jueyi Liu" w:date="2022-05-03T15:48:00Z" w:initials="JL">
    <w:p w14:paraId="74A1B482" w14:textId="4EE2FBE2" w:rsidR="00572270" w:rsidRDefault="00572270" w:rsidP="00472FB0">
      <w:r>
        <w:rPr>
          <w:rStyle w:val="CommentReference"/>
        </w:rPr>
        <w:annotationRef/>
      </w:r>
      <w:r>
        <w:rPr>
          <w:sz w:val="20"/>
          <w:szCs w:val="20"/>
        </w:rPr>
        <w:t>This is not shown in Table 1</w:t>
      </w:r>
    </w:p>
  </w:comment>
  <w:comment w:id="5" w:author="Jueyi Liu" w:date="2022-05-11T16:31:00Z" w:initials="JL">
    <w:p w14:paraId="315483D9" w14:textId="77777777" w:rsidR="007E4AFA" w:rsidRDefault="007E4AFA" w:rsidP="00CC09A0">
      <w:r>
        <w:rPr>
          <w:rStyle w:val="CommentReference"/>
        </w:rPr>
        <w:annotationRef/>
      </w:r>
      <w:r>
        <w:rPr>
          <w:rFonts w:asciiTheme="minorHAnsi" w:eastAsiaTheme="minorEastAsia" w:hAnsiTheme="minorHAnsi" w:cstheme="minorBidi"/>
          <w:sz w:val="20"/>
          <w:szCs w:val="20"/>
        </w:rPr>
        <w:t>What disease?</w:t>
      </w:r>
    </w:p>
  </w:comment>
  <w:comment w:id="6" w:author="Jueyi Liu" w:date="2022-05-11T16:32:00Z" w:initials="JL">
    <w:p w14:paraId="4C2E2C04" w14:textId="77777777" w:rsidR="007B6B8A" w:rsidRDefault="007B6B8A" w:rsidP="000363D9">
      <w:r>
        <w:rPr>
          <w:rStyle w:val="CommentReference"/>
        </w:rPr>
        <w:annotationRef/>
      </w:r>
      <w:r>
        <w:rPr>
          <w:rFonts w:asciiTheme="minorHAnsi" w:eastAsiaTheme="minorEastAsia" w:hAnsiTheme="minorHAnsi" w:cstheme="minorBidi"/>
          <w:sz w:val="20"/>
          <w:szCs w:val="20"/>
        </w:rPr>
        <w:t>Due to sample size?</w:t>
      </w:r>
    </w:p>
  </w:comment>
  <w:comment w:id="7" w:author="Jueyi Liu" w:date="2022-05-11T16:33:00Z" w:initials="JL">
    <w:p w14:paraId="3B09279D" w14:textId="77777777" w:rsidR="007B6B8A" w:rsidRDefault="007B6B8A" w:rsidP="00AC3CA9">
      <w:r>
        <w:rPr>
          <w:rStyle w:val="CommentReference"/>
        </w:rPr>
        <w:annotationRef/>
      </w:r>
      <w:r>
        <w:rPr>
          <w:rFonts w:asciiTheme="minorHAnsi" w:eastAsiaTheme="minorEastAsia" w:hAnsiTheme="minorHAnsi" w:cstheme="minorBidi"/>
          <w:sz w:val="20"/>
          <w:szCs w:val="20"/>
        </w:rPr>
        <w:t>Repeated with the first paragraph in this section</w:t>
      </w:r>
    </w:p>
  </w:comment>
  <w:comment w:id="8" w:author="Jueyi Liu" w:date="2022-05-03T15:40:00Z" w:initials="JL">
    <w:p w14:paraId="321059D0" w14:textId="69417851" w:rsidR="00CC7D47" w:rsidRDefault="00CC7D47" w:rsidP="00CC7D47">
      <w:r>
        <w:rPr>
          <w:rStyle w:val="CommentReference"/>
        </w:rPr>
        <w:annotationRef/>
      </w:r>
      <w:r>
        <w:rPr>
          <w:sz w:val="20"/>
          <w:szCs w:val="20"/>
        </w:rPr>
        <w:t>Is the plot discussed in the main text? Or put it in appendix with Figure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200F53" w15:done="0"/>
  <w15:commentEx w15:paraId="31F8DA97" w15:done="0"/>
  <w15:commentEx w15:paraId="32E69ADD" w15:done="0"/>
  <w15:commentEx w15:paraId="6CC14E3A" w15:done="0"/>
  <w15:commentEx w15:paraId="74A1B482" w15:done="0"/>
  <w15:commentEx w15:paraId="315483D9" w15:paraIdParent="74A1B482" w15:done="0"/>
  <w15:commentEx w15:paraId="4C2E2C04" w15:done="0"/>
  <w15:commentEx w15:paraId="3B09279D" w15:done="0"/>
  <w15:commentEx w15:paraId="321059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66DF6" w16cex:dateUtc="2022-05-11T21:16:00Z"/>
  <w16cex:commentExtensible w16cex:durableId="262667F4" w16cex:dateUtc="2022-05-11T20:51:00Z"/>
  <w16cex:commentExtensible w16cex:durableId="261BCEED" w16cex:dateUtc="2022-05-03T19:55:00Z"/>
  <w16cex:commentExtensible w16cex:durableId="2626650E" w16cex:dateUtc="2022-05-11T20:38:00Z"/>
  <w16cex:commentExtensible w16cex:durableId="261BCD61" w16cex:dateUtc="2022-05-03T19:48:00Z"/>
  <w16cex:commentExtensible w16cex:durableId="2626634B" w16cex:dateUtc="2022-05-11T20:31:00Z"/>
  <w16cex:commentExtensible w16cex:durableId="262663A0" w16cex:dateUtc="2022-05-11T20:32:00Z"/>
  <w16cex:commentExtensible w16cex:durableId="262663E2" w16cex:dateUtc="2022-05-11T20:33:00Z"/>
  <w16cex:commentExtensible w16cex:durableId="26263AC2" w16cex:dateUtc="2022-05-03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200F53" w16cid:durableId="26266DF6"/>
  <w16cid:commentId w16cid:paraId="31F8DA97" w16cid:durableId="262667F4"/>
  <w16cid:commentId w16cid:paraId="32E69ADD" w16cid:durableId="261BCEED"/>
  <w16cid:commentId w16cid:paraId="6CC14E3A" w16cid:durableId="2626650E"/>
  <w16cid:commentId w16cid:paraId="74A1B482" w16cid:durableId="261BCD61"/>
  <w16cid:commentId w16cid:paraId="315483D9" w16cid:durableId="2626634B"/>
  <w16cid:commentId w16cid:paraId="4C2E2C04" w16cid:durableId="262663A0"/>
  <w16cid:commentId w16cid:paraId="3B09279D" w16cid:durableId="262663E2"/>
  <w16cid:commentId w16cid:paraId="321059D0" w16cid:durableId="26263A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57A92" w14:textId="77777777" w:rsidR="00106A67" w:rsidRDefault="00106A67" w:rsidP="00463A8C">
      <w:r>
        <w:separator/>
      </w:r>
    </w:p>
  </w:endnote>
  <w:endnote w:type="continuationSeparator" w:id="0">
    <w:p w14:paraId="3C0E4A33" w14:textId="77777777" w:rsidR="00106A67" w:rsidRDefault="00106A67" w:rsidP="00463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850263"/>
      <w:docPartObj>
        <w:docPartGallery w:val="Page Numbers (Bottom of Page)"/>
        <w:docPartUnique/>
      </w:docPartObj>
    </w:sdtPr>
    <w:sdtEndPr>
      <w:rPr>
        <w:noProof/>
      </w:rPr>
    </w:sdtEndPr>
    <w:sdtContent>
      <w:p w14:paraId="2CD42E14" w14:textId="2ADB965C" w:rsidR="00332761" w:rsidRDefault="003327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4ADE58" w14:textId="77777777" w:rsidR="00332761" w:rsidRDefault="00332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E20CF" w14:textId="77777777" w:rsidR="00106A67" w:rsidRDefault="00106A67" w:rsidP="00463A8C">
      <w:r>
        <w:separator/>
      </w:r>
    </w:p>
  </w:footnote>
  <w:footnote w:type="continuationSeparator" w:id="0">
    <w:p w14:paraId="4639BAB7" w14:textId="77777777" w:rsidR="00106A67" w:rsidRDefault="00106A67" w:rsidP="00463A8C">
      <w:r>
        <w:continuationSeparator/>
      </w:r>
    </w:p>
  </w:footnote>
  <w:footnote w:id="1">
    <w:p w14:paraId="229232C7" w14:textId="77777777" w:rsidR="00FD73D5" w:rsidRPr="00980600" w:rsidRDefault="00FD73D5" w:rsidP="00FD73D5">
      <w:pPr>
        <w:autoSpaceDE w:val="0"/>
        <w:autoSpaceDN w:val="0"/>
        <w:adjustRightInd w:val="0"/>
        <w:rPr>
          <w:sz w:val="22"/>
          <w:szCs w:val="22"/>
        </w:rPr>
      </w:pPr>
      <w:r>
        <w:rPr>
          <w:rStyle w:val="FootnoteReference"/>
        </w:rPr>
        <w:footnoteRef/>
      </w:r>
      <w:r>
        <w:t xml:space="preserve"> </w:t>
      </w:r>
      <w:r w:rsidRPr="00980600">
        <w:rPr>
          <w:sz w:val="22"/>
          <w:szCs w:val="22"/>
        </w:rPr>
        <w:t>https://wwwn.cdc.gov/nchs/nhanes/nhanes2/default.aspx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004B2"/>
    <w:multiLevelType w:val="hybridMultilevel"/>
    <w:tmpl w:val="86FE6080"/>
    <w:lvl w:ilvl="0" w:tplc="32C40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B7E0A"/>
    <w:multiLevelType w:val="hybridMultilevel"/>
    <w:tmpl w:val="BD6C7398"/>
    <w:lvl w:ilvl="0" w:tplc="FAEAA79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52322"/>
    <w:multiLevelType w:val="hybridMultilevel"/>
    <w:tmpl w:val="CE763868"/>
    <w:lvl w:ilvl="0" w:tplc="1578E2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794641053">
    <w:abstractNumId w:val="2"/>
  </w:num>
  <w:num w:numId="2" w16cid:durableId="1819422453">
    <w:abstractNumId w:val="0"/>
  </w:num>
  <w:num w:numId="3" w16cid:durableId="20596258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eyi Liu">
    <w15:presenceInfo w15:providerId="AD" w15:userId="S::jueyiliu@stanford.edu::82808853-e76c-4ec4-967b-2ea2ddd597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010DD7"/>
    <w:rsid w:val="0002749D"/>
    <w:rsid w:val="000328B2"/>
    <w:rsid w:val="000449BE"/>
    <w:rsid w:val="00046E67"/>
    <w:rsid w:val="00047C4E"/>
    <w:rsid w:val="00075B2D"/>
    <w:rsid w:val="00081FAA"/>
    <w:rsid w:val="00082CA7"/>
    <w:rsid w:val="000834EB"/>
    <w:rsid w:val="00086901"/>
    <w:rsid w:val="000951A0"/>
    <w:rsid w:val="000A61BE"/>
    <w:rsid w:val="000A6218"/>
    <w:rsid w:val="000C3632"/>
    <w:rsid w:val="000D38CF"/>
    <w:rsid w:val="000D6734"/>
    <w:rsid w:val="000F2EB3"/>
    <w:rsid w:val="000F49B0"/>
    <w:rsid w:val="001023A6"/>
    <w:rsid w:val="00106A67"/>
    <w:rsid w:val="00106DA4"/>
    <w:rsid w:val="00112E6C"/>
    <w:rsid w:val="0012703B"/>
    <w:rsid w:val="001332F6"/>
    <w:rsid w:val="00143B9D"/>
    <w:rsid w:val="00151014"/>
    <w:rsid w:val="00155149"/>
    <w:rsid w:val="00164813"/>
    <w:rsid w:val="00170478"/>
    <w:rsid w:val="001704D4"/>
    <w:rsid w:val="00172CB9"/>
    <w:rsid w:val="00173639"/>
    <w:rsid w:val="00176326"/>
    <w:rsid w:val="0019226D"/>
    <w:rsid w:val="001954CD"/>
    <w:rsid w:val="001972FB"/>
    <w:rsid w:val="001A187A"/>
    <w:rsid w:val="001A6812"/>
    <w:rsid w:val="001B00B0"/>
    <w:rsid w:val="001C0EAD"/>
    <w:rsid w:val="001C7983"/>
    <w:rsid w:val="001D0867"/>
    <w:rsid w:val="001E2FE6"/>
    <w:rsid w:val="001F393A"/>
    <w:rsid w:val="002047D0"/>
    <w:rsid w:val="00207C1E"/>
    <w:rsid w:val="00221A19"/>
    <w:rsid w:val="002268C5"/>
    <w:rsid w:val="00230879"/>
    <w:rsid w:val="00245788"/>
    <w:rsid w:val="00254A0C"/>
    <w:rsid w:val="00264152"/>
    <w:rsid w:val="0027491E"/>
    <w:rsid w:val="0027594D"/>
    <w:rsid w:val="00280351"/>
    <w:rsid w:val="002B0300"/>
    <w:rsid w:val="002B2876"/>
    <w:rsid w:val="002B7DD2"/>
    <w:rsid w:val="002D6D33"/>
    <w:rsid w:val="002E3A49"/>
    <w:rsid w:val="002E5F70"/>
    <w:rsid w:val="002F6F3F"/>
    <w:rsid w:val="002F7CEE"/>
    <w:rsid w:val="0031162A"/>
    <w:rsid w:val="00311F56"/>
    <w:rsid w:val="00312EB3"/>
    <w:rsid w:val="00316B9A"/>
    <w:rsid w:val="00317568"/>
    <w:rsid w:val="0032062E"/>
    <w:rsid w:val="00332761"/>
    <w:rsid w:val="00332B7F"/>
    <w:rsid w:val="00332BEF"/>
    <w:rsid w:val="00355937"/>
    <w:rsid w:val="003711DE"/>
    <w:rsid w:val="00377EF9"/>
    <w:rsid w:val="003874FE"/>
    <w:rsid w:val="00390E6B"/>
    <w:rsid w:val="00397962"/>
    <w:rsid w:val="003A761C"/>
    <w:rsid w:val="003B1C42"/>
    <w:rsid w:val="003B6323"/>
    <w:rsid w:val="003C35D9"/>
    <w:rsid w:val="003C6279"/>
    <w:rsid w:val="003D5AD5"/>
    <w:rsid w:val="003E10EB"/>
    <w:rsid w:val="003F2FA2"/>
    <w:rsid w:val="003F3809"/>
    <w:rsid w:val="003F58A3"/>
    <w:rsid w:val="00400673"/>
    <w:rsid w:val="00401075"/>
    <w:rsid w:val="00417EBE"/>
    <w:rsid w:val="00423D97"/>
    <w:rsid w:val="00425229"/>
    <w:rsid w:val="00425B5A"/>
    <w:rsid w:val="0042755E"/>
    <w:rsid w:val="00436F7C"/>
    <w:rsid w:val="00437967"/>
    <w:rsid w:val="004442BC"/>
    <w:rsid w:val="0045739F"/>
    <w:rsid w:val="004633AE"/>
    <w:rsid w:val="00463A8C"/>
    <w:rsid w:val="0046672B"/>
    <w:rsid w:val="00474159"/>
    <w:rsid w:val="004744DB"/>
    <w:rsid w:val="00477C41"/>
    <w:rsid w:val="00480BAE"/>
    <w:rsid w:val="00487C85"/>
    <w:rsid w:val="004978DD"/>
    <w:rsid w:val="004A6CCC"/>
    <w:rsid w:val="004B3824"/>
    <w:rsid w:val="004B4530"/>
    <w:rsid w:val="004B7743"/>
    <w:rsid w:val="004C0E97"/>
    <w:rsid w:val="004C2ABC"/>
    <w:rsid w:val="004D10B5"/>
    <w:rsid w:val="004D1B6B"/>
    <w:rsid w:val="004D4DA5"/>
    <w:rsid w:val="004D626E"/>
    <w:rsid w:val="004D7735"/>
    <w:rsid w:val="004D7851"/>
    <w:rsid w:val="004F2875"/>
    <w:rsid w:val="004F3AD0"/>
    <w:rsid w:val="004F59EA"/>
    <w:rsid w:val="0050164D"/>
    <w:rsid w:val="005052F5"/>
    <w:rsid w:val="00520AEE"/>
    <w:rsid w:val="00520BF2"/>
    <w:rsid w:val="00532BBE"/>
    <w:rsid w:val="00533143"/>
    <w:rsid w:val="005510E7"/>
    <w:rsid w:val="0055687E"/>
    <w:rsid w:val="005570A1"/>
    <w:rsid w:val="00570944"/>
    <w:rsid w:val="00572270"/>
    <w:rsid w:val="00581797"/>
    <w:rsid w:val="00582329"/>
    <w:rsid w:val="005877D3"/>
    <w:rsid w:val="0059246D"/>
    <w:rsid w:val="00596C60"/>
    <w:rsid w:val="005A0032"/>
    <w:rsid w:val="005A22F2"/>
    <w:rsid w:val="005A7DD9"/>
    <w:rsid w:val="005D5B4C"/>
    <w:rsid w:val="005D7BB8"/>
    <w:rsid w:val="005E2FA9"/>
    <w:rsid w:val="005E3091"/>
    <w:rsid w:val="005E4F31"/>
    <w:rsid w:val="005E6A72"/>
    <w:rsid w:val="005F3C0B"/>
    <w:rsid w:val="00601990"/>
    <w:rsid w:val="006028DF"/>
    <w:rsid w:val="00607D87"/>
    <w:rsid w:val="00611D99"/>
    <w:rsid w:val="006120F7"/>
    <w:rsid w:val="0061730D"/>
    <w:rsid w:val="006178B5"/>
    <w:rsid w:val="00625DD0"/>
    <w:rsid w:val="00633505"/>
    <w:rsid w:val="00634F93"/>
    <w:rsid w:val="00636FB7"/>
    <w:rsid w:val="0064258E"/>
    <w:rsid w:val="00676129"/>
    <w:rsid w:val="00677179"/>
    <w:rsid w:val="0068666D"/>
    <w:rsid w:val="00697F12"/>
    <w:rsid w:val="006A100C"/>
    <w:rsid w:val="006A2EC2"/>
    <w:rsid w:val="006A73C2"/>
    <w:rsid w:val="006A77EF"/>
    <w:rsid w:val="006B04F8"/>
    <w:rsid w:val="006B2BF7"/>
    <w:rsid w:val="006B30C2"/>
    <w:rsid w:val="006C4BC1"/>
    <w:rsid w:val="006D6443"/>
    <w:rsid w:val="006D693D"/>
    <w:rsid w:val="006E512C"/>
    <w:rsid w:val="006E5EBA"/>
    <w:rsid w:val="00716D2C"/>
    <w:rsid w:val="00716DF2"/>
    <w:rsid w:val="00730D85"/>
    <w:rsid w:val="0073347E"/>
    <w:rsid w:val="00736D81"/>
    <w:rsid w:val="007372B0"/>
    <w:rsid w:val="00747BAD"/>
    <w:rsid w:val="007527BA"/>
    <w:rsid w:val="007603C8"/>
    <w:rsid w:val="007806F0"/>
    <w:rsid w:val="0078426D"/>
    <w:rsid w:val="007872E3"/>
    <w:rsid w:val="00787B09"/>
    <w:rsid w:val="007A579E"/>
    <w:rsid w:val="007A6221"/>
    <w:rsid w:val="007B039A"/>
    <w:rsid w:val="007B359D"/>
    <w:rsid w:val="007B608C"/>
    <w:rsid w:val="007B6B8A"/>
    <w:rsid w:val="007C0E91"/>
    <w:rsid w:val="007C1B53"/>
    <w:rsid w:val="007C2E6F"/>
    <w:rsid w:val="007E3A27"/>
    <w:rsid w:val="007E4AFA"/>
    <w:rsid w:val="007E7E13"/>
    <w:rsid w:val="007F1FD8"/>
    <w:rsid w:val="007F6477"/>
    <w:rsid w:val="008131D1"/>
    <w:rsid w:val="00814E8D"/>
    <w:rsid w:val="008153A3"/>
    <w:rsid w:val="00816833"/>
    <w:rsid w:val="008179FF"/>
    <w:rsid w:val="008201DB"/>
    <w:rsid w:val="00824741"/>
    <w:rsid w:val="00831F18"/>
    <w:rsid w:val="0083372C"/>
    <w:rsid w:val="0085465B"/>
    <w:rsid w:val="00860EF5"/>
    <w:rsid w:val="0086512D"/>
    <w:rsid w:val="00866036"/>
    <w:rsid w:val="008978D4"/>
    <w:rsid w:val="008A214A"/>
    <w:rsid w:val="008A4C4D"/>
    <w:rsid w:val="008B2711"/>
    <w:rsid w:val="008B4FE1"/>
    <w:rsid w:val="008B55A5"/>
    <w:rsid w:val="008B7CD5"/>
    <w:rsid w:val="008C0701"/>
    <w:rsid w:val="008C0A03"/>
    <w:rsid w:val="008C0C5B"/>
    <w:rsid w:val="008F0018"/>
    <w:rsid w:val="008F39EE"/>
    <w:rsid w:val="00911368"/>
    <w:rsid w:val="00912281"/>
    <w:rsid w:val="00916484"/>
    <w:rsid w:val="00922105"/>
    <w:rsid w:val="009223B6"/>
    <w:rsid w:val="00931893"/>
    <w:rsid w:val="00933A40"/>
    <w:rsid w:val="00940551"/>
    <w:rsid w:val="00941AC8"/>
    <w:rsid w:val="009458D8"/>
    <w:rsid w:val="00980600"/>
    <w:rsid w:val="009827AC"/>
    <w:rsid w:val="00993CFF"/>
    <w:rsid w:val="009A4C25"/>
    <w:rsid w:val="009B5FF8"/>
    <w:rsid w:val="009B69E4"/>
    <w:rsid w:val="009C5F84"/>
    <w:rsid w:val="009E4113"/>
    <w:rsid w:val="009E72F8"/>
    <w:rsid w:val="00A023A5"/>
    <w:rsid w:val="00A045F8"/>
    <w:rsid w:val="00A06482"/>
    <w:rsid w:val="00A078C5"/>
    <w:rsid w:val="00A07A02"/>
    <w:rsid w:val="00A116B6"/>
    <w:rsid w:val="00A12649"/>
    <w:rsid w:val="00A32C07"/>
    <w:rsid w:val="00A644A3"/>
    <w:rsid w:val="00A678DF"/>
    <w:rsid w:val="00A709C3"/>
    <w:rsid w:val="00A72B7D"/>
    <w:rsid w:val="00A7507C"/>
    <w:rsid w:val="00A93ECD"/>
    <w:rsid w:val="00A952BD"/>
    <w:rsid w:val="00AA137A"/>
    <w:rsid w:val="00AB1845"/>
    <w:rsid w:val="00AB640B"/>
    <w:rsid w:val="00AC1146"/>
    <w:rsid w:val="00AC2642"/>
    <w:rsid w:val="00AE4D03"/>
    <w:rsid w:val="00AE56DE"/>
    <w:rsid w:val="00AF7E41"/>
    <w:rsid w:val="00B00F0F"/>
    <w:rsid w:val="00B0253E"/>
    <w:rsid w:val="00B05542"/>
    <w:rsid w:val="00B062BA"/>
    <w:rsid w:val="00B06633"/>
    <w:rsid w:val="00B2378F"/>
    <w:rsid w:val="00B23A9A"/>
    <w:rsid w:val="00B2531A"/>
    <w:rsid w:val="00B33924"/>
    <w:rsid w:val="00B36178"/>
    <w:rsid w:val="00B41FCD"/>
    <w:rsid w:val="00B45600"/>
    <w:rsid w:val="00B472B3"/>
    <w:rsid w:val="00B544CE"/>
    <w:rsid w:val="00B573EB"/>
    <w:rsid w:val="00B7221B"/>
    <w:rsid w:val="00B72540"/>
    <w:rsid w:val="00B73B7B"/>
    <w:rsid w:val="00B83056"/>
    <w:rsid w:val="00B84AAD"/>
    <w:rsid w:val="00B87F1E"/>
    <w:rsid w:val="00B9309D"/>
    <w:rsid w:val="00B956BC"/>
    <w:rsid w:val="00BA3324"/>
    <w:rsid w:val="00BB31DD"/>
    <w:rsid w:val="00BB7C98"/>
    <w:rsid w:val="00BC1FA8"/>
    <w:rsid w:val="00BC74C9"/>
    <w:rsid w:val="00BE2FFA"/>
    <w:rsid w:val="00BE4BB7"/>
    <w:rsid w:val="00C15324"/>
    <w:rsid w:val="00C270A2"/>
    <w:rsid w:val="00C31EC9"/>
    <w:rsid w:val="00C35820"/>
    <w:rsid w:val="00C36F2B"/>
    <w:rsid w:val="00C44463"/>
    <w:rsid w:val="00C503FB"/>
    <w:rsid w:val="00C5708E"/>
    <w:rsid w:val="00C57400"/>
    <w:rsid w:val="00C61D54"/>
    <w:rsid w:val="00C63986"/>
    <w:rsid w:val="00C6700E"/>
    <w:rsid w:val="00C7087E"/>
    <w:rsid w:val="00C71077"/>
    <w:rsid w:val="00C717E7"/>
    <w:rsid w:val="00C7381C"/>
    <w:rsid w:val="00C82B76"/>
    <w:rsid w:val="00C83140"/>
    <w:rsid w:val="00C83470"/>
    <w:rsid w:val="00C9239F"/>
    <w:rsid w:val="00C96A0E"/>
    <w:rsid w:val="00CA079E"/>
    <w:rsid w:val="00CA29D7"/>
    <w:rsid w:val="00CB34AD"/>
    <w:rsid w:val="00CB4B45"/>
    <w:rsid w:val="00CB7693"/>
    <w:rsid w:val="00CB7939"/>
    <w:rsid w:val="00CC11B2"/>
    <w:rsid w:val="00CC18A2"/>
    <w:rsid w:val="00CC1FC0"/>
    <w:rsid w:val="00CC4243"/>
    <w:rsid w:val="00CC7D47"/>
    <w:rsid w:val="00CD03DB"/>
    <w:rsid w:val="00CD5B33"/>
    <w:rsid w:val="00CF79E5"/>
    <w:rsid w:val="00D062DD"/>
    <w:rsid w:val="00D165DF"/>
    <w:rsid w:val="00D17D41"/>
    <w:rsid w:val="00D223DA"/>
    <w:rsid w:val="00D33B33"/>
    <w:rsid w:val="00D34447"/>
    <w:rsid w:val="00D414D0"/>
    <w:rsid w:val="00D44444"/>
    <w:rsid w:val="00D46405"/>
    <w:rsid w:val="00D4722A"/>
    <w:rsid w:val="00D648C7"/>
    <w:rsid w:val="00D74CD1"/>
    <w:rsid w:val="00D84B0E"/>
    <w:rsid w:val="00D85070"/>
    <w:rsid w:val="00D93F2A"/>
    <w:rsid w:val="00D94369"/>
    <w:rsid w:val="00D94A3D"/>
    <w:rsid w:val="00D96F47"/>
    <w:rsid w:val="00DA3358"/>
    <w:rsid w:val="00DB052A"/>
    <w:rsid w:val="00DB639B"/>
    <w:rsid w:val="00DC05C5"/>
    <w:rsid w:val="00DD31B7"/>
    <w:rsid w:val="00DD527C"/>
    <w:rsid w:val="00DE1214"/>
    <w:rsid w:val="00DE3989"/>
    <w:rsid w:val="00DF618C"/>
    <w:rsid w:val="00E06B4A"/>
    <w:rsid w:val="00E11B13"/>
    <w:rsid w:val="00E2589A"/>
    <w:rsid w:val="00E33D05"/>
    <w:rsid w:val="00E3590D"/>
    <w:rsid w:val="00E359F5"/>
    <w:rsid w:val="00E37129"/>
    <w:rsid w:val="00E44221"/>
    <w:rsid w:val="00E5106F"/>
    <w:rsid w:val="00E62652"/>
    <w:rsid w:val="00E64280"/>
    <w:rsid w:val="00E712EE"/>
    <w:rsid w:val="00EB05FD"/>
    <w:rsid w:val="00EB306F"/>
    <w:rsid w:val="00EB3D8A"/>
    <w:rsid w:val="00EC3E19"/>
    <w:rsid w:val="00ED0923"/>
    <w:rsid w:val="00ED5469"/>
    <w:rsid w:val="00EF26C0"/>
    <w:rsid w:val="00EF5D25"/>
    <w:rsid w:val="00F071B4"/>
    <w:rsid w:val="00F07FEE"/>
    <w:rsid w:val="00F11E73"/>
    <w:rsid w:val="00F16D96"/>
    <w:rsid w:val="00F23FA9"/>
    <w:rsid w:val="00F265BA"/>
    <w:rsid w:val="00F34881"/>
    <w:rsid w:val="00F37485"/>
    <w:rsid w:val="00F45372"/>
    <w:rsid w:val="00F46B5A"/>
    <w:rsid w:val="00F47C10"/>
    <w:rsid w:val="00F513CF"/>
    <w:rsid w:val="00F5574E"/>
    <w:rsid w:val="00F55C5B"/>
    <w:rsid w:val="00F56BE4"/>
    <w:rsid w:val="00F62B23"/>
    <w:rsid w:val="00F6547D"/>
    <w:rsid w:val="00F6561F"/>
    <w:rsid w:val="00F7154B"/>
    <w:rsid w:val="00F71AC0"/>
    <w:rsid w:val="00F80B00"/>
    <w:rsid w:val="00F907C7"/>
    <w:rsid w:val="00F9707B"/>
    <w:rsid w:val="00FA0DF4"/>
    <w:rsid w:val="00FA602A"/>
    <w:rsid w:val="00FA6D1D"/>
    <w:rsid w:val="00FD0B87"/>
    <w:rsid w:val="00FD5911"/>
    <w:rsid w:val="00FD73D5"/>
    <w:rsid w:val="00FE0FEB"/>
    <w:rsid w:val="00FE3855"/>
    <w:rsid w:val="00FF0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8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463A8C"/>
  </w:style>
  <w:style w:type="paragraph" w:styleId="HTMLPreformatted">
    <w:name w:val="HTML Preformatted"/>
    <w:basedOn w:val="Normal"/>
    <w:link w:val="HTMLPreformattedChar"/>
    <w:uiPriority w:val="99"/>
    <w:unhideWhenUsed/>
    <w:rsid w:val="00B8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3056"/>
    <w:rPr>
      <w:rFonts w:ascii="Courier New" w:eastAsia="Times New Roman" w:hAnsi="Courier New" w:cs="Courier New"/>
      <w:sz w:val="20"/>
      <w:szCs w:val="20"/>
    </w:rPr>
  </w:style>
  <w:style w:type="paragraph" w:styleId="NormalWeb">
    <w:name w:val="Normal (Web)"/>
    <w:basedOn w:val="Normal"/>
    <w:uiPriority w:val="99"/>
    <w:unhideWhenUsed/>
    <w:rsid w:val="00B87F1E"/>
    <w:pPr>
      <w:spacing w:before="100" w:beforeAutospacing="1" w:after="100" w:afterAutospacing="1"/>
    </w:pPr>
  </w:style>
  <w:style w:type="character" w:styleId="CommentReference">
    <w:name w:val="annotation reference"/>
    <w:basedOn w:val="DefaultParagraphFont"/>
    <w:uiPriority w:val="99"/>
    <w:semiHidden/>
    <w:unhideWhenUsed/>
    <w:rsid w:val="00E5106F"/>
    <w:rPr>
      <w:sz w:val="16"/>
      <w:szCs w:val="16"/>
    </w:rPr>
  </w:style>
  <w:style w:type="paragraph" w:styleId="CommentText">
    <w:name w:val="annotation text"/>
    <w:basedOn w:val="Normal"/>
    <w:link w:val="CommentTextChar"/>
    <w:uiPriority w:val="99"/>
    <w:semiHidden/>
    <w:unhideWhenUsed/>
    <w:rsid w:val="00E5106F"/>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E5106F"/>
    <w:rPr>
      <w:sz w:val="20"/>
      <w:szCs w:val="20"/>
    </w:rPr>
  </w:style>
  <w:style w:type="paragraph" w:styleId="CommentSubject">
    <w:name w:val="annotation subject"/>
    <w:basedOn w:val="CommentText"/>
    <w:next w:val="CommentText"/>
    <w:link w:val="CommentSubjectChar"/>
    <w:uiPriority w:val="99"/>
    <w:semiHidden/>
    <w:unhideWhenUsed/>
    <w:rsid w:val="00E5106F"/>
    <w:rPr>
      <w:b/>
      <w:bCs/>
    </w:rPr>
  </w:style>
  <w:style w:type="character" w:customStyle="1" w:styleId="CommentSubjectChar">
    <w:name w:val="Comment Subject Char"/>
    <w:basedOn w:val="CommentTextChar"/>
    <w:link w:val="CommentSubject"/>
    <w:uiPriority w:val="99"/>
    <w:semiHidden/>
    <w:rsid w:val="00E5106F"/>
    <w:rPr>
      <w:b/>
      <w:bCs/>
      <w:sz w:val="20"/>
      <w:szCs w:val="20"/>
    </w:rPr>
  </w:style>
  <w:style w:type="paragraph" w:styleId="Revision">
    <w:name w:val="Revision"/>
    <w:hidden/>
    <w:uiPriority w:val="99"/>
    <w:semiHidden/>
    <w:rsid w:val="0064258E"/>
    <w:pPr>
      <w:spacing w:after="0" w:line="240" w:lineRule="auto"/>
    </w:pPr>
  </w:style>
  <w:style w:type="paragraph" w:styleId="ListParagraph">
    <w:name w:val="List Paragraph"/>
    <w:basedOn w:val="Normal"/>
    <w:uiPriority w:val="34"/>
    <w:qFormat/>
    <w:rsid w:val="00532BBE"/>
    <w:pPr>
      <w:spacing w:after="160" w:line="259" w:lineRule="auto"/>
      <w:ind w:left="720"/>
      <w:contextualSpacing/>
    </w:pPr>
    <w:rPr>
      <w:rFonts w:asciiTheme="minorHAnsi" w:eastAsiaTheme="minorEastAsia" w:hAnsiTheme="minorHAnsi" w:cstheme="minorBidi"/>
      <w:sz w:val="22"/>
      <w:szCs w:val="22"/>
    </w:rPr>
  </w:style>
  <w:style w:type="paragraph" w:styleId="FootnoteText">
    <w:name w:val="footnote text"/>
    <w:basedOn w:val="Normal"/>
    <w:link w:val="FootnoteTextChar"/>
    <w:uiPriority w:val="99"/>
    <w:semiHidden/>
    <w:unhideWhenUsed/>
    <w:rsid w:val="00112E6C"/>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12E6C"/>
    <w:rPr>
      <w:sz w:val="20"/>
      <w:szCs w:val="20"/>
    </w:rPr>
  </w:style>
  <w:style w:type="character" w:styleId="FootnoteReference">
    <w:name w:val="footnote reference"/>
    <w:basedOn w:val="DefaultParagraphFont"/>
    <w:uiPriority w:val="99"/>
    <w:semiHidden/>
    <w:unhideWhenUsed/>
    <w:rsid w:val="00112E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556">
      <w:bodyDiv w:val="1"/>
      <w:marLeft w:val="0"/>
      <w:marRight w:val="0"/>
      <w:marTop w:val="0"/>
      <w:marBottom w:val="0"/>
      <w:divBdr>
        <w:top w:val="none" w:sz="0" w:space="0" w:color="auto"/>
        <w:left w:val="none" w:sz="0" w:space="0" w:color="auto"/>
        <w:bottom w:val="none" w:sz="0" w:space="0" w:color="auto"/>
        <w:right w:val="none" w:sz="0" w:space="0" w:color="auto"/>
      </w:divBdr>
    </w:div>
    <w:div w:id="309947261">
      <w:bodyDiv w:val="1"/>
      <w:marLeft w:val="0"/>
      <w:marRight w:val="0"/>
      <w:marTop w:val="0"/>
      <w:marBottom w:val="0"/>
      <w:divBdr>
        <w:top w:val="none" w:sz="0" w:space="0" w:color="auto"/>
        <w:left w:val="none" w:sz="0" w:space="0" w:color="auto"/>
        <w:bottom w:val="none" w:sz="0" w:space="0" w:color="auto"/>
        <w:right w:val="none" w:sz="0" w:space="0" w:color="auto"/>
      </w:divBdr>
    </w:div>
    <w:div w:id="1032681843">
      <w:bodyDiv w:val="1"/>
      <w:marLeft w:val="0"/>
      <w:marRight w:val="0"/>
      <w:marTop w:val="0"/>
      <w:marBottom w:val="0"/>
      <w:divBdr>
        <w:top w:val="none" w:sz="0" w:space="0" w:color="auto"/>
        <w:left w:val="none" w:sz="0" w:space="0" w:color="auto"/>
        <w:bottom w:val="none" w:sz="0" w:space="0" w:color="auto"/>
        <w:right w:val="none" w:sz="0" w:space="0" w:color="auto"/>
      </w:divBdr>
    </w:div>
    <w:div w:id="1329022492">
      <w:bodyDiv w:val="1"/>
      <w:marLeft w:val="0"/>
      <w:marRight w:val="0"/>
      <w:marTop w:val="0"/>
      <w:marBottom w:val="0"/>
      <w:divBdr>
        <w:top w:val="none" w:sz="0" w:space="0" w:color="auto"/>
        <w:left w:val="none" w:sz="0" w:space="0" w:color="auto"/>
        <w:bottom w:val="none" w:sz="0" w:space="0" w:color="auto"/>
        <w:right w:val="none" w:sz="0" w:space="0" w:color="auto"/>
      </w:divBdr>
    </w:div>
    <w:div w:id="1541700543">
      <w:bodyDiv w:val="1"/>
      <w:marLeft w:val="0"/>
      <w:marRight w:val="0"/>
      <w:marTop w:val="0"/>
      <w:marBottom w:val="0"/>
      <w:divBdr>
        <w:top w:val="none" w:sz="0" w:space="0" w:color="auto"/>
        <w:left w:val="none" w:sz="0" w:space="0" w:color="auto"/>
        <w:bottom w:val="none" w:sz="0" w:space="0" w:color="auto"/>
        <w:right w:val="none" w:sz="0" w:space="0" w:color="auto"/>
      </w:divBdr>
    </w:div>
    <w:div w:id="1949041682">
      <w:bodyDiv w:val="1"/>
      <w:marLeft w:val="0"/>
      <w:marRight w:val="0"/>
      <w:marTop w:val="0"/>
      <w:marBottom w:val="0"/>
      <w:divBdr>
        <w:top w:val="none" w:sz="0" w:space="0" w:color="auto"/>
        <w:left w:val="none" w:sz="0" w:space="0" w:color="auto"/>
        <w:bottom w:val="none" w:sz="0" w:space="0" w:color="auto"/>
        <w:right w:val="none" w:sz="0" w:space="0" w:color="auto"/>
      </w:divBdr>
    </w:div>
    <w:div w:id="201892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6DAE-9FAC-4B0B-A1D5-E76767E8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7</Pages>
  <Words>3390</Words>
  <Characters>19324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Fuyu Guo</cp:lastModifiedBy>
  <cp:revision>411</cp:revision>
  <dcterms:created xsi:type="dcterms:W3CDTF">2022-05-11T15:55:00Z</dcterms:created>
  <dcterms:modified xsi:type="dcterms:W3CDTF">2022-05-13T20:54:00Z</dcterms:modified>
</cp:coreProperties>
</file>