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B4577" w14:textId="77777777" w:rsidR="008B4663" w:rsidRPr="0029492C" w:rsidRDefault="00F26B0A" w:rsidP="002949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492C">
        <w:rPr>
          <w:rFonts w:ascii="Times New Roman" w:hAnsi="Times New Roman" w:cs="Times New Roman"/>
          <w:sz w:val="24"/>
          <w:szCs w:val="24"/>
        </w:rPr>
        <w:t>Summary</w:t>
      </w:r>
    </w:p>
    <w:p w14:paraId="3D64B0EF" w14:textId="2B1B0A6B" w:rsidR="00F26B0A" w:rsidRDefault="0029492C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“</w:t>
      </w:r>
      <w:r w:rsidRPr="0029492C">
        <w:rPr>
          <w:rFonts w:ascii="Times New Roman" w:hAnsi="Times New Roman" w:cs="Times New Roman"/>
          <w:sz w:val="24"/>
          <w:szCs w:val="24"/>
        </w:rPr>
        <w:t>Portfolio Rebalancing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29492C">
        <w:rPr>
          <w:rFonts w:ascii="Times New Roman" w:hAnsi="Times New Roman" w:cs="Times New Roman"/>
          <w:sz w:val="24"/>
          <w:szCs w:val="24"/>
        </w:rPr>
        <w:t>Edward E. Qian</w:t>
      </w:r>
      <w:r>
        <w:rPr>
          <w:rFonts w:ascii="Times New Roman" w:hAnsi="Times New Roman" w:cs="Times New Roman"/>
          <w:sz w:val="24"/>
          <w:szCs w:val="24"/>
        </w:rPr>
        <w:t xml:space="preserve"> presents a mathematical and empirical analysis of the portfolio rebalancin</w:t>
      </w:r>
      <w:r w:rsidR="008C4F6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49E55" w14:textId="5A6AEA77" w:rsidR="0029492C" w:rsidRDefault="0029492C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50436E">
        <w:rPr>
          <w:rFonts w:ascii="Times New Roman" w:hAnsi="Times New Roman" w:cs="Times New Roman"/>
          <w:sz w:val="24"/>
          <w:szCs w:val="24"/>
        </w:rPr>
        <w:t xml:space="preserve">first part of the </w:t>
      </w:r>
      <w:r>
        <w:rPr>
          <w:rFonts w:ascii="Times New Roman" w:hAnsi="Times New Roman" w:cs="Times New Roman"/>
          <w:sz w:val="24"/>
          <w:szCs w:val="24"/>
        </w:rPr>
        <w:t>book presents</w:t>
      </w:r>
      <w:r w:rsidR="0050436E">
        <w:rPr>
          <w:rFonts w:ascii="Times New Roman" w:hAnsi="Times New Roman" w:cs="Times New Roman"/>
          <w:sz w:val="24"/>
          <w:szCs w:val="24"/>
        </w:rPr>
        <w:t xml:space="preserve"> a mathematical analysis to the portfolio rebalancing. </w:t>
      </w:r>
      <w:r w:rsidR="000C114C">
        <w:rPr>
          <w:rFonts w:ascii="Times New Roman" w:hAnsi="Times New Roman" w:cs="Times New Roman"/>
          <w:sz w:val="24"/>
          <w:szCs w:val="24"/>
        </w:rPr>
        <w:t>The book discusses how the portfolio rebalancing alpha</w:t>
      </w:r>
      <w:r w:rsidR="008C4F61">
        <w:rPr>
          <w:rFonts w:ascii="Times New Roman" w:hAnsi="Times New Roman" w:cs="Times New Roman"/>
          <w:sz w:val="24"/>
          <w:szCs w:val="24"/>
        </w:rPr>
        <w:t>, which the author defines as the difference between a fixed weighted portfolio and a buy and hold portfolio</w:t>
      </w:r>
      <w:r w:rsidR="000C114C">
        <w:rPr>
          <w:rFonts w:ascii="Times New Roman" w:hAnsi="Times New Roman" w:cs="Times New Roman"/>
          <w:sz w:val="24"/>
          <w:szCs w:val="24"/>
        </w:rPr>
        <w:t>,</w:t>
      </w:r>
      <w:r w:rsidR="00504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break down </w:t>
      </w:r>
      <w:r w:rsidR="0050436E">
        <w:rPr>
          <w:rFonts w:ascii="Times New Roman" w:hAnsi="Times New Roman" w:cs="Times New Roman"/>
          <w:sz w:val="24"/>
          <w:szCs w:val="24"/>
        </w:rPr>
        <w:t>into two separate effect, volatility effect and return effect</w:t>
      </w:r>
      <w:r w:rsidR="000C114C">
        <w:rPr>
          <w:rFonts w:ascii="Times New Roman" w:hAnsi="Times New Roman" w:cs="Times New Roman"/>
          <w:sz w:val="24"/>
          <w:szCs w:val="24"/>
        </w:rPr>
        <w:t>.</w:t>
      </w:r>
      <w:r w:rsidR="0050436E">
        <w:rPr>
          <w:rFonts w:ascii="Times New Roman" w:hAnsi="Times New Roman" w:cs="Times New Roman"/>
          <w:sz w:val="24"/>
          <w:szCs w:val="24"/>
        </w:rPr>
        <w:t xml:space="preserve"> </w:t>
      </w:r>
      <w:r w:rsidR="000C114C">
        <w:rPr>
          <w:rFonts w:ascii="Times New Roman" w:hAnsi="Times New Roman" w:cs="Times New Roman"/>
          <w:sz w:val="24"/>
          <w:szCs w:val="24"/>
        </w:rPr>
        <w:t>The author then</w:t>
      </w:r>
      <w:r w:rsidR="00504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</w:t>
      </w:r>
      <w:r w:rsidR="000C11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effect of each component and the </w:t>
      </w:r>
      <w:r w:rsidR="0050436E">
        <w:rPr>
          <w:rFonts w:ascii="Times New Roman" w:hAnsi="Times New Roman" w:cs="Times New Roman"/>
          <w:sz w:val="24"/>
          <w:szCs w:val="24"/>
        </w:rPr>
        <w:t>combine effect to the total rebalancing alpha</w:t>
      </w:r>
      <w:r w:rsidR="001951DD">
        <w:rPr>
          <w:rFonts w:ascii="Times New Roman" w:hAnsi="Times New Roman" w:cs="Times New Roman"/>
          <w:sz w:val="24"/>
          <w:szCs w:val="24"/>
        </w:rPr>
        <w:t>.</w:t>
      </w:r>
    </w:p>
    <w:p w14:paraId="0F9B1719" w14:textId="6CE30FDF" w:rsidR="001951DD" w:rsidRPr="0029492C" w:rsidRDefault="001951DD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4F61">
        <w:rPr>
          <w:rFonts w:ascii="Times New Roman" w:hAnsi="Times New Roman" w:cs="Times New Roman"/>
          <w:sz w:val="24"/>
          <w:szCs w:val="24"/>
        </w:rPr>
        <w:t xml:space="preserve">The volatility effect </w:t>
      </w:r>
      <w:r w:rsidR="008C4F61" w:rsidRPr="008C4F61">
        <w:rPr>
          <w:rFonts w:ascii="Times New Roman" w:hAnsi="Times New Roman" w:cs="Times New Roman"/>
          <w:sz w:val="24"/>
          <w:szCs w:val="24"/>
        </w:rPr>
        <w:t xml:space="preserve">arises from </w:t>
      </w:r>
      <w:r w:rsidR="00241EB8">
        <w:rPr>
          <w:rFonts w:ascii="Times New Roman" w:hAnsi="Times New Roman" w:cs="Times New Roman"/>
          <w:sz w:val="24"/>
          <w:szCs w:val="24"/>
        </w:rPr>
        <w:t>pairwise return volatility</w:t>
      </w:r>
      <w:r w:rsidR="008C4F61" w:rsidRPr="008C4F61">
        <w:rPr>
          <w:rFonts w:ascii="Times New Roman" w:hAnsi="Times New Roman" w:cs="Times New Roman"/>
          <w:sz w:val="24"/>
          <w:szCs w:val="24"/>
        </w:rPr>
        <w:t xml:space="preserve"> of asset</w:t>
      </w:r>
      <w:r w:rsidR="00241EB8">
        <w:rPr>
          <w:rFonts w:ascii="Times New Roman" w:hAnsi="Times New Roman" w:cs="Times New Roman"/>
          <w:sz w:val="24"/>
          <w:szCs w:val="24"/>
        </w:rPr>
        <w:t>s</w:t>
      </w:r>
      <w:r w:rsidR="008C4F61">
        <w:rPr>
          <w:rFonts w:ascii="Times New Roman" w:hAnsi="Times New Roman" w:cs="Times New Roman"/>
          <w:sz w:val="24"/>
          <w:szCs w:val="24"/>
        </w:rPr>
        <w:t>, and return effect affect is due to the differences in asset returns</w:t>
      </w:r>
    </w:p>
    <w:sectPr w:rsidR="001951DD" w:rsidRPr="0029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A"/>
    <w:rsid w:val="000C114C"/>
    <w:rsid w:val="001951DD"/>
    <w:rsid w:val="00241EB8"/>
    <w:rsid w:val="0029492C"/>
    <w:rsid w:val="0050436E"/>
    <w:rsid w:val="008A53AC"/>
    <w:rsid w:val="008B4663"/>
    <w:rsid w:val="008C4F61"/>
    <w:rsid w:val="00BE434F"/>
    <w:rsid w:val="00F26B0A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326ADB"/>
  <w15:chartTrackingRefBased/>
  <w15:docId w15:val="{4D5341A8-D018-47F7-931F-EC278F33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Fengkai Ye</dc:creator>
  <cp:keywords/>
  <dc:description/>
  <cp:lastModifiedBy>Fengkai Ye</cp:lastModifiedBy>
  <cp:revision>2</cp:revision>
  <dcterms:created xsi:type="dcterms:W3CDTF">2020-04-03T01:18:00Z</dcterms:created>
  <dcterms:modified xsi:type="dcterms:W3CDTF">2020-04-03T01:18:00Z</dcterms:modified>
</cp:coreProperties>
</file>