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w:t>
      </w:r>
    </w:p>
    <w:p>
      <w:pPr>
        <w:pBdr>
          <w:top w:val="single" w:color="003087" w:sz="8"/>
          <w:bottom w:val="single" w:color="003087" w:sz="8"/>
        </w:pBdr>
        <w:shd w:fill="eef2f8" w:val="clear"/>
        <w:spacing w:after="100" w:before="80"/>
      </w:pPr>
      <w:r>
        <w:rPr>
          <w:b/>
          <w:bCs/>
          <w:color w:val="003087"/>
          <w:sz w:val="24"/>
          <w:szCs w:val="24"/>
        </w:rPr>
        <w:t xml:space="preserve">Live:  </w:t>
      </w:r>
      <w:hyperlink w:history="1" r:id="rIdjwkq144tc226gubppbium">
        <w:r>
          <w:rPr>
            <w:b/>
            <w:bCs/>
            <w:color w:val="0069b4"/>
            <w:sz w:val="24"/>
            <w:szCs w:val="24"/>
            <w:u w:val="single"/>
          </w:rPr>
          <w:t xml:space="preserve">https://dptrainer.netlify.app</w:t>
        </w:r>
      </w:hyperlink>
    </w:p>
    <w:p>
      <w:pPr>
        <w:spacing w:after="160" w:line="300"/>
      </w:pPr>
      <w:r>
        <w:rPr>
          <w:color w:val="1a1a1a"/>
          <w:sz w:val="22"/>
          <w:szCs w:val="22"/>
        </w:rPr>
        <w:t xml:space="preserve">A structured session companion for Trainee Dynamic Positioning Operators completing ship-based simulator passive days under the Nautical Institute DP certification scheme.</w:t>
      </w:r>
    </w:p>
    <w:p>
      <w:pPr>
        <w:pBdr>
          <w:bottom w:val="single" w:color="cccccc" w:sz="6"/>
        </w:pBdr>
        <w:spacing w:after="200" w:before="200"/>
      </w:pPr>
    </w:p>
    <w:p>
      <w:pPr>
        <w:pStyle w:val="Heading1"/>
        <w:spacing w:after="160" w:before="360"/>
      </w:pPr>
      <w:r>
        <w:t xml:space="preserve">The Problem</w:t>
      </w:r>
    </w:p>
    <w:p>
      <w:pPr>
        <w:spacing w:after="160" w:line="300"/>
      </w:pPr>
      <w:r>
        <w:rPr>
          <w:color w:val="1a1a1a"/>
          <w:sz w:val="22"/>
          <w:szCs w:val="22"/>
        </w:rPr>
        <w:t xml:space="preserve">NI DP certification allows up to 30 passive simulator days, each a minimum of two hours — up to 60 hours of seat time at a DP desk.</w:t>
      </w:r>
    </w:p>
    <w:p>
      <w:pPr>
        <w:spacing w:after="160" w:line="300"/>
      </w:pPr>
      <w:r>
        <w:rPr>
          <w:color w:val="1a1a1a"/>
          <w:sz w:val="22"/>
          <w:szCs w:val="22"/>
        </w:rPr>
        <w:t xml:space="preserve">The NI prescribes no tasks for that time. The expectation is that a supervising DPO structures the sessions. In practice, not every trainee has a DPO beside them for two hours, and not every vessel has a culture of structured simulator training. Without structure, those hours are spent watching a vessel hold position. The hours are logged, the box is ticked, and the trainee arrives at their first operational posting having never been asked a hard question about what they observed.</w:t>
      </w:r>
    </w:p>
    <w:p>
      <w:pPr>
        <w:spacing w:after="160" w:line="300"/>
      </w:pPr>
      <w:r>
        <w:rPr>
          <w:color w:val="1a1a1a"/>
          <w:sz w:val="22"/>
          <w:szCs w:val="22"/>
        </w:rPr>
        <w:t xml:space="preserve">Sixty hours is a serious opportunity. The simulator is already an excellent tool. The gap is the structure around it.</w:t>
      </w:r>
    </w:p>
    <w:p>
      <w:pPr>
        <w:pStyle w:val="Heading1"/>
        <w:spacing w:after="160" w:before="360"/>
      </w:pPr>
      <w:r>
        <w:t xml:space="preserve">What DPTrainer Does</w:t>
      </w:r>
    </w:p>
    <w:p>
      <w:pPr>
        <w:spacing w:after="160" w:line="300"/>
      </w:pPr>
      <w:r>
        <w:rPr>
          <w:color w:val="1a1a1a"/>
          <w:sz w:val="22"/>
          <w:szCs w:val="22"/>
        </w:rPr>
        <w:t xml:space="preserve">The trainee enters their vessel profile and training day, completes a 16-item pre-session checklist, and the app serves the tasks scheduled for that day.</w:t>
      </w:r>
    </w:p>
    <w:p>
      <w:pPr>
        <w:spacing w:after="160" w:line="300"/>
      </w:pPr>
      <w:r>
        <w:rPr>
          <w:color w:val="1a1a1a"/>
          <w:sz w:val="22"/>
          <w:szCs w:val="22"/>
        </w:rPr>
        <w:t xml:space="preserve">Each task provides a setup protocol, an execution instruction, a professional standard to meet, an observe-and-record form for measured outcomes, and debrief questions of the kind a good DPO would ask. Sessions are saved, progress is tracked against NI logbook sections, and records export as PDF.</w:t>
      </w:r>
    </w:p>
    <w:p>
      <w:pPr>
        <w:spacing w:after="160" w:line="300"/>
      </w:pPr>
      <w:r>
        <w:rPr>
          <w:color w:val="1a1a1a"/>
          <w:sz w:val="22"/>
          <w:szCs w:val="22"/>
        </w:rPr>
        <w:t xml:space="preserve">No scores. No pass or fail. Structured work, observation discipline, and a documented record of what the time was spent on.</w:t>
      </w:r>
    </w:p>
    <w:p>
      <w:pPr>
        <w:pStyle w:val="Heading1"/>
        <w:spacing w:after="160" w:before="360"/>
      </w:pPr>
      <w:r>
        <w:t xml:space="preserve">Positioning</w:t>
      </w:r>
    </w:p>
    <w:p>
      <w:pPr>
        <w:spacing w:after="160" w:line="300"/>
      </w:pPr>
      <w:r>
        <w:rPr>
          <w:color w:val="1a1a1a"/>
          <w:sz w:val="22"/>
          <w:szCs w:val="22"/>
        </w:rPr>
        <w:t xml:space="preserve">DPTrainer is a session structure and record-keeping tool. It is deliberately not a training provider.</w:t>
      </w:r>
    </w:p>
    <w:p>
      <w:pPr>
        <w:pStyle w:val="ListParagraph"/>
        <w:numPr>
          <w:ilvl w:val="0"/>
          <w:numId w:val="2"/>
        </w:numPr>
        <w:spacing w:after="80" w:line="300"/>
      </w:pPr>
      <w:r>
        <w:rPr>
          <w:color w:val="1a1a1a"/>
          <w:sz w:val="22"/>
          <w:szCs w:val="22"/>
        </w:rPr>
        <w:t xml:space="preserve">It does not deliver instruction, assessment, or certification</w:t>
      </w:r>
    </w:p>
    <w:p>
      <w:pPr>
        <w:pStyle w:val="ListParagraph"/>
        <w:numPr>
          <w:ilvl w:val="0"/>
          <w:numId w:val="2"/>
        </w:numPr>
        <w:spacing w:after="80" w:line="300"/>
      </w:pPr>
      <w:r>
        <w:rPr>
          <w:color w:val="1a1a1a"/>
          <w:sz w:val="22"/>
          <w:szCs w:val="22"/>
        </w:rPr>
        <w:t xml:space="preserve">It does not replace NI-accredited training centres, the Induction or Simulator courses, or supervision by a certified DPO</w:t>
      </w:r>
    </w:p>
    <w:p>
      <w:pPr>
        <w:pStyle w:val="ListParagraph"/>
        <w:numPr>
          <w:ilvl w:val="0"/>
          <w:numId w:val="2"/>
        </w:numPr>
        <w:spacing w:after="80" w:line="300"/>
      </w:pPr>
      <w:r>
        <w:rPr>
          <w:color w:val="1a1a1a"/>
          <w:sz w:val="22"/>
          <w:szCs w:val="22"/>
        </w:rPr>
        <w:t xml:space="preserve">It has no role in sign-off — that remains entirely with certified DPOs and the Master</w:t>
      </w:r>
    </w:p>
    <w:p>
      <w:pPr>
        <w:pStyle w:val="ListParagraph"/>
        <w:numPr>
          <w:ilvl w:val="0"/>
          <w:numId w:val="2"/>
        </w:numPr>
        <w:spacing w:after="80" w:line="300"/>
      </w:pPr>
      <w:r>
        <w:rPr>
          <w:color w:val="1a1a1a"/>
          <w:sz w:val="22"/>
          <w:szCs w:val="22"/>
        </w:rPr>
        <w:t xml:space="preserve">It is not affiliated with or endorsed by the Nautical Institute or IMCA</w:t>
      </w:r>
    </w:p>
    <w:p>
      <w:pPr>
        <w:spacing w:after="160" w:line="300"/>
      </w:pPr>
      <w:r>
        <w:rPr>
          <w:color w:val="1a1a1a"/>
          <w:sz w:val="22"/>
          <w:szCs w:val="22"/>
        </w:rPr>
        <w:t xml:space="preserve">Its purpose is to make an existing regulatory requirement productive. Trainees arrive at accredited courses better prepared, with richer logbook records and more operational questions. That is intended to support the work training centres do, not substitute for it.</w:t>
      </w:r>
    </w:p>
    <w:p>
      <w:pPr>
        <w:pStyle w:val="Heading1"/>
        <w:spacing w:after="160" w:before="360"/>
      </w:pPr>
      <w:r>
        <w:t xml:space="preserve">Content</w:t>
      </w:r>
    </w:p>
    <w:p>
      <w:pPr>
        <w:spacing w:after="160" w:line="300"/>
      </w:pPr>
      <w:r>
        <w:rPr>
          <w:color w:val="1a1a1a"/>
          <w:sz w:val="22"/>
          <w:szCs w:val="22"/>
        </w:rPr>
        <w:t xml:space="preserve">19 domains, 72 tasks, mapped across a 30-day curriculum. Every task runs with the simulator active, produces measurable recorded outcomes, works on any ship-based DP simulator regardless of manufacturer, and carries references to specific NI logbook task sections.</w:t>
      </w:r>
    </w:p>
    <w:p>
      <w:pPr>
        <w:spacing w:after="160" w:line="300"/>
      </w:pPr>
      <w:r>
        <w:rPr>
          <w:color w:val="1a1a1a"/>
          <w:sz w:val="22"/>
          <w:szCs w:val="22"/>
        </w:rPr>
        <w:t xml:space="preserve">Domains: system setup, joystick control, environmental awareness, sensors and references, mode transitions, approach and close proximity, alarms, failures, watchkeeping, operations, review, ASOG/CAM/TAM, DP drills, DP systems and modes, position reference and redundancy, emergency response, trials and assurance, drill conduct and debrief, and thruster and generator operating strategy.</w:t>
      </w:r>
    </w:p>
    <w:p>
      <w:pPr>
        <w:pStyle w:val="Heading2"/>
        <w:spacing w:after="120" w:before="240"/>
      </w:pPr>
      <w:r>
        <w:t xml:space="preserve">Source Material</w:t>
      </w:r>
    </w:p>
    <w:p>
      <w:pPr>
        <w:spacing w:after="160" w:line="300"/>
      </w:pPr>
      <w:r>
        <w:rPr>
          <w:color w:val="1a1a1a"/>
          <w:sz w:val="22"/>
          <w:szCs w:val="22"/>
        </w:rPr>
        <w:t xml:space="preserve">Task content is original, written against current industry guidance: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e8edf5" w:val="clear"/>
            <w:tcMar>
              <w:top w:type="dxa" w:w="100"/>
              <w:left w:type="dxa" w:w="120"/>
              <w:bottom w:type="dxa" w:w="100"/>
              <w:right w:type="dxa" w:w="120"/>
            </w:tcMar>
          </w:tcPr>
          <w:p>
            <w:r>
              <w:rPr>
                <w:b/>
                <w:bCs/>
                <w:color w:val="003087"/>
                <w:sz w:val="20"/>
                <w:szCs w:val="20"/>
              </w:rPr>
              <w:t xml:space="preserve">Document</w:t>
            </w:r>
          </w:p>
        </w:tc>
        <w:tc>
          <w:tcPr>
            <w:tcW w:type="dxa" w:w="5700"/>
            <w:shd w:fill="e8edf5" w:val="clear"/>
            <w:tcMar>
              <w:top w:type="dxa" w:w="100"/>
              <w:left w:type="dxa" w:w="120"/>
              <w:bottom w:type="dxa" w:w="100"/>
              <w:right w:type="dxa" w:w="120"/>
            </w:tcMar>
          </w:tcPr>
          <w:p>
            <w:r>
              <w:rPr>
                <w:b/>
                <w:bCs/>
                <w:color w:val="003087"/>
                <w:sz w:val="20"/>
                <w:szCs w:val="20"/>
              </w:rPr>
              <w:t xml:space="preserve">Title / Subject</w:t>
            </w:r>
          </w:p>
        </w:tc>
      </w:tr>
      <w:tr>
        <w:tc>
          <w:tcPr>
            <w:tcW w:type="dxa" w:w="3600"/>
            <w:tcMar>
              <w:top w:type="dxa" w:w="100"/>
              <w:left w:type="dxa" w:w="120"/>
              <w:bottom w:type="dxa" w:w="100"/>
              <w:right w:type="dxa" w:w="120"/>
            </w:tcMar>
          </w:tcPr>
          <w:p>
            <w:r>
              <w:rPr>
                <w:b w:val="false"/>
                <w:bCs w:val="false"/>
                <w:color w:val="1a1a1a"/>
                <w:sz w:val="20"/>
                <w:szCs w:val="20"/>
              </w:rPr>
              <w:t xml:space="preserve">IMCA M220 Rev 3</w:t>
            </w:r>
          </w:p>
        </w:tc>
        <w:tc>
          <w:tcPr>
            <w:tcW w:type="dxa" w:w="5700"/>
            <w:tcMar>
              <w:top w:type="dxa" w:w="100"/>
              <w:left w:type="dxa" w:w="120"/>
              <w:bottom w:type="dxa" w:w="100"/>
              <w:right w:type="dxa" w:w="120"/>
            </w:tcMar>
          </w:tcPr>
          <w:p>
            <w:r>
              <w:rPr>
                <w:b w:val="false"/>
                <w:bCs w:val="false"/>
                <w:color w:val="1a1a1a"/>
                <w:sz w:val="20"/>
                <w:szCs w:val="20"/>
              </w:rPr>
              <w:t xml:space="preserve">Operational Activity Planning</w:t>
            </w:r>
          </w:p>
        </w:tc>
      </w:tr>
      <w:tr>
        <w:tc>
          <w:tcPr>
            <w:tcW w:type="dxa" w:w="3600"/>
            <w:tcMar>
              <w:top w:type="dxa" w:w="100"/>
              <w:left w:type="dxa" w:w="120"/>
              <w:bottom w:type="dxa" w:w="100"/>
              <w:right w:type="dxa" w:w="120"/>
            </w:tcMar>
          </w:tcPr>
          <w:p>
            <w:r>
              <w:rPr>
                <w:b w:val="false"/>
                <w:bCs w:val="false"/>
                <w:color w:val="1a1a1a"/>
                <w:sz w:val="20"/>
                <w:szCs w:val="20"/>
              </w:rPr>
              <w:t xml:space="preserve">IMCA M273 (Jan 2026)</w:t>
            </w:r>
          </w:p>
        </w:tc>
        <w:tc>
          <w:tcPr>
            <w:tcW w:type="dxa" w:w="5700"/>
            <w:tcMar>
              <w:top w:type="dxa" w:w="100"/>
              <w:left w:type="dxa" w:w="120"/>
              <w:bottom w:type="dxa" w:w="100"/>
              <w:right w:type="dxa" w:w="120"/>
            </w:tcMar>
          </w:tcPr>
          <w:p>
            <w:r>
              <w:rPr>
                <w:b w:val="false"/>
                <w:bCs w:val="false"/>
                <w:color w:val="1a1a1a"/>
                <w:sz w:val="20"/>
                <w:szCs w:val="20"/>
              </w:rPr>
              <w:t xml:space="preserve">Conducting DP Drills and Ensuring Preparedness for DP Failures</w:t>
            </w:r>
          </w:p>
        </w:tc>
      </w:tr>
      <w:tr>
        <w:tc>
          <w:tcPr>
            <w:tcW w:type="dxa" w:w="3600"/>
            <w:tcMar>
              <w:top w:type="dxa" w:w="100"/>
              <w:left w:type="dxa" w:w="120"/>
              <w:bottom w:type="dxa" w:w="100"/>
              <w:right w:type="dxa" w:w="120"/>
            </w:tcMar>
          </w:tcPr>
          <w:p>
            <w:r>
              <w:rPr>
                <w:b w:val="false"/>
                <w:bCs w:val="false"/>
                <w:color w:val="1a1a1a"/>
                <w:sz w:val="20"/>
                <w:szCs w:val="20"/>
              </w:rPr>
              <w:t xml:space="preserve">IMCA M249 Rev 1</w:t>
            </w:r>
          </w:p>
        </w:tc>
        <w:tc>
          <w:tcPr>
            <w:tcW w:type="dxa" w:w="5700"/>
            <w:tcMar>
              <w:top w:type="dxa" w:w="100"/>
              <w:left w:type="dxa" w:w="120"/>
              <w:bottom w:type="dxa" w:w="100"/>
              <w:right w:type="dxa" w:w="120"/>
            </w:tcMar>
          </w:tcPr>
          <w:p>
            <w:r>
              <w:rPr>
                <w:b w:val="false"/>
                <w:bCs w:val="false"/>
                <w:color w:val="1a1a1a"/>
                <w:sz w:val="20"/>
                <w:szCs w:val="20"/>
              </w:rPr>
              <w:t xml:space="preserve">DP Practitioner Accreditation Scheme Handbook</w:t>
            </w:r>
          </w:p>
        </w:tc>
      </w:tr>
      <w:tr>
        <w:tc>
          <w:tcPr>
            <w:tcW w:type="dxa" w:w="3600"/>
            <w:tcMar>
              <w:top w:type="dxa" w:w="100"/>
              <w:left w:type="dxa" w:w="120"/>
              <w:bottom w:type="dxa" w:w="100"/>
              <w:right w:type="dxa" w:w="120"/>
            </w:tcMar>
          </w:tcPr>
          <w:p>
            <w:r>
              <w:rPr>
                <w:b w:val="false"/>
                <w:bCs w:val="false"/>
                <w:color w:val="1a1a1a"/>
                <w:sz w:val="20"/>
                <w:szCs w:val="20"/>
              </w:rPr>
              <w:t xml:space="preserve">IMCA M117 Rev 3.3</w:t>
            </w:r>
          </w:p>
        </w:tc>
        <w:tc>
          <w:tcPr>
            <w:tcW w:type="dxa" w:w="5700"/>
            <w:tcMar>
              <w:top w:type="dxa" w:w="100"/>
              <w:left w:type="dxa" w:w="120"/>
              <w:bottom w:type="dxa" w:w="100"/>
              <w:right w:type="dxa" w:w="120"/>
            </w:tcMar>
          </w:tcPr>
          <w:p>
            <w:r>
              <w:rPr>
                <w:b w:val="false"/>
                <w:bCs w:val="false"/>
                <w:color w:val="1a1a1a"/>
                <w:sz w:val="20"/>
                <w:szCs w:val="20"/>
              </w:rPr>
              <w:t xml:space="preserve">Training and Experience of Key DP Personnel</w:t>
            </w:r>
          </w:p>
        </w:tc>
      </w:tr>
      <w:tr>
        <w:tc>
          <w:tcPr>
            <w:tcW w:type="dxa" w:w="3600"/>
            <w:tcMar>
              <w:top w:type="dxa" w:w="100"/>
              <w:left w:type="dxa" w:w="120"/>
              <w:bottom w:type="dxa" w:w="100"/>
              <w:right w:type="dxa" w:w="120"/>
            </w:tcMar>
          </w:tcPr>
          <w:p>
            <w:r>
              <w:rPr>
                <w:b w:val="false"/>
                <w:bCs w:val="false"/>
                <w:color w:val="1a1a1a"/>
                <w:sz w:val="20"/>
                <w:szCs w:val="20"/>
              </w:rPr>
              <w:t xml:space="preserve">IMO MSC.1/Circ.1580</w:t>
            </w:r>
          </w:p>
        </w:tc>
        <w:tc>
          <w:tcPr>
            <w:tcW w:type="dxa" w:w="5700"/>
            <w:tcMar>
              <w:top w:type="dxa" w:w="100"/>
              <w:left w:type="dxa" w:w="120"/>
              <w:bottom w:type="dxa" w:w="100"/>
              <w:right w:type="dxa" w:w="120"/>
            </w:tcMar>
          </w:tcPr>
          <w:p>
            <w:r>
              <w:rPr>
                <w:b w:val="false"/>
                <w:bCs w:val="false"/>
                <w:color w:val="1a1a1a"/>
                <w:sz w:val="20"/>
                <w:szCs w:val="20"/>
              </w:rPr>
              <w:t xml:space="preserve">Guidelines for Vessels and Units with DP Systems</w:t>
            </w:r>
          </w:p>
        </w:tc>
      </w:tr>
      <w:tr>
        <w:tc>
          <w:tcPr>
            <w:tcW w:type="dxa" w:w="3600"/>
            <w:tcMar>
              <w:top w:type="dxa" w:w="100"/>
              <w:left w:type="dxa" w:w="120"/>
              <w:bottom w:type="dxa" w:w="100"/>
              <w:right w:type="dxa" w:w="120"/>
            </w:tcMar>
          </w:tcPr>
          <w:p>
            <w:r>
              <w:rPr>
                <w:b w:val="false"/>
                <w:bCs w:val="false"/>
                <w:color w:val="1a1a1a"/>
                <w:sz w:val="20"/>
                <w:szCs w:val="20"/>
              </w:rPr>
              <w:t xml:space="preserve">The DP Operator's Handbook, 3rd ed (Bray)</w:t>
            </w:r>
          </w:p>
        </w:tc>
        <w:tc>
          <w:tcPr>
            <w:tcW w:type="dxa" w:w="5700"/>
            <w:tcMar>
              <w:top w:type="dxa" w:w="100"/>
              <w:left w:type="dxa" w:w="120"/>
              <w:bottom w:type="dxa" w:w="100"/>
              <w:right w:type="dxa" w:w="120"/>
            </w:tcMar>
          </w:tcPr>
          <w:p>
            <w:r>
              <w:rPr>
                <w:b w:val="false"/>
                <w:bCs w:val="false"/>
                <w:color w:val="1a1a1a"/>
                <w:sz w:val="20"/>
                <w:szCs w:val="20"/>
              </w:rPr>
              <w:t xml:space="preserve">Published by the Nautical Institute</w:t>
            </w:r>
          </w:p>
        </w:tc>
      </w:tr>
      <w:tr>
        <w:tc>
          <w:tcPr>
            <w:tcW w:type="dxa" w:w="3600"/>
            <w:tcMar>
              <w:top w:type="dxa" w:w="100"/>
              <w:left w:type="dxa" w:w="120"/>
              <w:bottom w:type="dxa" w:w="100"/>
              <w:right w:type="dxa" w:w="120"/>
            </w:tcMar>
          </w:tcPr>
          <w:p>
            <w:r>
              <w:rPr>
                <w:b w:val="false"/>
                <w:bCs w:val="false"/>
                <w:color w:val="1a1a1a"/>
                <w:sz w:val="20"/>
                <w:szCs w:val="20"/>
              </w:rPr>
              <w:t xml:space="preserve">The NI DP Logbook</w:t>
            </w:r>
          </w:p>
        </w:tc>
        <w:tc>
          <w:tcPr>
            <w:tcW w:type="dxa" w:w="5700"/>
            <w:tcMar>
              <w:top w:type="dxa" w:w="100"/>
              <w:left w:type="dxa" w:w="120"/>
              <w:bottom w:type="dxa" w:w="100"/>
              <w:right w:type="dxa" w:w="120"/>
            </w:tcMar>
          </w:tcPr>
          <w:p>
            <w:r>
              <w:rPr>
                <w:b w:val="false"/>
                <w:bCs w:val="false"/>
                <w:color w:val="1a1a1a"/>
                <w:sz w:val="20"/>
                <w:szCs w:val="20"/>
              </w:rPr>
              <w:t xml:space="preserve">Task sections referenced throughout</w:t>
            </w:r>
          </w:p>
        </w:tc>
      </w:tr>
    </w:tbl>
    <w:p>
      <w:pPr>
        <w:spacing w:after="160" w:line="300"/>
      </w:pPr>
      <w:r>
        <w:rPr>
          <w:color w:val="1a1a1a"/>
          <w:sz w:val="22"/>
          <w:szCs w:val="22"/>
        </w:rPr>
        <w:t xml:space="preserve">No source text is reproduced. Each domain file records the document and section its tasks were written against.</w:t>
      </w:r>
    </w:p>
    <w:p>
      <w:pPr>
        <w:pStyle w:val="Heading1"/>
        <w:spacing w:after="160" w:before="360"/>
      </w:pPr>
      <w:r>
        <w:t xml:space="preserve">Status</w:t>
      </w:r>
    </w:p>
    <w:p>
      <w:pPr>
        <w:spacing w:after="160" w:line="300"/>
      </w:pPr>
      <w:r>
        <w:rPr>
          <w:color w:val="1a1a1a"/>
          <w:sz w:val="22"/>
          <w:szCs w:val="22"/>
        </w:rPr>
        <w:t xml:space="preserve">Deployed and in use. Beta testing with trainee and certified DP personnel is in progress.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200"/>
        <w:gridCol w:w="2100"/>
      </w:tblGrid>
      <w:tr>
        <w:trPr>
          <w:tblHeader/>
        </w:trPr>
        <w:tc>
          <w:tcPr>
            <w:tcW w:type="dxa" w:w="7200"/>
            <w:shd w:fill="e8edf5" w:val="clear"/>
            <w:tcMar>
              <w:top w:type="dxa" w:w="100"/>
              <w:left w:type="dxa" w:w="120"/>
              <w:bottom w:type="dxa" w:w="100"/>
              <w:right w:type="dxa" w:w="120"/>
            </w:tcMar>
          </w:tcPr>
          <w:p>
            <w:r>
              <w:rPr>
                <w:b/>
                <w:bCs/>
                <w:color w:val="003087"/>
                <w:sz w:val="20"/>
                <w:szCs w:val="20"/>
              </w:rPr>
              <w:t xml:space="preserve">Milestone</w:t>
            </w:r>
          </w:p>
        </w:tc>
        <w:tc>
          <w:tcPr>
            <w:tcW w:type="dxa" w:w="2100"/>
            <w:shd w:fill="e8edf5" w:val="clear"/>
            <w:tcMar>
              <w:top w:type="dxa" w:w="100"/>
              <w:left w:type="dxa" w:w="120"/>
              <w:bottom w:type="dxa" w:w="100"/>
              <w:right w:type="dxa" w:w="120"/>
            </w:tcMar>
          </w:tcPr>
          <w:p>
            <w:r>
              <w:rPr>
                <w:b/>
                <w:bCs/>
                <w:color w:val="003087"/>
                <w:sz w:val="20"/>
                <w:szCs w:val="20"/>
              </w:rPr>
              <w:t xml:space="preserve">Status</w:t>
            </w:r>
          </w:p>
        </w:tc>
      </w:tr>
      <w:tr>
        <w:tc>
          <w:tcPr>
            <w:tcW w:type="dxa" w:w="7200"/>
            <w:tcMar>
              <w:top w:type="dxa" w:w="100"/>
              <w:left w:type="dxa" w:w="120"/>
              <w:bottom w:type="dxa" w:w="100"/>
              <w:right w:type="dxa" w:w="120"/>
            </w:tcMar>
          </w:tcPr>
          <w:p>
            <w:r>
              <w:rPr>
                <w:b w:val="false"/>
                <w:bCs w:val="false"/>
                <w:color w:val="1a1a1a"/>
                <w:sz w:val="20"/>
                <w:szCs w:val="20"/>
              </w:rPr>
              <w:t xml:space="preserve">1 — Foundation</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2 — Application skeleton</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3 — Session flow</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4 — Vessel profiles and progress tracking</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5 — PDF export and DP time log</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6 — Interface and deployment</w:t>
            </w:r>
          </w:p>
        </w:tc>
        <w:tc>
          <w:tcPr>
            <w:tcW w:type="dxa" w:w="2100"/>
            <w:tcMar>
              <w:top w:type="dxa" w:w="100"/>
              <w:left w:type="dxa" w:w="120"/>
              <w:bottom w:type="dxa" w:w="100"/>
              <w:right w:type="dxa" w:w="120"/>
            </w:tcMar>
          </w:tcPr>
          <w:p>
            <w:r>
              <w:rPr>
                <w:b w:val="false"/>
                <w:bCs w:val="false"/>
                <w:color w:val="1a1a1a"/>
                <w:sz w:val="20"/>
                <w:szCs w:val="20"/>
              </w:rPr>
              <w:t xml:space="preserve">Complete</w:t>
            </w:r>
          </w:p>
        </w:tc>
      </w:tr>
      <w:tr>
        <w:tc>
          <w:tcPr>
            <w:tcW w:type="dxa" w:w="7200"/>
            <w:tcMar>
              <w:top w:type="dxa" w:w="100"/>
              <w:left w:type="dxa" w:w="120"/>
              <w:bottom w:type="dxa" w:w="100"/>
              <w:right w:type="dxa" w:w="120"/>
            </w:tcMar>
          </w:tcPr>
          <w:p>
            <w:r>
              <w:rPr>
                <w:b w:val="false"/>
                <w:bCs w:val="false"/>
                <w:color w:val="1a1a1a"/>
                <w:sz w:val="20"/>
                <w:szCs w:val="20"/>
              </w:rPr>
              <w:t xml:space="preserve">7 — Beta testing</w:t>
            </w:r>
          </w:p>
        </w:tc>
        <w:tc>
          <w:tcPr>
            <w:tcW w:type="dxa" w:w="2100"/>
            <w:tcMar>
              <w:top w:type="dxa" w:w="100"/>
              <w:left w:type="dxa" w:w="120"/>
              <w:bottom w:type="dxa" w:w="100"/>
              <w:right w:type="dxa" w:w="120"/>
            </w:tcMar>
          </w:tcPr>
          <w:p>
            <w:r>
              <w:rPr>
                <w:b w:val="false"/>
                <w:bCs w:val="false"/>
                <w:color w:val="1a1a1a"/>
                <w:sz w:val="20"/>
                <w:szCs w:val="20"/>
              </w:rPr>
              <w:t xml:space="preserve">In progress</w:t>
            </w:r>
          </w:p>
        </w:tc>
      </w:tr>
      <w:tr>
        <w:tc>
          <w:tcPr>
            <w:tcW w:type="dxa" w:w="7200"/>
            <w:tcMar>
              <w:top w:type="dxa" w:w="100"/>
              <w:left w:type="dxa" w:w="120"/>
              <w:bottom w:type="dxa" w:w="100"/>
              <w:right w:type="dxa" w:w="120"/>
            </w:tcMar>
          </w:tcPr>
          <w:p>
            <w:r>
              <w:rPr>
                <w:b w:val="false"/>
                <w:bCs w:val="false"/>
                <w:color w:val="1a1a1a"/>
                <w:sz w:val="20"/>
                <w:szCs w:val="20"/>
              </w:rPr>
              <w:t xml:space="preserve">8 — Investor ready</w:t>
            </w:r>
          </w:p>
        </w:tc>
        <w:tc>
          <w:tcPr>
            <w:tcW w:type="dxa" w:w="2100"/>
            <w:tcMar>
              <w:top w:type="dxa" w:w="100"/>
              <w:left w:type="dxa" w:w="120"/>
              <w:bottom w:type="dxa" w:w="100"/>
              <w:right w:type="dxa" w:w="120"/>
            </w:tcMar>
          </w:tcPr>
          <w:p>
            <w:r>
              <w:rPr>
                <w:b w:val="false"/>
                <w:bCs w:val="false"/>
                <w:color w:val="1a1a1a"/>
                <w:sz w:val="20"/>
                <w:szCs w:val="20"/>
              </w:rPr>
              <w:t xml:space="preserve">Pending</w:t>
            </w:r>
          </w:p>
        </w:tc>
      </w:tr>
    </w:tbl>
    <w:p>
      <w:pPr>
        <w:pStyle w:val="Heading1"/>
        <w:spacing w:after="160" w:before="360"/>
      </w:pPr>
      <w:r>
        <w:t xml:space="preserve">Features</w:t>
      </w:r>
    </w:p>
    <w:p>
      <w:pPr>
        <w:pStyle w:val="ListParagraph"/>
        <w:numPr>
          <w:ilvl w:val="0"/>
          <w:numId w:val="2"/>
        </w:numPr>
        <w:spacing w:after="80" w:line="300"/>
      </w:pPr>
      <w:r>
        <w:rPr>
          <w:color w:val="1a1a1a"/>
          <w:sz w:val="22"/>
          <w:szCs w:val="22"/>
        </w:rPr>
        <w:t xml:space="preserve">30-day curriculum with progressive difficulty</w:t>
      </w:r>
    </w:p>
    <w:p>
      <w:pPr>
        <w:pStyle w:val="ListParagraph"/>
        <w:numPr>
          <w:ilvl w:val="0"/>
          <w:numId w:val="2"/>
        </w:numPr>
        <w:spacing w:after="80" w:line="300"/>
      </w:pPr>
      <w:r>
        <w:rPr>
          <w:color w:val="1a1a1a"/>
          <w:sz w:val="22"/>
          <w:szCs w:val="22"/>
        </w:rPr>
        <w:t xml:space="preserve">Multi-vessel profiles across DP1, DP2 and DP3</w:t>
      </w:r>
    </w:p>
    <w:p>
      <w:pPr>
        <w:pStyle w:val="ListParagraph"/>
        <w:numPr>
          <w:ilvl w:val="0"/>
          <w:numId w:val="2"/>
        </w:numPr>
        <w:spacing w:after="80" w:line="300"/>
      </w:pPr>
      <w:r>
        <w:rPr>
          <w:color w:val="1a1a1a"/>
          <w:sz w:val="22"/>
          <w:szCs w:val="22"/>
        </w:rPr>
        <w:t xml:space="preserve">16-item pre-session verification checklist</w:t>
      </w:r>
    </w:p>
    <w:p>
      <w:pPr>
        <w:pStyle w:val="ListParagraph"/>
        <w:numPr>
          <w:ilvl w:val="0"/>
          <w:numId w:val="2"/>
        </w:numPr>
        <w:spacing w:after="80" w:line="300"/>
      </w:pPr>
      <w:r>
        <w:rPr>
          <w:color w:val="1a1a1a"/>
          <w:sz w:val="22"/>
          <w:szCs w:val="22"/>
        </w:rPr>
        <w:t xml:space="preserve">Multi-task sessions with a running timer</w:t>
      </w:r>
    </w:p>
    <w:p>
      <w:pPr>
        <w:pStyle w:val="ListParagraph"/>
        <w:numPr>
          <w:ilvl w:val="0"/>
          <w:numId w:val="2"/>
        </w:numPr>
        <w:spacing w:after="80" w:line="300"/>
      </w:pPr>
      <w:r>
        <w:rPr>
          <w:color w:val="1a1a1a"/>
          <w:sz w:val="22"/>
          <w:szCs w:val="22"/>
        </w:rPr>
        <w:t xml:space="preserve">Structured data capture and debrief per task</w:t>
      </w:r>
    </w:p>
    <w:p>
      <w:pPr>
        <w:pStyle w:val="ListParagraph"/>
        <w:numPr>
          <w:ilvl w:val="0"/>
          <w:numId w:val="2"/>
        </w:numPr>
        <w:spacing w:after="80" w:line="300"/>
      </w:pPr>
      <w:r>
        <w:rPr>
          <w:color w:val="1a1a1a"/>
          <w:sz w:val="22"/>
          <w:szCs w:val="22"/>
        </w:rPr>
        <w:t xml:space="preserve">Progress tracking against all 11 NI logbook sections</w:t>
      </w:r>
    </w:p>
    <w:p>
      <w:pPr>
        <w:pStyle w:val="ListParagraph"/>
        <w:numPr>
          <w:ilvl w:val="0"/>
          <w:numId w:val="2"/>
        </w:numPr>
        <w:spacing w:after="80" w:line="300"/>
      </w:pPr>
      <w:r>
        <w:rPr>
          <w:color w:val="1a1a1a"/>
          <w:sz w:val="22"/>
          <w:szCs w:val="22"/>
        </w:rPr>
        <w:t xml:space="preserve">DP time log with active and passive day totals and NI certification threshold tracking</w:t>
      </w:r>
    </w:p>
    <w:p>
      <w:pPr>
        <w:pStyle w:val="ListParagraph"/>
        <w:numPr>
          <w:ilvl w:val="0"/>
          <w:numId w:val="2"/>
        </w:numPr>
        <w:spacing w:after="80" w:line="300"/>
      </w:pPr>
      <w:r>
        <w:rPr>
          <w:color w:val="1a1a1a"/>
          <w:sz w:val="22"/>
          <w:szCs w:val="22"/>
        </w:rPr>
        <w:t xml:space="preserve">PDF export of session records and time logs</w:t>
      </w:r>
    </w:p>
    <w:p>
      <w:pPr>
        <w:pStyle w:val="ListParagraph"/>
        <w:numPr>
          <w:ilvl w:val="0"/>
          <w:numId w:val="2"/>
        </w:numPr>
        <w:spacing w:after="80" w:line="300"/>
      </w:pPr>
      <w:r>
        <w:rPr>
          <w:color w:val="1a1a1a"/>
          <w:sz w:val="22"/>
          <w:szCs w:val="22"/>
        </w:rPr>
        <w:t xml:space="preserve">Day and night interface modes for bridge use</w:t>
      </w:r>
    </w:p>
    <w:p>
      <w:pPr>
        <w:pStyle w:val="ListParagraph"/>
        <w:numPr>
          <w:ilvl w:val="0"/>
          <w:numId w:val="2"/>
        </w:numPr>
        <w:spacing w:after="80" w:line="300"/>
      </w:pPr>
      <w:r>
        <w:rPr>
          <w:color w:val="1a1a1a"/>
          <w:sz w:val="22"/>
          <w:szCs w:val="22"/>
        </w:rPr>
        <w:t xml:space="preserve">Works offline after first load; all data stored locally on the user's device</w:t>
      </w:r>
    </w:p>
    <w:p>
      <w:pPr>
        <w:pStyle w:val="Heading1"/>
        <w:spacing w:after="160" w:before="360"/>
      </w:pPr>
      <w:r>
        <w:t xml:space="preserve">Privacy</w:t>
      </w:r>
    </w:p>
    <w:p>
      <w:pPr>
        <w:spacing w:after="160" w:line="300"/>
      </w:pPr>
      <w:r>
        <w:rPr>
          <w:color w:val="1a1a1a"/>
          <w:sz w:val="22"/>
          <w:szCs w:val="22"/>
        </w:rPr>
        <w:t xml:space="preserve">All training data is held in browser local storage on the user's own device. Nothing is uploaded, transmitted, or accessible to anyone else. There are no accounts, no analytics on user content, and no server-side record of any session.</w:t>
      </w:r>
    </w:p>
    <w:p>
      <w:pPr>
        <w:pStyle w:val="Heading1"/>
        <w:spacing w:after="160" w:before="360"/>
      </w:pPr>
      <w:r>
        <w:t xml:space="preserve">Technical</w:t>
      </w:r>
    </w:p>
    <w:p>
      <w:pPr>
        <w:spacing w:after="160" w:line="300"/>
      </w:pPr>
      <w:r>
        <w:rPr>
          <w:color w:val="1a1a1a"/>
          <w:sz w:val="22"/>
          <w:szCs w:val="22"/>
        </w:rPr>
        <w:t xml:space="preserve">React 18, Vite, no backend. Content is version-controlled JSON, separated from application code, so curriculum changes require no code changes.</w:t>
      </w:r>
    </w:p>
    <w:p>
      <w:pPr>
        <w:pStyle w:val="Heading1"/>
        <w:spacing w:after="160" w:before="360"/>
      </w:pPr>
      <w:r>
        <w:t xml:space="preserve">Project Structure</w:t>
      </w:r>
    </w:p>
    <w:p>
      <w:pPr>
        <w:pBdr>
          <w:top w:val="single" w:color="cccccc" w:sz="4"/>
          <w:bottom w:val="single" w:color="cccccc" w:sz="4"/>
        </w:pBdr>
        <w:shd w:fill="f4f4f4" w:val="clear"/>
        <w:spacing w:after="200" w:before="100"/>
      </w:pPr>
      <w:r>
        <w:rPr>
          <w:rFonts w:ascii="Consolas" w:cs="Consolas" w:eastAsia="Consolas" w:hAnsi="Consolas"/>
          <w:color w:val="1a1a1a"/>
          <w:sz w:val="18"/>
          <w:szCs w:val="18"/>
        </w:rPr>
        <w:t xml:space="preserve">content/</w:t>
      </w:r>
      <w:r>
        <w:rPr>
          <w:rFonts w:ascii="Consolas" w:cs="Consolas" w:eastAsia="Consolas" w:hAnsi="Consolas"/>
          <w:color w:val="1a1a1a"/>
          <w:sz w:val="18"/>
          <w:szCs w:val="18"/>
        </w:rPr>
        <w:br/>
        <w:t xml:space="preserve">├── domains/          19 task libraries</w:t>
      </w:r>
      <w:r>
        <w:rPr>
          <w:rFonts w:ascii="Consolas" w:cs="Consolas" w:eastAsia="Consolas" w:hAnsi="Consolas"/>
          <w:color w:val="1a1a1a"/>
          <w:sz w:val="18"/>
          <w:szCs w:val="18"/>
        </w:rPr>
        <w:br/>
        <w:t xml:space="preserve">├── checklists/        session and drill checklists</w:t>
      </w:r>
      <w:r>
        <w:rPr>
          <w:rFonts w:ascii="Consolas" w:cs="Consolas" w:eastAsia="Consolas" w:hAnsi="Consolas"/>
          <w:color w:val="1a1a1a"/>
          <w:sz w:val="18"/>
          <w:szCs w:val="18"/>
        </w:rPr>
        <w:br/>
        <w:t xml:space="preserve">└── curriculum.json   30-day schedule</w:t>
      </w:r>
      <w:r>
        <w:rPr>
          <w:rFonts w:ascii="Consolas" w:cs="Consolas" w:eastAsia="Consolas" w:hAnsi="Consolas"/>
          <w:color w:val="1a1a1a"/>
          <w:sz w:val="18"/>
          <w:szCs w:val="18"/>
        </w:rPr>
        <w:br/>
        <w:t xml:space="preserve">app/src/</w:t>
      </w:r>
      <w:r>
        <w:rPr>
          <w:rFonts w:ascii="Consolas" w:cs="Consolas" w:eastAsia="Consolas" w:hAnsi="Consolas"/>
          <w:color w:val="1a1a1a"/>
          <w:sz w:val="18"/>
          <w:szCs w:val="18"/>
        </w:rPr>
        <w:br/>
        <w:t xml:space="preserve">├── screens/           application screens</w:t>
      </w:r>
      <w:r>
        <w:rPr>
          <w:rFonts w:ascii="Consolas" w:cs="Consolas" w:eastAsia="Consolas" w:hAnsi="Consolas"/>
          <w:color w:val="1a1a1a"/>
          <w:sz w:val="18"/>
          <w:szCs w:val="18"/>
        </w:rPr>
        <w:br/>
        <w:t xml:space="preserve">└── components/        shared components</w:t>
      </w:r>
      <w:r>
        <w:rPr>
          <w:rFonts w:ascii="Consolas" w:cs="Consolas" w:eastAsia="Consolas" w:hAnsi="Consolas"/>
          <w:color w:val="1a1a1a"/>
          <w:sz w:val="18"/>
          <w:szCs w:val="18"/>
        </w:rPr>
        <w:br/>
        <w:t xml:space="preserve">docs/                  NI references, founder log,</w:t>
      </w:r>
      <w:r>
        <w:rPr>
          <w:rFonts w:ascii="Consolas" w:cs="Consolas" w:eastAsia="Consolas" w:hAnsi="Consolas"/>
          <w:color w:val="1a1a1a"/>
          <w:sz w:val="18"/>
          <w:szCs w:val="18"/>
        </w:rPr>
        <w:br/>
        <w:t xml:space="preserve">                       milestone log</w:t>
      </w:r>
    </w:p>
    <w:p>
      <w:pPr>
        <w:pStyle w:val="Heading1"/>
        <w:spacing w:after="160" w:before="360"/>
      </w:pPr>
      <w:r>
        <w:t xml:space="preserve">Development</w:t>
      </w:r>
    </w:p>
    <w:p>
      <w:pPr>
        <w:spacing w:after="160" w:line="300"/>
      </w:pPr>
      <w:r>
        <w:rPr>
          <w:color w:val="1a1a1a"/>
          <w:sz w:val="22"/>
          <w:szCs w:val="22"/>
        </w:rPr>
        <w:t xml:space="preserve">Requires Node.js 18 or later.</w:t>
      </w:r>
    </w:p>
    <w:p>
      <w:pPr>
        <w:pBdr>
          <w:top w:val="single" w:color="cccccc" w:sz="4"/>
          <w:bottom w:val="single" w:color="cccccc" w:sz="4"/>
        </w:pBdr>
        <w:shd w:fill="f4f4f4" w:val="clear"/>
        <w:spacing w:after="200" w:before="100"/>
      </w:pPr>
      <w:r>
        <w:rPr>
          <w:rFonts w:ascii="Consolas" w:cs="Consolas" w:eastAsia="Consolas" w:hAnsi="Consolas"/>
          <w:color w:val="1a1a1a"/>
          <w:sz w:val="18"/>
          <w:szCs w:val="18"/>
        </w:rPr>
        <w:t xml:space="preserve">npm install</w:t>
      </w:r>
      <w:r>
        <w:rPr>
          <w:rFonts w:ascii="Consolas" w:cs="Consolas" w:eastAsia="Consolas" w:hAnsi="Consolas"/>
          <w:color w:val="1a1a1a"/>
          <w:sz w:val="18"/>
          <w:szCs w:val="18"/>
        </w:rPr>
        <w:br/>
        <w:t xml:space="preserve">npm run dev      # local development</w:t>
      </w:r>
      <w:r>
        <w:rPr>
          <w:rFonts w:ascii="Consolas" w:cs="Consolas" w:eastAsia="Consolas" w:hAnsi="Consolas"/>
          <w:color w:val="1a1a1a"/>
          <w:sz w:val="18"/>
          <w:szCs w:val="18"/>
        </w:rPr>
        <w:br/>
        <w:t xml:space="preserve">npm run build    # production build</w:t>
      </w:r>
    </w:p>
    <w:p>
      <w:pPr>
        <w:spacing w:after="160" w:line="300"/>
      </w:pPr>
      <w:r>
        <w:rPr>
          <w:color w:val="1a1a1a"/>
          <w:sz w:val="22"/>
          <w:szCs w:val="22"/>
        </w:rPr>
        <w:t xml:space="preserve">Deployed continuously from main via Netlify.</w:t>
      </w:r>
    </w:p>
    <w:p>
      <w:pPr>
        <w:pStyle w:val="Heading1"/>
        <w:spacing w:after="160" w:before="360"/>
      </w:pPr>
      <w:r>
        <w:t xml:space="preserve">Licence and Contact</w:t>
      </w:r>
    </w:p>
    <w:p>
      <w:pPr>
        <w:spacing w:after="160" w:line="300"/>
      </w:pPr>
      <w:r>
        <w:rPr>
          <w:color w:val="1a1a1a"/>
          <w:sz w:val="22"/>
          <w:szCs w:val="22"/>
        </w:rPr>
        <w:t xml:space="preserve">Proprietary. All rights reserved. See LICENSE.</w:t>
      </w:r>
    </w:p>
    <w:p>
      <w:pPr>
        <w:spacing w:after="160" w:line="300"/>
      </w:pPr>
      <w:r>
        <w:rPr>
          <w:color w:val="1a1a1a"/>
          <w:sz w:val="22"/>
          <w:szCs w:val="22"/>
        </w:rPr>
        <w:t xml:space="preserve">The application content — tasks, curriculum structure, debrief questions and documentation — may not be copied, reproduced, distributed, or used to create derivative works without written permission.</w:t>
      </w:r>
    </w:p>
    <w:p>
      <w:pPr>
        <w:spacing w:after="160" w:line="300"/>
      </w:pPr>
      <w:r>
        <w:rPr>
          <w:color w:val="1a1a1a"/>
          <w:sz w:val="22"/>
          <w:szCs w:val="22"/>
        </w:rPr>
        <w:t xml:space="preserve">Enquiries, including from training providers and operators: dptrainer.app@gmail.com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003087"/>
      <w:sz w:val="56"/>
      <w:szCs w:val="56"/>
    </w:rPr>
  </w:style>
  <w:style w:type="paragraph" w:styleId="Heading1">
    <w:name w:val="Heading 1"/>
    <w:basedOn w:val="Normal"/>
    <w:next w:val="Normal"/>
    <w:qFormat/>
    <w:pPr>
      <w:pBdr>
        <w:bottom w:val="single" w:color="cccccc" w:sz="4" w:space="4"/>
      </w:pBdr>
      <w:spacing w:after="160" w:before="360"/>
    </w:pPr>
    <w:rPr>
      <w:rFonts w:ascii="Calibri" w:cs="Calibri" w:eastAsia="Calibri" w:hAnsi="Calibri"/>
      <w:b/>
      <w:bCs/>
      <w:color w:val="003087"/>
      <w:sz w:val="30"/>
      <w:szCs w:val="30"/>
    </w:rPr>
  </w:style>
  <w:style w:type="paragraph" w:styleId="Heading2">
    <w:name w:val="Heading 2"/>
    <w:basedOn w:val="Normal"/>
    <w:next w:val="Normal"/>
    <w:qFormat/>
    <w:pPr>
      <w:spacing w:after="120" w:before="240"/>
    </w:pPr>
    <w:rPr>
      <w:rFonts w:ascii="Calibri" w:cs="Calibri" w:eastAsia="Calibri" w:hAnsi="Calibri"/>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kq144tc226gubppbium" Type="http://schemas.openxmlformats.org/officeDocument/2006/relationships/hyperlink" Target="https://dptrainer.netlify.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2026-08-20T00:45:12.402Z</dcterms:created>
  <dcterms:modified xsi:type="dcterms:W3CDTF">2026-08-20T00:45:12.402Z</dcterms:modified>
</cp:coreProperties>
</file>

<file path=docProps/custom.xml><?xml version="1.0" encoding="utf-8"?>
<Properties xmlns="http://schemas.openxmlformats.org/officeDocument/2006/custom-properties" xmlns:vt="http://schemas.openxmlformats.org/officeDocument/2006/docPropsVTypes"/>
</file>