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  <w:shd w:val="clear" w:color="auto" w:fill=""/>
      </w:pPr>
      <w:r>
        <w:rPr>
          <w:sz w:val="32"/>
          <w:szCs w:val="32"/>
          <w:b/>
        </w:rPr>
        <w:t xml:space="preserve">Approach 1 (Single Token)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drawing>
          <wp:inline>
            <wp:extent cx="5731193" cy="4488848"/>
            <wp:effectExtent l="19050" t="38100" r="19050" b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192" cy="4488848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b/>
        </w:rPr>
        <w:t xml:space="preserve">Notes (Single Token)</w:t>
      </w:r>
      <w:r>
        <w:rPr/>
        <w:t xml:space="preserve">: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 w:fill=""/>
      </w:pPr>
      <w:r>
        <w:rPr/>
        <w:t xml:space="preserve">Both </w:t>
      </w:r>
      <w:r>
        <w:rPr>
          <w:b/>
        </w:rPr>
        <w:t xml:space="preserve">FSMOne</w:t>
      </w:r>
      <w:r>
        <w:rPr/>
        <w:t xml:space="preserve"> and </w:t>
      </w:r>
      <w:r>
        <w:rPr>
          <w:b/>
        </w:rPr>
        <w:t xml:space="preserve">iFastPay</w:t>
      </w:r>
      <w:r>
        <w:rPr/>
        <w:t xml:space="preserve"> share the same access token via the X-AUTH-TOKEN header when calling </w:t>
      </w:r>
      <w:r>
        <w:rPr>
          <w:b/>
        </w:rPr>
        <w:t xml:space="preserve">my-oauth-ws</w:t>
      </w:r>
      <w:r>
        <w:rPr/>
        <w:t xml:space="preserve"> to validate the session.</w:t>
      </w:r>
    </w:p>
    <w:p>
      <w:pPr>
        <w:numPr>
          <w:ilvl w:val="0"/>
          <w:numId w:val="8"/>
        </w:numPr>
        <w:ind w:left="450"/>
        <w:jc w:val="left"/>
        <w:ind w:left="450" w:firstLine="0"/>
        <w:spacing w:before="0" w:after="0" w:line="276" w:lineRule="auto"/>
        <w:shd w:val="clear" w:color="auto" w:fill=""/>
      </w:pPr>
      <w:r>
        <w:rPr/>
        <w:t xml:space="preserve">The same token is valid for both FSM and iFastPay endpoints.</w:t>
      </w: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</w:p>
    <w:p>
      <w:r>
        <w:br w:type="page"/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sz w:val="32"/>
          <w:szCs w:val="32"/>
          <w:b/>
        </w:rPr>
        <w:t xml:space="preserve">Approach 2 (Two tokens)</w:t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drawing>
          <wp:inline>
            <wp:extent cx="5731193" cy="4880168"/>
            <wp:effectExtent l="19050" t="38100" r="19050" b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192" cy="4880168"/>
                    </a:xfrm>
                    <a:prstGeom prst="rect">
                      <a:srcRec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b/>
        </w:rPr>
        <w:t xml:space="preserve">Notes (Double Token)</w:t>
      </w:r>
      <w:r>
        <w:rPr/>
        <w:t xml:space="preserve">:</w:t>
      </w: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</w:pPr>
      <w:r>
        <w:rPr/>
        <w:t xml:space="preserve">From FSM, the </w:t>
      </w:r>
      <w:r>
        <w:rPr>
          <w:b/>
        </w:rPr>
        <w:t xml:space="preserve">FSM backend</w:t>
      </w:r>
      <w:r>
        <w:rPr/>
        <w:t xml:space="preserve"> requests </w:t>
      </w:r>
      <w:r>
        <w:rPr>
          <w:b/>
        </w:rPr>
        <w:t xml:space="preserve">my-oauth-ws</w:t>
      </w:r>
      <w:r>
        <w:rPr/>
        <w:t xml:space="preserve"> to perform a </w:t>
      </w:r>
      <w:r>
        <w:rPr>
          <w:b/>
        </w:rPr>
        <w:t xml:space="preserve">token exchange</w:t>
      </w:r>
      <w:r>
        <w:rPr/>
        <w:t xml:space="preserve">, obtaining a separate iFastPay access token.</w:t>
      </w: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</w:pPr>
      <w:r>
        <w:rPr/>
        <w:t xml:space="preserve">At the end:</w:t>
      </w:r>
    </w:p>
    <w:p>
      <w:pPr>
        <w:numPr>
          <w:ilvl w:val="1"/>
          <w:numId w:val="10"/>
        </w:numPr>
        <w:ind w:left="900"/>
        <w:jc w:val="left"/>
        <w:ind w:left="900" w:firstLine="0"/>
        <w:spacing w:before="0" w:after="0" w:line="276" w:lineRule="auto"/>
        <w:shd w:val="clear" w:color="auto" w:fill=""/>
      </w:pPr>
      <w:r>
        <w:rPr>
          <w:b/>
        </w:rPr>
        <w:t xml:space="preserve">FSM token</w:t>
      </w:r>
      <w:r>
        <w:rPr/>
        <w:t xml:space="preserve"> can only be used for FSM endpoints.</w:t>
      </w:r>
    </w:p>
    <w:p>
      <w:pPr>
        <w:numPr>
          <w:ilvl w:val="1"/>
          <w:numId w:val="10"/>
        </w:numPr>
        <w:ind w:left="900"/>
        <w:jc w:val="left"/>
        <w:ind w:left="900" w:firstLine="0"/>
        <w:spacing w:before="0" w:after="0" w:line="276" w:lineRule="auto"/>
        <w:shd w:val="clear" w:color="auto" w:fill=""/>
      </w:pPr>
      <w:r>
        <w:rPr>
          <w:b/>
        </w:rPr>
        <w:t xml:space="preserve">iFastPay token</w:t>
      </w:r>
      <w:r>
        <w:rPr/>
        <w:t xml:space="preserve"> can only be used for iFastPay endpoints.</w:t>
      </w:r>
    </w:p>
    <w:p>
      <w:pPr>
        <w:numPr>
          <w:ilvl w:val="0"/>
          <w:numId w:val="10"/>
        </w:numPr>
        <w:ind w:left="450"/>
        <w:jc w:val="left"/>
        <w:ind w:left="450" w:firstLine="0"/>
        <w:spacing w:before="0" w:after="0" w:line="276" w:lineRule="auto"/>
        <w:shd w:val="clear" w:color="auto" w:fill=""/>
      </w:pPr>
      <w:r>
        <w:rPr>
          <w:b/>
        </w:rPr>
        <w:t xml:space="preserve">Revocation</w:t>
      </w:r>
      <w:r>
        <w:rPr/>
        <w:t xml:space="preserve">: Session revocation must apply to </w:t>
      </w:r>
      <w:r>
        <w:rPr>
          <w:b/>
        </w:rPr>
        <w:t xml:space="preserve">all related tokens</w:t>
      </w:r>
      <w:r>
        <w:rPr/>
        <w:t xml:space="preserve"> (FSM and iFastPay).</w:t>
      </w: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</w:p>
    <w:p>
      <w:pPr>
        <w:jc w:val="left"/>
        <w:ind w:firstLine="0"/>
        <w:spacing w:before="0" w:after="0" w:line="276" w:lineRule="auto"/>
        <w:shd w:val="clear" w:color="auto" w:fill=""/>
      </w:pPr>
    </w:p>
    <w:p>
      <w:r>
        <w:br w:type="page"/>
      </w:r>
    </w:p>
    <w:p>
      <w:pPr>
        <w:jc w:val="left"/>
        <w:ind w:firstLine="0"/>
        <w:spacing w:before="0" w:after="0" w:line="276" w:lineRule="auto"/>
        <w:shd w:val="clear" w:color="auto" w:fill=""/>
      </w:pPr>
      <w:r>
        <w:rPr>
          <w:sz w:val="32"/>
          <w:szCs w:val="32"/>
          <w:b/>
        </w:rPr>
        <w:t xml:space="preserve">Comparison</w:t>
      </w:r>
    </w:p>
    <w:p>
      <w:pPr>
        <w:jc w:val="left"/>
        <w:ind w:firstLine="0"/>
        <w:spacing w:before="0" w:after="0" w:line="276" w:lineRule="auto"/>
        <w:shd w:val="clear" w:color="auto" w:fill=""/>
      </w:pPr>
    </w:p>
    <w:tbl>
      <w:tblGrid>
        <w:gridCol w:w="960" w:type="dxa"/>
        <w:gridCol w:w="3855" w:type="dxa"/>
        <w:gridCol w:w="4185" w:type="dxa"/>
      </w:tblGrid>
      <w:tblPr>
        <w:jc w:val="left"/>
        <w:tblW w:w="900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0" w:type="dxa"/>
      </w:tblP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Aspect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Approach 1: Single Token (FSM)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Approach 2: Two Tokens (FSM &amp; iFastPay)</w:t>
            </w:r>
          </w:p>
        </w:tc>
      </w:t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Development Effort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70e096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Simple to develop — no major changes needed, minimal impact on the existing structure.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ffb2b2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Harder to develop — requires changes in </w:t>
            </w:r>
            <w:r>
              <w:rPr>
                <w:b/>
              </w:rPr>
              <w:t xml:space="preserve">my-oauth-ws</w:t>
            </w:r>
            <w:r>
              <w:rPr/>
              <w:t xml:space="preserve"> to support token exchange.</w:t>
            </w:r>
          </w:p>
        </w:tc>
      </w:t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Complexity / Errors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70e096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Less error-prone, as fewer changes are involved.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ffb2b2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More error-prone, since more changes are involved.</w:t>
            </w:r>
          </w:p>
        </w:tc>
      </w:t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Token Storage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70e096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No change needed.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ffb2b2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May require adjustments to token storage to support consistent revocation.</w:t>
            </w:r>
          </w:p>
        </w:tc>
      </w:t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Future Flexibility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ffb2b2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Future separation is more difficult.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70e096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Future decoupling is easier if iFastPay evolves into an independent system.</w:t>
            </w:r>
          </w:p>
        </w:tc>
      </w:t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Audit Trail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ffb2b2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Unclear — cannot determine which system is currently using the token.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70e096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Clear — audience is explicitly defined.</w:t>
            </w:r>
          </w:p>
        </w:tc>
      </w:tr>
      <w:tr>
        <w:trPr>
          <w:trHeight w:val="330" w:hRule="atLeast"/>
        </w:trPr>
        <w:tc>
          <w:tcPr>
            <w:tcW w:w="960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>
                <w:b/>
              </w:rPr>
              <w:t xml:space="preserve">Least Privilege</w:t>
            </w:r>
          </w:p>
        </w:tc>
        <w:tc>
          <w:tcPr>
            <w:tcW w:w="385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ffb2b2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Weaker — iFastPay inherits all access to FSMOne endpoints (and vice versa).</w:t>
            </w:r>
          </w:p>
        </w:tc>
        <w:tc>
          <w:tcPr>
            <w:tcW w:w="4185" w:type="dxa"/>
            <w:vAlign w:val="center"/>
            <w:tcBorders>
              <w:top w:val="single" w:sz="8" w:color="7b8187"/>
              <w:left w:val="single" w:sz="8" w:color="7b8187"/>
              <w:right w:val="single" w:sz="8" w:color="7b8187"/>
              <w:bottom w:val="single" w:sz="8" w:color="7b8187"/>
            </w:tcBorders>
            <w:shd w:val="clear" w:color="auto" w:fill="70e096"/>
          </w:tcPr>
          <w:p>
            <w:pPr>
              <w:jc w:val="left"/>
              <w:ind w:firstLine="0"/>
              <w:spacing w:before="0" w:after="0" w:line="276" w:lineRule="auto"/>
              <w:shd w:val="clear" w:color="auto" w:fill=""/>
            </w:pPr>
            <w:r>
              <w:rPr/>
              <w:t xml:space="preserve">Stronger — least privilege by design, since each system uses a distinct token with its own scope.</w:t>
            </w:r>
          </w:p>
        </w:tc>
      </w:tr>
    </w:tbl>
    <w:p>
      <w:pPr>
        <w:jc w:val="left"/>
        <w:ind w:firstLine="0"/>
        <w:spacing w:before="0" w:after="0" w:line="276" w:lineRule="auto"/>
        <w:shd w:val="clear" w:color="auto" w:fill=""/>
      </w:pPr>
    </w:p>
    <w:sectPr>
      <w:headerReference w:type="default" r:id="rId14"/>
      <w:footerReference w:type="default" r:id="rId17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  <w:shd w:val="clear" w:color="auto" w:fill="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A12A6B1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4953F5DB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EE1497DD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lowerRoman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lowerRoman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lowerRoman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  <w:shd w:val="clear" w:color="auto" w:fill="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  <w:shd w:val="clear" w:color="auto" w:fill=""/>
    </w:pPr>
    <w:rPr>
      <w:sz w:val="48"/>
      <w:szCs w:val="48"/>
      <w:shd w:val="clear" w:color="auto" w:fill="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  <w:shd w:val="clear" w:color="auto" w:fill=""/>
    </w:pPr>
    <w:rPr>
      <w:sz w:val="40"/>
      <w:szCs w:val="40"/>
      <w:shd w:val="clear" w:color="auto" w:fill="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  <w:shd w:val="clear" w:color="auto" w:fill=""/>
    </w:pPr>
    <w:rPr>
      <w:sz w:val="32"/>
      <w:szCs w:val="32"/>
      <w:shd w:val="clear" w:color="auto" w:fill="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  <w:shd w:val="clear" w:color="auto" w:fill=""/>
    </w:pPr>
    <w:rPr>
      <w:sz w:val="24"/>
      <w:szCs w:val="24"/>
      <w:shd w:val="clear" w:color="auto" w:fill="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  <w:shd w:val="clear" w:color="auto" w:fill=""/>
    </w:pPr>
    <w:rPr>
      <w:sz w:val="22"/>
      <w:szCs w:val="22"/>
      <w:shd w:val="clear" w:color="auto" w:fill="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  <w:shd w:val="clear" w:color="auto" w:fill=""/>
    </w:pPr>
    <w:rPr>
      <w:sz w:val="22"/>
      <w:szCs w:val="22"/>
      <w:shd w:val="clear" w:color="auto" w:fill="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image" Target="media/7564PP62JP41PFP4T6AQI7LLU8.png"/><Relationship Id="rId11" Type="http://schemas.openxmlformats.org/officeDocument/2006/relationships/image" Target="media/4CLD7TAJG577FFC6DG0A6ENBJ8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2025-10-21T08:13:08+00:00</dcterms:created>
  <dcterms:modified xsi:type="dcterms:W3CDTF">2025-10-21T08:13:08+00:00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