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2026 Yılı Dijital Dönüşüm Projesi</w:t>
      </w:r>
      <w:r>
        <w:object w:dxaOrig="1440" w:dyaOrig="1440"/>
      </w:r>
    </w:p>
    <w:p>
      <w:pPr>
        <w:pStyle w:val="Subtitle"/>
        <w:rPr/>
      </w:pPr>
      <w:r>
        <w:rPr/>
        <w:t>Dönem Sonu Değerlendirme Raporu</w:t>
      </w:r>
    </w:p>
    <w:p>
      <w:pPr>
        <w:pStyle w:val="Normal"/>
        <w:spacing w:before="0" w:after="360"/>
        <w:rPr/>
      </w:pPr>
      <w:r>
        <w:rPr>
          <w:color w:val="595959"/>
        </w:rPr>
        <w:t>Hazırlayan: Proje Yönetim Ofisi  •  12 Ekim 2026</w:t>
      </w:r>
    </w:p>
    <w:p>
      <w:pPr>
        <w:pStyle w:val="Heading1"/>
        <w:rPr/>
      </w:pPr>
      <w:r>
        <w:rPr/>
        <w:t>Yönetici Özeti</w:t>
      </w:r>
    </w:p>
    <w:p>
      <w:pPr>
        <w:pStyle w:val="Normal"/>
        <w:jc w:val="both"/>
        <w:rPr/>
      </w:pPr>
      <w:r>
        <w:rPr/>
        <w:t>Bu rapor, projenin ilk altı aylık döneminde elde edilen sonuçları, karşılaşılan riskleri ve önümüzdeki dönem için önerilen adımları özetlemektedir. Hedeflenen kilometre taşlarının büyük bölümü zamanında tamamlanmış, bütçe planlanan sınırlar içinde kalmıştır.</w:t>
      </w:r>
    </w:p>
    <w:p>
      <w:pPr>
        <w:pStyle w:val="Heading1"/>
        <w:rPr/>
      </w:pPr>
      <w:r>
        <w:rPr/>
        <w:t>Hedefler ve Sonuçlar</w:t>
      </w:r>
    </w:p>
    <w:p>
      <w:pPr>
        <w:pStyle w:val="Normal"/>
        <w:rPr/>
      </w:pPr>
      <w:r>
        <w:rPr/>
        <w:t>Dönem başında belirlenen hedefler ve gerçekleşme durumları aşağıdaki tabloda özetlenmiştir.</w:t>
      </w:r>
    </w:p>
    <w:tbl>
      <w:tblPr>
        <w:tblStyle w:val="OHgridblu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2267"/>
        <w:gridCol w:w="2268"/>
        <w:gridCol w:w="2268"/>
        <w:gridCol w:w="2268"/>
      </w:tblGrid>
      <w:tr>
        <w:trPr/>
        <w:tc>
          <w:tcPr>
            <w:tcW w:w="2267" w:type="dxa"/>
            <w:tcBorders/>
            <w:shd w:color="auto" w:fill="15608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b/>
                <w:bCs/>
                <w:color w:val="FFFFFF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b/>
                <w:bCs/>
                <w:color w:val="FFFFFF"/>
                <w:kern w:val="2"/>
                <w:sz w:val="22"/>
                <w:szCs w:val="22"/>
                <w:lang w:val="tr-TR" w:eastAsia="en-US" w:bidi="ar-SA"/>
              </w:rPr>
              <w:t>Hedef</w:t>
            </w:r>
          </w:p>
        </w:tc>
        <w:tc>
          <w:tcPr>
            <w:tcW w:w="2268" w:type="dxa"/>
            <w:tcBorders/>
            <w:shd w:color="auto" w:fill="15608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b/>
                <w:bCs/>
                <w:color w:val="FFFFFF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b/>
                <w:bCs/>
                <w:color w:val="FFFFFF"/>
                <w:kern w:val="2"/>
                <w:sz w:val="22"/>
                <w:szCs w:val="22"/>
                <w:lang w:val="tr-TR" w:eastAsia="en-US" w:bidi="ar-SA"/>
              </w:rPr>
              <w:t>Plan</w:t>
            </w:r>
          </w:p>
        </w:tc>
        <w:tc>
          <w:tcPr>
            <w:tcW w:w="2268" w:type="dxa"/>
            <w:tcBorders/>
            <w:shd w:color="auto" w:fill="15608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b/>
                <w:bCs/>
                <w:color w:val="FFFFFF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b/>
                <w:bCs/>
                <w:color w:val="FFFFFF"/>
                <w:kern w:val="2"/>
                <w:sz w:val="22"/>
                <w:szCs w:val="22"/>
                <w:lang w:val="tr-TR" w:eastAsia="en-US" w:bidi="ar-SA"/>
              </w:rPr>
              <w:t>Gerçekleşen</w:t>
            </w:r>
          </w:p>
        </w:tc>
        <w:tc>
          <w:tcPr>
            <w:tcW w:w="2268" w:type="dxa"/>
            <w:tcBorders/>
            <w:shd w:color="auto" w:fill="15608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b/>
                <w:bCs/>
                <w:color w:val="FFFFFF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b/>
                <w:bCs/>
                <w:color w:val="FFFFFF"/>
                <w:kern w:val="2"/>
                <w:sz w:val="22"/>
                <w:szCs w:val="22"/>
                <w:lang w:val="tr-TR" w:eastAsia="en-US" w:bidi="ar-SA"/>
              </w:rPr>
              <w:t>Durum</w:t>
            </w:r>
          </w:p>
        </w:tc>
      </w:tr>
      <w:tr>
        <w:trPr/>
        <w:tc>
          <w:tcPr>
            <w:tcW w:w="2267" w:type="dxa"/>
            <w:tcBorders/>
            <w:shd w:color="auto" w:fill="C1E4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b/>
                <w:bCs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b/>
                <w:bCs/>
                <w:kern w:val="2"/>
                <w:sz w:val="22"/>
                <w:szCs w:val="22"/>
                <w:lang w:val="tr-TR" w:eastAsia="en-US" w:bidi="ar-SA"/>
              </w:rPr>
              <w:t>Altyapı geçişi</w:t>
            </w:r>
          </w:p>
        </w:tc>
        <w:tc>
          <w:tcPr>
            <w:tcW w:w="2268" w:type="dxa"/>
            <w:tcBorders/>
            <w:shd w:color="auto" w:fill="C1E4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kern w:val="2"/>
                <w:sz w:val="22"/>
                <w:szCs w:val="22"/>
                <w:lang w:val="tr-TR" w:eastAsia="en-US" w:bidi="ar-SA"/>
              </w:rPr>
              <w:t>%100</w:t>
            </w:r>
          </w:p>
        </w:tc>
        <w:tc>
          <w:tcPr>
            <w:tcW w:w="2268" w:type="dxa"/>
            <w:tcBorders/>
            <w:shd w:color="auto" w:fill="C1E4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kern w:val="2"/>
                <w:sz w:val="22"/>
                <w:szCs w:val="22"/>
                <w:lang w:val="tr-TR" w:eastAsia="en-US" w:bidi="ar-SA"/>
              </w:rPr>
              <w:t>%100</w:t>
            </w:r>
          </w:p>
        </w:tc>
        <w:tc>
          <w:tcPr>
            <w:tcW w:w="2268" w:type="dxa"/>
            <w:tcBorders/>
            <w:shd w:color="auto" w:fill="C1E4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kern w:val="2"/>
                <w:sz w:val="22"/>
                <w:szCs w:val="22"/>
                <w:lang w:val="tr-TR" w:eastAsia="en-US" w:bidi="ar-SA"/>
              </w:rPr>
              <w:t>Tamamlandı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b/>
                <w:bCs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b/>
                <w:bCs/>
                <w:kern w:val="2"/>
                <w:sz w:val="22"/>
                <w:szCs w:val="22"/>
                <w:lang w:val="tr-TR" w:eastAsia="en-US" w:bidi="ar-SA"/>
              </w:rPr>
              <w:t>Personel eğitimi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kern w:val="2"/>
                <w:sz w:val="22"/>
                <w:szCs w:val="22"/>
                <w:lang w:val="tr-TR" w:eastAsia="en-US" w:bidi="ar-SA"/>
              </w:rPr>
              <w:t>250 kişi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kern w:val="2"/>
                <w:sz w:val="22"/>
                <w:szCs w:val="22"/>
                <w:lang w:val="tr-TR" w:eastAsia="en-US" w:bidi="ar-SA"/>
              </w:rPr>
              <w:t>212 kişi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kern w:val="2"/>
                <w:sz w:val="22"/>
                <w:szCs w:val="22"/>
                <w:lang w:val="tr-TR" w:eastAsia="en-US" w:bidi="ar-SA"/>
              </w:rPr>
              <w:t>Devam ediyor</w:t>
            </w:r>
          </w:p>
        </w:tc>
      </w:tr>
      <w:tr>
        <w:trPr/>
        <w:tc>
          <w:tcPr>
            <w:tcW w:w="2267" w:type="dxa"/>
            <w:tcBorders/>
            <w:shd w:color="auto" w:fill="C1E4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b/>
                <w:bCs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b/>
                <w:bCs/>
                <w:kern w:val="2"/>
                <w:sz w:val="22"/>
                <w:szCs w:val="22"/>
                <w:lang w:val="tr-TR" w:eastAsia="en-US" w:bidi="ar-SA"/>
              </w:rPr>
              <w:t>Süreç otomasyonu</w:t>
            </w:r>
          </w:p>
        </w:tc>
        <w:tc>
          <w:tcPr>
            <w:tcW w:w="2268" w:type="dxa"/>
            <w:tcBorders/>
            <w:shd w:color="auto" w:fill="C1E4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kern w:val="2"/>
                <w:sz w:val="22"/>
                <w:szCs w:val="22"/>
                <w:lang w:val="tr-TR" w:eastAsia="en-US" w:bidi="ar-SA"/>
              </w:rPr>
              <w:t>12 süreç</w:t>
            </w:r>
          </w:p>
        </w:tc>
        <w:tc>
          <w:tcPr>
            <w:tcW w:w="2268" w:type="dxa"/>
            <w:tcBorders/>
            <w:shd w:color="auto" w:fill="C1E4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kern w:val="2"/>
                <w:sz w:val="22"/>
                <w:szCs w:val="22"/>
                <w:lang w:val="tr-TR" w:eastAsia="en-US" w:bidi="ar-SA"/>
              </w:rPr>
              <w:t>9 süreç</w:t>
            </w:r>
          </w:p>
        </w:tc>
        <w:tc>
          <w:tcPr>
            <w:tcW w:w="2268" w:type="dxa"/>
            <w:tcBorders/>
            <w:shd w:color="auto" w:fill="C1E4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kern w:val="2"/>
                <w:sz w:val="22"/>
                <w:szCs w:val="22"/>
                <w:lang w:val="tr-TR" w:eastAsia="en-US" w:bidi="ar-SA"/>
              </w:rPr>
              <w:t>Devam ediyor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Öne Çıkan Başarılar</w:t>
      </w:r>
    </w:p>
    <w:p>
      <w:pPr>
        <w:pStyle w:val="ListParagraph"/>
        <w:numPr>
          <w:ilvl w:val="0"/>
          <w:numId w:val="1"/>
        </w:numPr>
        <w:rPr/>
      </w:pPr>
      <w:r>
        <w:rPr/>
        <w:t>Veri merkezi taşıması kesintisiz tamamlandı.</w:t>
      </w:r>
    </w:p>
    <w:p>
      <w:pPr>
        <w:pStyle w:val="ListParagraph"/>
        <w:numPr>
          <w:ilvl w:val="0"/>
          <w:numId w:val="1"/>
        </w:numPr>
        <w:rPr/>
      </w:pPr>
      <w:r>
        <w:rPr/>
        <w:t>Müşteri başvuru süresi ortalama 3 günden 1 güne indi.</w:t>
      </w:r>
    </w:p>
    <w:p>
      <w:pPr>
        <w:pStyle w:val="ListParagraph"/>
        <w:numPr>
          <w:ilvl w:val="0"/>
          <w:numId w:val="1"/>
        </w:numPr>
        <w:rPr/>
      </w:pPr>
      <w:r>
        <w:rPr/>
        <w:t>Kâğıt kullanımı geçen yılın aynı dönemine göre %60 azaldı.</w:t>
      </w:r>
    </w:p>
    <w:p>
      <w:pPr>
        <w:pStyle w:val="Heading1"/>
        <w:rPr/>
      </w:pPr>
      <w:r>
        <w:rPr/>
        <w:t>Riskler</w:t>
      </w:r>
    </w:p>
    <w:p>
      <w:pPr>
        <w:pStyle w:val="Normal"/>
        <w:rPr/>
      </w:pPr>
      <w:r>
        <w:rPr/>
        <w:t>Önümüzdeki dönemde dikkat edilmesi gereken başlıca riskler şunlardır:</w:t>
      </w:r>
    </w:p>
    <w:p>
      <w:pPr>
        <w:pStyle w:val="ListParagraph"/>
        <w:numPr>
          <w:ilvl w:val="0"/>
          <w:numId w:val="2"/>
        </w:numPr>
        <w:rPr/>
      </w:pPr>
      <w:r>
        <w:rPr/>
        <w:t>Tedarikçi teslim sürelerindeki gecikmeler</w:t>
      </w:r>
    </w:p>
    <w:p>
      <w:pPr>
        <w:pStyle w:val="ListParagraph"/>
        <w:numPr>
          <w:ilvl w:val="0"/>
          <w:numId w:val="2"/>
        </w:numPr>
        <w:rPr/>
      </w:pPr>
      <w:r>
        <w:rPr/>
        <w:t>Eğitim takviminin yoğun iş dönemleriyle çakışması</w:t>
      </w:r>
    </w:p>
    <w:p>
      <w:pPr>
        <w:pStyle w:val="ListParagraph"/>
        <w:numPr>
          <w:ilvl w:val="0"/>
          <w:numId w:val="2"/>
        </w:numPr>
        <w:rPr/>
      </w:pPr>
      <w:r>
        <w:rPr/>
        <w:t>Bilgi güvenliği denetimlerinin ek iş yükü</w:t>
      </w:r>
    </w:p>
    <w:p>
      <w:pPr>
        <w:pStyle w:val="Heading1"/>
        <w:rPr/>
      </w:pPr>
      <w:r>
        <w:rPr/>
        <w:t>Sonuç ve Öneriler</w:t>
      </w:r>
    </w:p>
    <w:p>
      <w:pPr>
        <w:pStyle w:val="Normal"/>
        <w:spacing w:before="0" w:after="160"/>
        <w:jc w:val="both"/>
        <w:rPr/>
      </w:pPr>
      <w:r>
        <w:rPr/>
        <w:t>Projenin genel gidişatı olumludur. Eğitim programının çevrimiçi modüllerle desteklenmesi ve otomasyon kapsamının önceliklendirilmesi önerilmektedir.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jc w:val="right"/>
      <w:rPr/>
    </w:pPr>
    <w:r>
      <w:rPr/>
      <w:t xml:space="preserve">Proje Raporu  •  Sayfa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jc w:val="right"/>
      <w:rPr/>
    </w:pPr>
    <w:r>
      <w:rPr/>
      <w:t xml:space="preserve">Proje Raporu  •  Sayfa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tr-T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kern w:val="2"/>
        <w:sz w:val="22"/>
        <w:szCs w:val="22"/>
        <w:lang w:val="tr-TR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Aptos"/>
      <w:color w:val="auto"/>
      <w:kern w:val="2"/>
      <w:sz w:val="22"/>
      <w:szCs w:val="22"/>
      <w:lang w:val="tr-TR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Aptos Display" w:cs="Aptos Display"/>
      <w:color w:val="104862"/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 w:val="true"/>
      <w:keepLines/>
      <w:spacing w:before="160" w:after="80"/>
      <w:outlineLvl w:val="1"/>
    </w:pPr>
    <w:rPr>
      <w:rFonts w:ascii="Aptos Display" w:hAnsi="Aptos Display" w:eastAsia="Aptos Display" w:cs="Aptos Display"/>
      <w:color w:val="104862"/>
      <w:sz w:val="32"/>
      <w:szCs w:val="32"/>
    </w:rPr>
  </w:style>
  <w:style w:type="paragraph" w:styleId="Heading3">
    <w:name w:val="Heading 3"/>
    <w:basedOn w:val="Normal"/>
    <w:next w:val="Normal"/>
    <w:uiPriority w:val="9"/>
    <w:qFormat/>
    <w:pPr>
      <w:keepNext w:val="true"/>
      <w:keepLines/>
      <w:spacing w:before="160" w:after="80"/>
      <w:outlineLvl w:val="2"/>
    </w:pPr>
    <w:rPr>
      <w:rFonts w:ascii="Aptos" w:hAnsi="Aptos" w:eastAsia="Aptos" w:cs="Aptos"/>
      <w:color w:val="104862"/>
      <w:sz w:val="28"/>
      <w:szCs w:val="28"/>
    </w:rPr>
  </w:style>
  <w:style w:type="paragraph" w:styleId="Heading4">
    <w:name w:val="Heading 4"/>
    <w:basedOn w:val="Normal"/>
    <w:next w:val="Normal"/>
    <w:uiPriority w:val="9"/>
    <w:qFormat/>
    <w:pPr>
      <w:keepNext w:val="true"/>
      <w:keepLines/>
      <w:spacing w:before="80" w:after="40"/>
      <w:outlineLvl w:val="3"/>
    </w:pPr>
    <w:rPr>
      <w:rFonts w:ascii="Aptos" w:hAnsi="Aptos" w:eastAsia="Aptos" w:cs="Aptos"/>
      <w:i/>
      <w:iCs/>
      <w:color w:val="104862"/>
      <w:sz w:val="22"/>
      <w:szCs w:val="22"/>
    </w:rPr>
  </w:style>
  <w:style w:type="paragraph" w:styleId="Heading5">
    <w:name w:val="Heading 5"/>
    <w:basedOn w:val="Normal"/>
    <w:next w:val="Normal"/>
    <w:uiPriority w:val="9"/>
    <w:qFormat/>
    <w:pPr>
      <w:keepNext w:val="true"/>
      <w:keepLines/>
      <w:spacing w:before="80" w:after="40"/>
      <w:outlineLvl w:val="4"/>
    </w:pPr>
    <w:rPr>
      <w:rFonts w:ascii="Aptos" w:hAnsi="Aptos" w:eastAsia="Aptos" w:cs="Aptos"/>
      <w:color w:val="104862"/>
      <w:sz w:val="22"/>
      <w:szCs w:val="22"/>
    </w:rPr>
  </w:style>
  <w:style w:type="paragraph" w:styleId="Heading6">
    <w:name w:val="Heading 6"/>
    <w:basedOn w:val="Normal"/>
    <w:next w:val="Normal"/>
    <w:uiPriority w:val="9"/>
    <w:qFormat/>
    <w:pPr>
      <w:keepNext w:val="true"/>
      <w:keepLines/>
      <w:spacing w:before="40" w:after="0"/>
      <w:outlineLvl w:val="5"/>
    </w:pPr>
    <w:rPr>
      <w:rFonts w:ascii="Aptos" w:hAnsi="Aptos" w:eastAsia="Aptos" w:cs="Aptos"/>
      <w:i/>
      <w:iCs/>
      <w:color w:val="595959"/>
      <w:sz w:val="22"/>
      <w:szCs w:val="22"/>
    </w:rPr>
  </w:style>
  <w:style w:type="character" w:styleId="SubtleEmphasis">
    <w:name w:val="Subtle Emphasis"/>
    <w:uiPriority w:val="20"/>
    <w:qFormat/>
    <w:rPr>
      <w:i/>
      <w:iCs/>
      <w:color w:val="404040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0"/>
    <w:qFormat/>
    <w:rPr>
      <w:i/>
      <w:iCs/>
      <w:color w:val="104862"/>
    </w:rPr>
  </w:style>
  <w:style w:type="character" w:styleId="Strong">
    <w:name w:val="Strong"/>
    <w:uiPriority w:val="20"/>
    <w:qFormat/>
    <w:rPr>
      <w:b/>
      <w:bCs/>
    </w:rPr>
  </w:style>
  <w:style w:type="character" w:styleId="SubtleReference">
    <w:name w:val="Subtle Reference"/>
    <w:uiPriority w:val="20"/>
    <w:qFormat/>
    <w:rPr>
      <w:caps/>
      <w:color w:val="404040"/>
    </w:rPr>
  </w:style>
  <w:style w:type="character" w:styleId="IntenseReference">
    <w:name w:val="Intense Reference"/>
    <w:uiPriority w:val="20"/>
    <w:qFormat/>
    <w:rPr>
      <w:b/>
      <w:bCs/>
      <w:caps/>
      <w:color w:val="104862"/>
      <w:spacing w:val="5"/>
    </w:rPr>
  </w:style>
  <w:style w:type="character" w:styleId="BookTitle">
    <w:name w:val="Book Title"/>
    <w:uiPriority w:val="20"/>
    <w:qFormat/>
    <w:rPr>
      <w:b/>
      <w:bCs/>
      <w:i/>
      <w:iCs/>
      <w:spacing w:val="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val="467886"/>
      <w:u w:val="singl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basedOn w:val="Normal"/>
    <w:uiPriority w:val="20"/>
    <w:qFormat/>
    <w:pPr>
      <w:spacing w:lineRule="auto" w:line="240" w:before="0" w:after="0"/>
    </w:pPr>
    <w:rPr/>
  </w:style>
  <w:style w:type="paragraph" w:styleId="Title">
    <w:name w:val="Title"/>
    <w:basedOn w:val="Normal"/>
    <w:next w:val="Normal"/>
    <w:uiPriority w:val="20"/>
    <w:qFormat/>
    <w:pPr>
      <w:spacing w:lineRule="auto" w:line="240" w:before="0" w:after="80"/>
    </w:pPr>
    <w:rPr>
      <w:rFonts w:ascii="Aptos Display" w:hAnsi="Aptos Display" w:eastAsia="Aptos Display" w:cs="Aptos Display"/>
      <w:spacing w:val="-10"/>
      <w:sz w:val="56"/>
      <w:szCs w:val="56"/>
    </w:rPr>
  </w:style>
  <w:style w:type="paragraph" w:styleId="Subtitle">
    <w:name w:val="Subtitle"/>
    <w:basedOn w:val="Normal"/>
    <w:next w:val="Normal"/>
    <w:uiPriority w:val="20"/>
    <w:qFormat/>
    <w:pPr/>
    <w:rPr>
      <w:rFonts w:ascii="Aptos" w:hAnsi="Aptos" w:eastAsia="Aptos" w:cs="Aptos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uiPriority w:val="20"/>
    <w:qFormat/>
    <w:pPr>
      <w:spacing w:before="160" w:after="160"/>
      <w:jc w:val="center"/>
    </w:pPr>
    <w:rPr>
      <w:i/>
      <w:iCs/>
      <w:color w:val="404040"/>
    </w:rPr>
  </w:style>
  <w:style w:type="paragraph" w:styleId="IntenseQuote">
    <w:name w:val="Intense Quote"/>
    <w:basedOn w:val="Normal"/>
    <w:next w:val="Normal"/>
    <w:uiPriority w:val="20"/>
    <w:qFormat/>
    <w:pPr>
      <w:pBdr>
        <w:top w:val="single" w:sz="4" w:space="10" w:color="104862"/>
        <w:bottom w:val="single" w:sz="4" w:space="10" w:color="104862"/>
      </w:pBdr>
      <w:spacing w:before="360" w:after="360"/>
      <w:ind w:left="864" w:right="864"/>
      <w:jc w:val="center"/>
    </w:pPr>
    <w:rPr>
      <w:i/>
      <w:iCs/>
      <w:color w:val="104862"/>
    </w:rPr>
  </w:style>
  <w:style w:type="paragraph" w:styleId="ListParagraph">
    <w:name w:val="List Paragraph"/>
    <w:basedOn w:val="Normal"/>
    <w:uiPriority w:val="20"/>
    <w:qFormat/>
    <w:pPr>
      <w:ind w:left="72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spacing w:lineRule="auto" w:line="240" w:before="0" w:after="0"/>
    </w:pPr>
    <w:rPr/>
  </w:style>
  <w:style w:type="paragraph" w:styleId="AnnotationText">
    <w:name w:val="Annotation Text"/>
    <w:basedOn w:val="Normal"/>
    <w:uiPriority w:val="99"/>
    <w:unhideWhenUsed/>
    <w:pPr>
      <w:spacing w:lineRule="auto" w:line="240"/>
    </w:pPr>
    <w:rPr>
      <w:sz w:val="20"/>
      <w:szCs w:val="20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/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lastRow">
      <w:rPr>
        <w:b/>
        <w:bCs/>
      </w:rPr>
      <w:tblPr/>
    </w:tblStylePr>
    <w:tblStylePr w:type="firstCol">
      <w:rPr>
        <w:b/>
        <w:bCs/>
      </w:rPr>
      <w:tblPr/>
    </w:tblStylePr>
  </w:style>
  <w:style w:type="table" w:styleId="OHplain">
    <w:name w:val="OH Düz Tablo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  <w:tblStylePr w:type="lastRow">
      <w:rPr>
        <w:b/>
        <w:bCs/>
      </w:rPr>
      <w:tblPr/>
    </w:tblStylePr>
    <w:tblStylePr w:type="firstCol">
      <w:rPr>
        <w:b/>
        <w:bCs/>
      </w:rPr>
      <w:tblPr/>
    </w:tblStylePr>
  </w:style>
  <w:style w:type="table" w:styleId="OHgridblue">
    <w:name w:val="OH Kılavuz Tablo 4 - Vurgu 1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color="45B0E1" w:sz="4" w:space="0"/>
        <w:left w:val="single" w:color="45B0E1" w:sz="4" w:space="0"/>
        <w:bottom w:val="single" w:color="45B0E1" w:sz="4" w:space="0"/>
        <w:right w:val="single" w:color="45B0E1" w:sz="4" w:space="0"/>
        <w:insideH w:val="single" w:color="45B0E1" w:sz="4" w:space="0"/>
        <w:insideV w:val="single" w:color="45B0E1" w:sz="4" w:space="0"/>
      </w:tblBorders>
    </w:tblPr>
    <w:tblStylePr w:type="firstRow">
      <w:rPr>
        <w:b/>
        <w:bCs/>
      </w:rPr>
      <w:tblPr/>
      <w:tcPr>
        <w:shd w:val="clear" w:color="auto" w:fill="156082"/>
      </w:tcPr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band1Horz">
      <w:tblPr/>
      <w:tcPr>
        <w:shd w:val="clear" w:color="auto" w:fill="C1E4F5"/>
      </w:tcPr>
    </w:tblStylePr>
  </w:style>
  <w:style w:type="table" w:styleId="OHgridorange">
    <w:name w:val="OH Kılavuz Tablo 4 - Vurgu 2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color="F1A983" w:sz="4" w:space="0"/>
        <w:left w:val="single" w:color="F1A983" w:sz="4" w:space="0"/>
        <w:bottom w:val="single" w:color="F1A983" w:sz="4" w:space="0"/>
        <w:right w:val="single" w:color="F1A983" w:sz="4" w:space="0"/>
        <w:insideH w:val="single" w:color="F1A983" w:sz="4" w:space="0"/>
        <w:insideV w:val="single" w:color="F1A983" w:sz="4" w:space="0"/>
      </w:tblBorders>
    </w:tblPr>
    <w:tblStylePr w:type="firstRow">
      <w:rPr>
        <w:b/>
        <w:bCs/>
      </w:rPr>
      <w:tblPr/>
      <w:tcPr>
        <w:shd w:val="clear" w:color="auto" w:fill="E97132"/>
      </w:tcPr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band1Horz">
      <w:tblPr/>
      <w:tcPr>
        <w:shd w:val="clear" w:color="auto" w:fill="FBE2D5"/>
      </w:tcPr>
    </w:tblStylePr>
  </w:style>
  <w:style w:type="table" w:styleId="OHgridgreen">
    <w:name w:val="OH Kılavuz Tablo 4 - Vurgu 3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color="47D459" w:sz="4" w:space="0"/>
        <w:left w:val="single" w:color="47D459" w:sz="4" w:space="0"/>
        <w:bottom w:val="single" w:color="47D459" w:sz="4" w:space="0"/>
        <w:right w:val="single" w:color="47D459" w:sz="4" w:space="0"/>
        <w:insideH w:val="single" w:color="47D459" w:sz="4" w:space="0"/>
        <w:insideV w:val="single" w:color="47D459" w:sz="4" w:space="0"/>
      </w:tblBorders>
    </w:tblPr>
    <w:tblStylePr w:type="firstRow">
      <w:rPr>
        <w:b/>
        <w:bCs/>
      </w:rPr>
      <w:tblPr/>
      <w:tcPr>
        <w:shd w:val="clear" w:color="auto" w:fill="196B24"/>
      </w:tcPr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band1Horz">
      <w:tblPr/>
      <w:tcPr>
        <w:shd w:val="clear" w:color="auto" w:fill="C1F0C7"/>
      </w:tcPr>
    </w:tblStylePr>
  </w:style>
  <w:style w:type="table" w:styleId="OHgridgray">
    <w:name w:val="OH Kılavuz Tablo 4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</w:tblPr>
    <w:tblStylePr w:type="firstRow">
      <w:rPr>
        <w:b/>
        <w:bCs/>
      </w:rPr>
      <w:tblPr/>
      <w:tcPr>
        <w:shd w:val="clear" w:color="auto" w:fill="000000"/>
      </w:tcPr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band1Horz">
      <w:tblPr/>
      <w:tcPr>
        <w:shd w:val="clear" w:color="auto" w:fill="CCCCCC"/>
      </w:tcPr>
    </w:tblStylePr>
  </w:style>
  <w:style w:type="table" w:styleId="OHlistblue">
    <w:name w:val="OH Liste Tablo 3 - Vurgu 1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color="156082" w:sz="4" w:space="0"/>
        <w:left w:val="single" w:color="156082" w:sz="4" w:space="0"/>
        <w:bottom w:val="single" w:color="156082" w:sz="4" w:space="0"/>
        <w:right w:val="single" w:color="156082" w:sz="4" w:space="0"/>
      </w:tblBorders>
    </w:tblPr>
    <w:tblStylePr w:type="firstRow">
      <w:rPr>
        <w:b/>
        <w:bCs/>
      </w:rPr>
      <w:tblPr/>
      <w:tcPr>
        <w:shd w:val="clear" w:color="auto" w:fill="156082"/>
      </w:tcPr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</w:style>
  <w:style w:type="table" w:styleId="OHlightblue">
    <w:name w:val="OH Açık Liste - Vurgu 1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color="94C3E8" w:sz="4" w:space="0"/>
        <w:left w:val="single" w:color="94C3E8" w:sz="4" w:space="0"/>
        <w:bottom w:val="single" w:color="94C3E8" w:sz="4" w:space="0"/>
        <w:right w:val="single" w:color="94C3E8" w:sz="4" w:space="0"/>
        <w:insideH w:val="single" w:color="94C3E8" w:sz="4" w:space="0"/>
        <w:insideV w:val="single" w:color="94C3E8" w:sz="4" w:space="0"/>
      </w:tblBorders>
    </w:tblPr>
    <w:tblStylePr w:type="firstRow">
      <w:rPr>
        <w:b/>
        <w:bCs/>
      </w:rPr>
      <w:tblPr/>
      <w:tcPr>
        <w:shd w:val="clear" w:color="auto" w:fill="DAE9F7"/>
      </w:tcPr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band1Horz">
      <w:tblPr/>
      <w:tcPr>
        <w:shd w:val="clear" w:color="auto" w:fill="F2F7FC"/>
      </w:tcPr>
    </w:tblStylePr>
  </w:style>
  <w:style w:type="table" w:styleId="OHlightpurple">
    <w:name w:val="OH Kılavuz Tablo 2 - Vurgu 5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color="D86DCB" w:sz="4" w:space="0"/>
        <w:left w:val="single" w:color="D86DCB" w:sz="4" w:space="0"/>
        <w:bottom w:val="single" w:color="D86DCB" w:sz="4" w:space="0"/>
        <w:right w:val="single" w:color="D86DCB" w:sz="4" w:space="0"/>
        <w:insideH w:val="single" w:color="D86DCB" w:sz="4" w:space="0"/>
        <w:insideV w:val="single" w:color="D86DCB" w:sz="4" w:space="0"/>
      </w:tblBorders>
    </w:tblPr>
    <w:tblStylePr w:type="firstRow">
      <w:rPr>
        <w:b/>
        <w:bCs/>
      </w:rPr>
      <w:tblPr/>
      <w:tcPr>
        <w:shd w:val="clear" w:color="auto" w:fill="F2CEEF"/>
      </w:tcPr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band1Horz">
      <w:tblPr/>
      <w:tcPr>
        <w:shd w:val="clear" w:color="auto" w:fill="FAEBF8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2026-10-12T00:05:19Z</dcterms:created>
  <dc:creator>OfficeHere</dc:creator>
  <dc:description/>
  <dc:language>en-US</dc:language>
  <cp:lastModifiedBy>OfficeHere</cp:lastModifiedBy>
  <dcterms:modified xsi:type="dcterms:W3CDTF">2026-10-12T00:05:19Z</dcterms:modified>
  <cp:revision>0</cp:revision>
  <dc:subject/>
  <dc:title>Proje Raporu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HereBelge">
    <vt:lpwstr>{"styleSet":"default","theme":"OfficeHere","fontTheme":null,"paragraphSpacing":"default","watermark":null}</vt:lpwstr>
  </property>
</Properties>
</file>