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40" w:lineRule="auto"/>
        <w:jc w:val="center"/>
      </w:pPr>
      <w:r>
        <w:rPr>
          <w:rFonts w:ascii="Calibri" w:hAnsi="Calibri"/>
          <w:b/>
          <w:color w:val="17365D"/>
          <w:sz w:val="44"/>
        </w:rPr>
        <w:t>美国市场 H5 测试计划（转化导向版）</w:t>
      </w:r>
    </w:p>
    <w:p>
      <w:pPr>
        <w:spacing w:after="360" w:before="0" w:line="240" w:lineRule="auto"/>
        <w:jc w:val="center"/>
      </w:pPr>
      <w:r>
        <w:rPr>
          <w:rFonts w:ascii="Calibri" w:hAnsi="Calibri"/>
          <w:b w:val="0"/>
          <w:color w:val="666666"/>
          <w:sz w:val="20"/>
        </w:rPr>
        <w:t>适用对象：占卜 / 情感 / 人生建议类 H5 产品 | 版本：V1.0 | 日期：2026-06-09</w:t>
      </w:r>
    </w:p>
    <w:p>
      <w:pPr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本文档面向 H5 冷启动投放阶段，核心目标不是验证长期留存，而是尽快验证“广告点击是否能顺利转成支付”。测试重点放在点击、开始、完成、到支付页和付费率。</w:t>
      </w:r>
    </w:p>
    <w:p>
      <w:pPr>
        <w:spacing w:after="160" w:before="280" w:line="264" w:lineRule="auto"/>
        <w:jc w:val="left"/>
      </w:pPr>
      <w:r>
        <w:rPr>
          <w:rFonts w:ascii="Calibri" w:hAnsi="Calibri"/>
          <w:b/>
          <w:color w:val="2E74B5"/>
          <w:sz w:val="30"/>
        </w:rPr>
        <w:t>1. 测试目标与范围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测试目标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验证 H5 产品在美国市场的买量转化效率，找出最优素材、人群、产品路径、价格和支付页表达。</w:t>
            </w:r>
          </w:p>
        </w:tc>
      </w:tr>
      <w:tr>
        <w:trPr>
          <w:cantSplit/>
        </w:trP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核心问题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用户为什么点进来、为什么开始、为什么中途退出、为什么付费或不付费。</w:t>
            </w:r>
          </w:p>
        </w:tc>
      </w:tr>
      <w:tr>
        <w:trPr>
          <w:cantSplit/>
        </w:trP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测试范围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覆盖投放侧、产品侧、用户侧、数据与合规侧四个维度，聚焦点击到支付成功的完整链路。</w:t>
            </w:r>
          </w:p>
        </w:tc>
      </w:tr>
      <w:tr>
        <w:trPr>
          <w:cantSplit/>
        </w:trP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阶段目标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首轮优先看 CTR、LPV、开始率、完成率、到支付页转化率、付费率、CAC、ARPPU、退款率。</w:t>
            </w:r>
          </w:p>
        </w:tc>
      </w:tr>
    </w:tbl>
    <w:p/>
    <w:p>
      <w:pPr>
        <w:spacing w:after="160" w:before="280" w:line="264" w:lineRule="auto"/>
        <w:jc w:val="left"/>
      </w:pPr>
      <w:r>
        <w:rPr>
          <w:rFonts w:ascii="Calibri" w:hAnsi="Calibri"/>
          <w:b/>
          <w:color w:val="2E74B5"/>
          <w:sz w:val="30"/>
        </w:rPr>
        <w:t>2. H5 核心漏斗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曝光 -&gt; 点击 -&gt; 落地页访问（LPV）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LPV -&gt; 开始测试 / 开始提问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开始 -&gt; 完成结果前流程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完成 -&gt; 到达支付页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支付页 -&gt; 支付成功</w:t>
      </w:r>
    </w:p>
    <w:p>
      <w:pPr>
        <w:spacing w:after="160" w:before="280" w:line="264" w:lineRule="auto"/>
        <w:jc w:val="left"/>
      </w:pPr>
      <w:r>
        <w:rPr>
          <w:rFonts w:ascii="Calibri" w:hAnsi="Calibri"/>
          <w:b/>
          <w:color w:val="2E74B5"/>
          <w:sz w:val="30"/>
        </w:rPr>
        <w:t>3. 执行节奏建议</w:t>
      </w:r>
    </w:p>
    <w:p>
      <w:pPr>
        <w:pStyle w:val="ListNumber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Week 1：完成埋点、归因、H5 页面版本、素材、价格方案与支付页表达准备。</w:t>
      </w:r>
    </w:p>
    <w:p>
      <w:pPr>
        <w:pStyle w:val="ListNumber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Week 2：小预算并行测试平台、素材、人群和首页切入点，快速淘汰低效组合。</w:t>
      </w:r>
    </w:p>
    <w:p>
      <w:pPr>
        <w:pStyle w:val="ListNumber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Week 3：集中验证转化路径、价格带、结果解锁方式和支付页信任组件。</w:t>
      </w:r>
    </w:p>
    <w:p>
      <w:pPr>
        <w:pStyle w:val="ListNumber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Week 4：汇总各组合的付费率、CAC、ARPPU、退款率，判断是否具备继续放量条件。</w:t>
      </w:r>
    </w:p>
    <w:p>
      <w:pPr>
        <w:spacing w:after="160" w:before="280" w:line="264" w:lineRule="auto"/>
        <w:jc w:val="left"/>
      </w:pPr>
      <w:r>
        <w:rPr>
          <w:rFonts w:ascii="Calibri" w:hAnsi="Calibri"/>
          <w:b/>
          <w:color w:val="2E74B5"/>
          <w:sz w:val="30"/>
        </w:rPr>
        <w:t>4. 判定口径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投放层重点看 CTR、CPC、LPV 和开始率，确认广告能否把正确人群带进来。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产品层重点看开始率、完成率、到支付页转化率和付费率，确认 H5 承接是否顺畅。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商业层重点看 CAC、ARPPU 和退款率，确认这条链路是否具备买量价值。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用户研究重点放在支付阻碍、价格敏感度和信任障碍，不把留存作为当前核心判断条件。</w:t>
      </w:r>
    </w:p>
    <w:p>
      <w:pPr>
        <w:spacing w:after="120" w:before="200" w:line="264" w:lineRule="auto"/>
        <w:jc w:val="left"/>
      </w:pPr>
      <w:r>
        <w:rPr>
          <w:rFonts w:ascii="Calibri" w:hAnsi="Calibri"/>
          <w:b/>
          <w:color w:val="2E74B5"/>
          <w:sz w:val="25"/>
        </w:rPr>
        <w:t>5. 投放侧测试用例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ID</w:t>
            </w:r>
          </w:p>
        </w:tc>
        <w:tc>
          <w:tcPr>
            <w:tcW w:type="dxa" w:w="1728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测试目标</w:t>
            </w:r>
          </w:p>
        </w:tc>
        <w:tc>
          <w:tcPr>
            <w:tcW w:type="dxa" w:w="3816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测试内容</w:t>
            </w:r>
          </w:p>
        </w:tc>
        <w:tc>
          <w:tcPr>
            <w:tcW w:type="dxa" w:w="1440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核心指标</w:t>
            </w:r>
          </w:p>
        </w:tc>
        <w:tc>
          <w:tcPr>
            <w:tcW w:type="dxa" w:w="1224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AD-01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验证主卖点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对比 Love clarity、Relationship advice、Spiritual guidance 三种广告切入点。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CTR、CPC、LPV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至少 1 个切入点 CTR 明显领先。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AD-02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验证素材形式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对比真人口播、结果展示、H5 录屏三类素材。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CTR、LPV、CPI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找到最低获客成本素材形式。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AD-03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验证首屏钩子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测试“Will he come back?”、“Get clarity now”、“Your personalized reading” 等前 3 秒钩子。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CTR、3 秒播放率、LPV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至少 1 个钩子点击效率显著领先。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AD-04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验证平台差异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在 Meta、TikTok、Google 三平台测试同类素材。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CPM、CTR、开始率、CAC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筛出主力买量渠道。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AD-05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验证人群方向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测试情感关系、自我探索、灵性兴趣、泛女性兴趣四类受众包。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CTR、开始率、付费率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锁定 1 到 2 个高质量人群包。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AD-06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验证价格前置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广告中带“$0.99 first reading”与不带价格版本对比。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CTR、LP 转化率、付费率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判断价格前置是否改善流量质量。</w:t>
            </w:r>
          </w:p>
        </w:tc>
      </w:tr>
    </w:tbl>
    <w:p/>
    <w:p>
      <w:pPr>
        <w:spacing w:after="120" w:before="200" w:line="264" w:lineRule="auto"/>
        <w:jc w:val="left"/>
      </w:pPr>
      <w:r>
        <w:rPr>
          <w:rFonts w:ascii="Calibri" w:hAnsi="Calibri"/>
          <w:b/>
          <w:color w:val="2E74B5"/>
          <w:sz w:val="25"/>
        </w:rPr>
        <w:t>6. 产品侧测试用例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ID</w:t>
            </w:r>
          </w:p>
        </w:tc>
        <w:tc>
          <w:tcPr>
            <w:tcW w:type="dxa" w:w="1728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测试目标</w:t>
            </w:r>
          </w:p>
        </w:tc>
        <w:tc>
          <w:tcPr>
            <w:tcW w:type="dxa" w:w="3816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测试内容</w:t>
            </w:r>
          </w:p>
        </w:tc>
        <w:tc>
          <w:tcPr>
            <w:tcW w:type="dxa" w:w="1440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核心指标</w:t>
            </w:r>
          </w:p>
        </w:tc>
        <w:tc>
          <w:tcPr>
            <w:tcW w:type="dxa" w:w="1224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PD-01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验证首页定位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首页分别强调 Tarot reading、Relationship clarity、AI guidance。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首屏停留、开始率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开始率最高版本胜出。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PD-02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验证转化路径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先答题再出结果，与先输入问题再出结果两条路径对比。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开始率、完成率、付费率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选出完整付费漏斗转化最高路径。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PD-03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验证结果解锁方式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直接展示部分结果，与摘要后引导付费解锁完整结果对比。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到支付页转化率、付费率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找到最强付费推进方式。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PD-04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验证首单价格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测试 $0.99、$2.99、$4.99 三档首单价格。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付费率、ARPPU、CAC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确认最佳转化价格甜点。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PD-05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验证支付页信任组件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比较加入用户评价、隐私承诺、价格说明前后的转化差异。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支付页停留、付费率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信任组件带来正向提升。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PD-06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验证支付透明度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支付页清晰展示价格、续费说明、权益说明，与弱展示版本对比。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付费率、退款率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优先保留高转化低争议方案。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PD-07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验证注册节点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先注册后体验，与游客先体验后支付前注册两种策略对比。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注册率、完成率、付费率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找出阻力最小方案。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PD-08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验证结果风格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比较偏预测型文案与偏陪伴建议型文案对支付转化的影响。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完成率、付费率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明确最适合 H5 成交的话术。</w:t>
            </w:r>
          </w:p>
        </w:tc>
      </w:tr>
    </w:tbl>
    <w:p/>
    <w:p>
      <w:pPr>
        <w:spacing w:after="120" w:before="200" w:line="264" w:lineRule="auto"/>
        <w:jc w:val="left"/>
      </w:pPr>
      <w:r>
        <w:rPr>
          <w:rFonts w:ascii="Calibri" w:hAnsi="Calibri"/>
          <w:b/>
          <w:color w:val="2E74B5"/>
          <w:sz w:val="25"/>
        </w:rPr>
        <w:t>7. 用户侧测试用例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ID</w:t>
            </w:r>
          </w:p>
        </w:tc>
        <w:tc>
          <w:tcPr>
            <w:tcW w:type="dxa" w:w="1728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测试目标</w:t>
            </w:r>
          </w:p>
        </w:tc>
        <w:tc>
          <w:tcPr>
            <w:tcW w:type="dxa" w:w="3816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测试内容</w:t>
            </w:r>
          </w:p>
        </w:tc>
        <w:tc>
          <w:tcPr>
            <w:tcW w:type="dxa" w:w="1440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核心指标</w:t>
            </w:r>
          </w:p>
        </w:tc>
        <w:tc>
          <w:tcPr>
            <w:tcW w:type="dxa" w:w="1224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US-01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验证点击动机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分析用户是被情感问题、未来结果还是低价试用吸引进来。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CTR、开始率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明确最强点击驱动力。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US-02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验证中途流失点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定位用户在首页、答题页、结果页、支付页的主要流失节点。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各节点流失率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锁定首要转化断点。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US-03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验证支付障碍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访谈未付费用户，梳理价格、信任、理解成本三类阻碍。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支付阻碍分布、付费率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明确最大付费阻碍。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US-04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验证价格敏感度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观察不同价格带下用户的点击后行为与支付接受度。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付费率、ARPPU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确定最优价格区间。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US-05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验证信任障碍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识别用户在哪一步开始怀疑结果真实性或支付安全性。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节点流失率、访谈反馈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找到主要信任问题。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US-06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验证内容偏好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对比 Love、Career、Future、Self-growth 四类入口的成交效率。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完成率、付费率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选出高转化主题。</w:t>
            </w:r>
          </w:p>
        </w:tc>
      </w:tr>
    </w:tbl>
    <w:p/>
    <w:p>
      <w:pPr>
        <w:spacing w:after="120" w:before="200" w:line="264" w:lineRule="auto"/>
        <w:jc w:val="left"/>
      </w:pPr>
      <w:r>
        <w:rPr>
          <w:rFonts w:ascii="Calibri" w:hAnsi="Calibri"/>
          <w:b/>
          <w:color w:val="2E74B5"/>
          <w:sz w:val="25"/>
        </w:rPr>
        <w:t>8. 数据与合规侧测试用例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ID</w:t>
            </w:r>
          </w:p>
        </w:tc>
        <w:tc>
          <w:tcPr>
            <w:tcW w:type="dxa" w:w="1728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测试目标</w:t>
            </w:r>
          </w:p>
        </w:tc>
        <w:tc>
          <w:tcPr>
            <w:tcW w:type="dxa" w:w="3816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测试内容</w:t>
            </w:r>
          </w:p>
        </w:tc>
        <w:tc>
          <w:tcPr>
            <w:tcW w:type="dxa" w:w="1440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核心指标</w:t>
            </w:r>
          </w:p>
        </w:tc>
        <w:tc>
          <w:tcPr>
            <w:tcW w:type="dxa" w:w="1224"/>
            <w:vAlign w:val="center"/>
            <w:shd w:fill="EAF1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DA-01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验证埋点完整性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校验广告点击到支付完成的 H5 全链路埋点。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关键事件完整率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关键事件完整率高于 95%。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DA-02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验证归因准确性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核对 Meta、TikTok、Google 的点击、到站、支付归因口径。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归因一致性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误差控制在可接受范围。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DA-03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验证转化漏斗看板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搭建 LPV、开始、完成、到支付页、支付成功的日常监控看板。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漏斗可用性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可每日定位主要流失节点。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/>
                <w:color w:val="1F1F1F"/>
                <w:sz w:val="19"/>
              </w:rPr>
              <w:t>CM-01</w:t>
            </w:r>
          </w:p>
        </w:tc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验证支付与文案合规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检查是否出现绝对化承诺、误导性价格说明或敏感替代表述。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审核通过率、退款率、投诉率</w:t>
            </w:r>
          </w:p>
        </w:tc>
        <w:tc>
          <w:tcPr>
            <w:tcW w:type="dxa" w:w="12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19"/>
              </w:rPr>
              <w:t>素材和支付表达基础合规。</w:t>
            </w:r>
          </w:p>
        </w:tc>
      </w:tr>
    </w:tbl>
    <w:p/>
    <w:p>
      <w:pPr>
        <w:spacing w:after="160" w:before="280" w:line="264" w:lineRule="auto"/>
        <w:jc w:val="left"/>
      </w:pPr>
      <w:r>
        <w:rPr>
          <w:rFonts w:ascii="Calibri" w:hAnsi="Calibri"/>
          <w:b/>
          <w:color w:val="2E74B5"/>
          <w:sz w:val="30"/>
        </w:rPr>
        <w:t>9. 首轮优先测试清单</w:t>
      </w:r>
    </w:p>
    <w:p>
      <w:pPr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若预算和人力有限，建议首轮先执行以下 8 个关键用例，优先验证 H5 的成交效率：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AD-01 主卖点测试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AD-02 素材形式测试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AD-04 平台差异测试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AD-05 人群方向测试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PD-02 转化路径测试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PD-03 结果解锁方式测试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PD-04 首单价格测试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PD-05 支付页信任组件测试</w:t>
      </w:r>
    </w:p>
    <w:p>
      <w:pPr>
        <w:spacing w:after="160" w:before="280" w:line="264" w:lineRule="auto"/>
        <w:jc w:val="left"/>
      </w:pPr>
      <w:r>
        <w:rPr>
          <w:rFonts w:ascii="Calibri" w:hAnsi="Calibri"/>
          <w:b/>
          <w:color w:val="2E74B5"/>
          <w:sz w:val="30"/>
        </w:rPr>
        <w:t>10. 测试记录模板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基础信息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测试名称、用例 ID、负责人、测试时间、测试渠道 / 页面。</w:t>
            </w:r>
          </w:p>
        </w:tc>
      </w:tr>
      <w:tr>
        <w:trPr>
          <w:cantSplit/>
        </w:trP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实验设计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实验组、对照组、样本量、预算、核心变量。</w:t>
            </w:r>
          </w:p>
        </w:tc>
      </w:tr>
      <w:tr>
        <w:trPr>
          <w:cantSplit/>
        </w:trP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关键指标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CTR、LPV、开始率、完成率、到支付页转化率、付费率、CAC、ARPPU、退款率。</w:t>
            </w:r>
          </w:p>
        </w:tc>
      </w:tr>
      <w:tr>
        <w:trPr>
          <w:cantSplit/>
        </w:trPr>
        <w:tc>
          <w:tcPr>
            <w:tcW w:type="dxa" w:w="223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1F1F1F"/>
                <w:sz w:val="21"/>
              </w:rPr>
              <w:t>结果结论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是否通过、主要发现、异常说明、下一步动作。</w:t>
            </w:r>
          </w:p>
        </w:tc>
      </w:tr>
    </w:tbl>
    <w:p/>
    <w:p>
      <w:pPr>
        <w:spacing w:after="160" w:before="280" w:line="264" w:lineRule="auto"/>
        <w:jc w:val="left"/>
      </w:pPr>
      <w:r>
        <w:rPr>
          <w:rFonts w:ascii="Calibri" w:hAnsi="Calibri"/>
          <w:b/>
          <w:color w:val="2E74B5"/>
          <w:sz w:val="30"/>
        </w:rPr>
        <w:t>11. 结论输出要求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哪种卖点最容易带来高质量点击，并最终转成支付。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哪类人群和平台组合最适合 H5 冷启动买量。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哪条页面路径最短、最顺，最能把用户推到支付页。</w:t>
      </w:r>
    </w:p>
    <w:p>
      <w:pPr>
        <w:pStyle w:val="ListBullet"/>
        <w:spacing w:after="120" w:before="0" w:line="276" w:lineRule="auto"/>
        <w:jc w:val="left"/>
      </w:pPr>
      <w:r>
        <w:rPr>
          <w:rFonts w:ascii="Calibri" w:hAnsi="Calibri"/>
          <w:b w:val="0"/>
          <w:color w:val="1F1F1F"/>
          <w:sz w:val="21"/>
        </w:rPr>
        <w:t>哪种价格带和支付页表达最有机会跑出稳定付费率。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7F7F7F"/>
        <w:sz w:val="18"/>
      </w:rPr>
      <w:t xml:space="preserve">第 </w:t>
    </w:r>
    <w:fldSimple w:instr="PAGE">
      <w:r>
        <w:rPr>
          <w:rFonts w:ascii="Calibri" w:hAnsi="Calibri"/>
          <w:sz w:val="18"/>
          <w:color w:val="7F7F7F"/>
        </w:rPr>
        <w:t>1</w:t>
      </w:r>
    </w:fldSimple>
    <w:r>
      <w:rPr>
        <w:rFonts w:ascii="Calibri" w:hAnsi="Calibri"/>
        <w:b w:val="0"/>
        <w:color w:val="7F7F7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