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9922A"/>
          <w:sz w:val="120"/>
          <w:szCs w:val="120"/>
        </w:rPr>
        <w:t xml:space="preserve">NEXO</w:t>
      </w:r>
    </w:p>
    <w:p>
      <w:pPr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Football Intelligence Platform</w:t>
      </w:r>
    </w:p>
    <w:p>
      <w:pPr>
        <w:spacing w:after="0" w:before="200"/>
      </w:pPr>
      <w:r>
        <w:t xml:space="preserve"/>
      </w:r>
    </w:p>
    <w:p>
      <w:pPr>
        <w:pBdr>
          <w:top w:val="single" w:color="C9922A" w:sz="4"/>
          <w:bottom w:val="single" w:color="C9922A" w:sz="4"/>
        </w:pBdr>
        <w:spacing w:after="120" w:before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Propuesta presentada al Programa Dream Time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Banco de Guayaquil  ·  Independiente del Valle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922A" w:sz="8"/>
              <w:left w:val="single" w:color="C9922A" w:sz="8"/>
              <w:bottom w:val="single" w:color="C9922A" w:sz="8"/>
              <w:right w:val="single" w:color="C9922A" w:sz="8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40"/>
                <w:szCs w:val="40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Fuentes de Ingreso</w:t>
            </w:r>
          </w:p>
        </w:tc>
        <w:tc>
          <w:tcPr>
            <w:tcW w:type="dxa" w:w="2340"/>
            <w:tcBorders>
              <w:top w:val="single" w:color="C9922A" w:sz="8"/>
              <w:left w:val="single" w:color="C9922A" w:sz="8"/>
              <w:bottom w:val="single" w:color="C9922A" w:sz="8"/>
              <w:right w:val="single" w:color="C9922A" w:sz="8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40"/>
                <w:szCs w:val="40"/>
              </w:rPr>
              <w:t xml:space="preserve">$2.4M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ARR Proyectado Año 3</w:t>
            </w:r>
          </w:p>
        </w:tc>
        <w:tc>
          <w:tcPr>
            <w:tcW w:type="dxa" w:w="2340"/>
            <w:tcBorders>
              <w:top w:val="single" w:color="C9922A" w:sz="8"/>
              <w:left w:val="single" w:color="C9922A" w:sz="8"/>
              <w:bottom w:val="single" w:color="C9922A" w:sz="8"/>
              <w:right w:val="single" w:color="C9922A" w:sz="8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40"/>
                <w:szCs w:val="40"/>
              </w:rPr>
              <w:t xml:space="preserve">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Provincias a Mapear</w:t>
            </w:r>
          </w:p>
        </w:tc>
        <w:tc>
          <w:tcPr>
            <w:tcW w:type="dxa" w:w="2340"/>
            <w:tcBorders>
              <w:top w:val="single" w:color="C9922A" w:sz="8"/>
              <w:left w:val="single" w:color="C9922A" w:sz="8"/>
              <w:bottom w:val="single" w:color="C9922A" w:sz="8"/>
              <w:right w:val="single" w:color="C9922A" w:sz="8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40"/>
                <w:szCs w:val="40"/>
              </w:rPr>
              <w:t xml:space="preserve">20%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Comisión FIFA Solidarity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Presentado por</w:t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Raúl Calvache  ·  Kevin Calvache  ·  Bryan Calvache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Ecuador · 2025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160"/>
      </w:pPr>
      <w:r>
        <w:t xml:space="preserve"/>
      </w:r>
    </w:p>
    <w:p>
      <w:pPr>
        <w:pBdr>
          <w:bottom w:val="single" w:color="C992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C9922A"/>
          <w:sz w:val="28"/>
          <w:szCs w:val="28"/>
        </w:rPr>
        <w:t xml:space="preserve">CARTA DE PRESENTACIÓN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Estimado equipo del Programa Dream Time,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Ecuador tiene un secreto que el mundo ya comenzó a descubrir: una cantera de talento futbolístico excepcional que produce jugadores de nivel mundial. Moisés Caicedo, Willian Pacho, Piero Hincapié — todos nacidos de un sistema formativo que funciona por vocación y dedicación, pero que opera sin la infraestructura de datos que merece.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problema no es la falta de talento. El problema es que ese talento es invisible para el mercado internacional, y que los clubes que invierten años en formarlo no reciben el reconocimiento económico que el propio Reglamento de FIFA les garantiza.</w:t>
      </w:r>
    </w:p>
    <w:p>
      <w:pPr>
        <w:spacing w:after="0" w:before="60"/>
      </w:pPr>
      <w:r>
        <w:t xml:space="preserve"/>
      </w:r>
    </w:p>
    <w:p>
      <w:pPr>
        <w:pBdr>
          <w:left w:val="single" w:color="C9922A" w:sz="20" w:space="8"/>
        </w:pBdr>
        <w:shd w:fill="FDF3DC" w:val="clear"/>
        <w:spacing w:after="80" w:before="80"/>
        <w:ind w:left="200" w:right="20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NEXO nace para cambiar eso. Somos la primera plataforma de inteligencia de datos del fútbol formativo latinoamericano, diseñada para conectar a todos los actores del ecosistema — clubes, academias, scouts, jugadores y federaciones — en un solo sistema transparente, trazable y generador de valor real.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Presentamos esta propuesta convencidos de que el Programa Dream Time y el aval de Independiente del Valle — el club con el modelo formativo más exitoso de Ecuador y uno de los más respetados de Sudamérica — son el entorno ideal para llevar NEXO de la visión a la realidad.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Atentamente,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Raúl Calvache · Kevin Calvache · Bryan Calvache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Fundadores · NEXO Football Intelligence Platform</w:t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pBdr>
          <w:bottom w:val="single" w:color="C992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C9922A"/>
          <w:sz w:val="28"/>
          <w:szCs w:val="28"/>
        </w:rPr>
        <w:t xml:space="preserve">MISIÓN, VISIÓN Y VALORES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922A" w:sz="8"/>
              <w:left w:val="single" w:color="C9922A" w:sz="8"/>
              <w:bottom w:val="single" w:color="C9922A" w:sz="8"/>
              <w:right w:val="single" w:color="EEEEEE" w:sz="2"/>
            </w:tcBorders>
            <w:shd w:fill="1A1A2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MISIÓN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Digitalizar y transparentar el ecosistema del fútbol formativo latinoamericano, garantizando que cada club, academia y jugador reciba el reconocimiento económico e institucional que merece por su trabajo de desarrollo de talento.</w:t>
            </w:r>
          </w:p>
        </w:tc>
        <w:tc>
          <w:tcPr>
            <w:tcW w:type="dxa" w:w="4680"/>
            <w:tcBorders>
              <w:top w:val="single" w:color="C9922A" w:sz="8"/>
              <w:left w:val="single" w:color="EEEEEE" w:sz="2"/>
              <w:bottom w:val="single" w:color="C9922A" w:sz="8"/>
              <w:right w:val="single" w:color="C9922A" w:sz="8"/>
            </w:tcBorders>
            <w:shd w:fill="12131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VISIÓN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DDDDDD"/>
                <w:sz w:val="21"/>
                <w:szCs w:val="21"/>
              </w:rPr>
              <w:t xml:space="preserve">Ser la infraestructura de datos del fútbol formativo de Latinoamérica en 2030 — el sistema que ningún club, federación ni agencia internacional pueda ignorar cuando busca, evalúa o transfiere talento joven.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VALORES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Trazabilidad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Cada jugador, contrato y transferencia tiene un registro verificable e inmutable. Lo que no está en NEXO no existe para el mercado internacional.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Transparencia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Eliminamos las asimetrías de información que permiten la corrupción. Familias, clubes y federaciones acceden a los mismos datos en tiempo real.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Mérito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 talento se mide con datos objetivos, no con relaciones ni intermediarios. El mejor jugador llega al mejor lugar — sin importar de dónde viene.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Solidaridad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Cada actor del ecosistema recibe lo que le corresponde por Reglamento FIFA — desde el club rural de Esmeraldas hasta el más grande de Quito.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Impacto Social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 jugador de escasos recursos en una provincia rural tiene las mismas oportunidades de ser descubierto que el de una academia privada. NEXO democratiza el acceso al talento.</w:t>
            </w:r>
          </w:p>
        </w:tc>
      </w:tr>
    </w:tbl>
    <w:p>
      <w:r>
        <w:br w:type="page"/>
      </w:r>
    </w:p>
    <w:p>
      <w:pPr>
        <w:spacing w:after="0" w:before="80"/>
      </w:pPr>
      <w:r>
        <w:t xml:space="preserve"/>
      </w:r>
    </w:p>
    <w:p>
      <w:pPr>
        <w:pBdr>
          <w:bottom w:val="single" w:color="C992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C9922A"/>
          <w:sz w:val="28"/>
          <w:szCs w:val="28"/>
        </w:rPr>
        <w:t xml:space="preserve">EL PROBLEMA QUE RESOLVEMOS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Ecuador generó más de $100 millones en transferencias internacionales de jugadores formados en su cantera entre 2020 y 2026. Independiente del Valle vendió solo en las temporadas 2024–2025 más de $36 millones en talento joven a clubes como Borussia Dortmund, Chelsea y Arsenal. El fútbol formativo ecuatoriano exporta a nivel de élite mundial.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 embargo, el sistema que produce ese talento opera sin datos, sin trazabilidad y sin la infraestructura necesaria para cobrar lo que le corresponde por ley.</w:t>
      </w:r>
    </w:p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C9922A"/>
          <w:sz w:val="22"/>
          <w:szCs w:val="22"/>
        </w:rPr>
        <w:t xml:space="preserve">EL MECANISMO DE SOLIDARIDAD FIFA — EL DINERO QUE NADIE COBRA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Reglamento FIFA (Annexe 5, RSTP, Art. 21) establece que en toda transferencia internacional de un jugador profesional, el 5% del valor del transfer se distribuye entre todos los clubes que lo formaron entre sus 12 y 23 años. Este dinero lo paga el club comprador. La distribución oficial es:</w:t>
      </w:r>
    </w:p>
    <w:p>
      <w:pPr>
        <w:spacing w:after="0" w:before="100"/>
      </w:pPr>
      <w:r>
        <w:t xml:space="preserve"/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0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AÑO DEL JUGADOR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% DEL POOL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EN TRANSFER $10M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Año 12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5%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$25,000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Año 13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5%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$25,000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Año 14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5%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$25,000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Año 15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5%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$25,000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Año 16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10%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$50,000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Año 17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10%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$50,000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Año 18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10%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$50,000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Año 19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10%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$50,000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Año 20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10%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$50,000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Año 21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10%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$50,000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Año 22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10%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$50,000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Año 23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10%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$50,000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TOTAL POOL (5% del transfer)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100%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$500,000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C9922A" w:sz="20" w:space="8"/>
        </w:pBdr>
        <w:shd w:fill="FDF3DC" w:val="clear"/>
        <w:spacing w:after="80" w:before="80"/>
        <w:ind w:left="200" w:right="20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Si un club formó al jugador en su totalidad, recibe los $500,000 completos de ese pool. En una transferencia de $100M, eso equivale a $5,000,000 que le corresponden al club por ley FIFA — y que en la mayoría de casos no cobra por falta de documentación y sistemas.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Los tres problemas concretos que impiden el cobro: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registros digitales certificados: los clubes formadores no tienen contratos históricos digitalizados ni registros de participación verificables ante FIFA.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proceso claro: el reclamo ante FIFA requiere asesoría especializada y documentación precisa que los clubes pequeños no pueden costear ni gestionar.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 alertas: el reclamo tiene ventanas de tiempo estrictas. Sin sistema de monitoreo, los clubes se enteran meses después de que venció el plazo.</w:t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pBdr>
          <w:bottom w:val="single" w:color="C992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C9922A"/>
          <w:sz w:val="28"/>
          <w:szCs w:val="28"/>
        </w:rPr>
        <w:t xml:space="preserve">MODELO DE NEGOCIO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NEXO opera como un ecosistema SaaS B2B2C con seis fuentes de ingreso diferenciadas que cubren ingresos recurrentes predecibles, comisiones variables de alto impacto y licencias institucionales. El modelo está diseñado para no depender de ninguna fuente única.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FUENTE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PRECIO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F1 · Clubes LigaPro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$800–$2,500/mes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SaaS completo: gestión de cantera, evaluaciones, dashboard solidaridad FIFA, marketplace de scouting y reportes FEF.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F2 · Academias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$80–$200/mes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Registro de jugadores, perfil exportable, visibilidad ante scouts. Plan accesible para academias independientes.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F3 · Solidaridad FIFA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20% de éxito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NEXO gestiona todo el proceso de reclamo. El club recibe el 80% de un dinero que antes no cobraba. Sin costo inicial.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F4 · Scouts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$150–$500/mes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Acceso al marketplace de talento verificado con filtros avanzados, alertas y contacto directo con clubes.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F5 · Institucional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$2K–$8K/mes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Licencias de datos para FEF y Ministerio del Deporte. Reportes de compliance, mapa nacional de talento.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F6 · Eventos/Sponsors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20"/>
                <w:szCs w:val="20"/>
              </w:rPr>
              <w:t xml:space="preserve">$2K–$8K/evento</w:t>
            </w:r>
          </w:p>
        </w:tc>
        <w:tc>
          <w:tcPr>
            <w:tcW w:type="dxa" w:w="4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Pruebas masivas provinciales cofinanciadas por marcas deportivas. Entrada gratuita para el jugador.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PROYECCIÓN FINANCIERA · 3 AÑOS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922A" w:sz="8"/>
              <w:left w:val="single" w:color="C9922A" w:sz="8"/>
              <w:bottom w:val="single" w:color="C9922A" w:sz="8"/>
              <w:right w:val="single" w:color="C9922A" w:sz="8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40"/>
                <w:szCs w:val="40"/>
              </w:rPr>
              <w:t xml:space="preserve">$180K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ARR Año 1 · Ecuador</w:t>
            </w:r>
          </w:p>
        </w:tc>
        <w:tc>
          <w:tcPr>
            <w:tcW w:type="dxa" w:w="2340"/>
            <w:tcBorders>
              <w:top w:val="single" w:color="C9922A" w:sz="8"/>
              <w:left w:val="single" w:color="C9922A" w:sz="8"/>
              <w:bottom w:val="single" w:color="C9922A" w:sz="8"/>
              <w:right w:val="single" w:color="C9922A" w:sz="8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40"/>
                <w:szCs w:val="40"/>
              </w:rPr>
              <w:t xml:space="preserve">$780K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ARR Año 2 · +Colombia/Perú</w:t>
            </w:r>
          </w:p>
        </w:tc>
        <w:tc>
          <w:tcPr>
            <w:tcW w:type="dxa" w:w="2340"/>
            <w:tcBorders>
              <w:top w:val="single" w:color="C9922A" w:sz="8"/>
              <w:left w:val="single" w:color="C9922A" w:sz="8"/>
              <w:bottom w:val="single" w:color="C9922A" w:sz="8"/>
              <w:right w:val="single" w:color="C9922A" w:sz="8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40"/>
                <w:szCs w:val="40"/>
              </w:rPr>
              <w:t xml:space="preserve">$2.4M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ARR Año 3 · Regional</w:t>
            </w:r>
          </w:p>
        </w:tc>
        <w:tc>
          <w:tcPr>
            <w:tcW w:type="dxa" w:w="2340"/>
            <w:tcBorders>
              <w:top w:val="single" w:color="C9922A" w:sz="8"/>
              <w:left w:val="single" w:color="C9922A" w:sz="8"/>
              <w:bottom w:val="single" w:color="C9922A" w:sz="8"/>
              <w:right w:val="single" w:color="C9922A" w:sz="8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40"/>
                <w:szCs w:val="40"/>
              </w:rPr>
              <w:t xml:space="preserve">~$15K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Break-even MRR</w:t>
            </w:r>
          </w:p>
        </w:tc>
      </w:tr>
    </w:tbl>
    <w:p>
      <w:r>
        <w:br w:type="page"/>
      </w:r>
    </w:p>
    <w:p>
      <w:pPr>
        <w:spacing w:after="0" w:before="80"/>
      </w:pPr>
      <w:r>
        <w:t xml:space="preserve"/>
      </w:r>
    </w:p>
    <w:p>
      <w:pPr>
        <w:pBdr>
          <w:bottom w:val="single" w:color="C992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C9922A"/>
          <w:sz w:val="28"/>
          <w:szCs w:val="28"/>
        </w:rPr>
        <w:t xml:space="preserve">MERCADO OBJETIVO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NEXO arranca con Ecuador como mercado primario de validación — un ecosistema controlable, con un problema agudo y un track record internacional que da urgencia real de adopción. La expansión a Latinoamérica se activa en el Año 2 con el modelo replicado.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SEGMENTO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MERCADO EC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PRECIO/MES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MRR POTENCIAL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Clubes LigaPro (A + B)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clubes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$800–$2,500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$24K–$75K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Academias y escuelas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200+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$80–$200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$16K–$40K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Scouts locales e internacionales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50+ (Año 1)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$150–$500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$7.5K–$25K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FEF / Min. del Deporte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Contrato inst.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$2K–$8K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Contrato anual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C992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C9922A"/>
          <w:sz w:val="28"/>
          <w:szCs w:val="28"/>
        </w:rPr>
        <w:t xml:space="preserve">COMUNICACIÓN Y SERVICIO AL CLIENTE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NEXO diseña su comunicación y servicio diferenciado por segmento, asegurando que cada actor del ecosistema reciba el soporte que necesita en el canal que más usa.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SEGMENTO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CANAL PRINCIPAL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CANAL SECUNDARIO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2A"/>
                <w:sz w:val="19"/>
                <w:szCs w:val="19"/>
              </w:rPr>
              <w:t xml:space="preserve">SLA RESPUESTA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Clubes LigaPro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Manager dedicado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+ Dashboard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33"/>
                <w:sz w:val="19"/>
                <w:szCs w:val="19"/>
              </w:rPr>
              <w:t xml:space="preserve">≤ 2 horas (crítico)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Academias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Business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+ Email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≤ 24 horas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Scouts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+ Alertas push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Tiempo real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Familias / Jugadores</w:t>
            </w:r>
          </w:p>
        </w:tc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+ Notificaciones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</w:t>
            </w:r>
          </w:p>
        </w:tc>
        <w:tc>
          <w:tcPr>
            <w:tcW w:type="dxa" w:w="2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Automático</w:t>
            </w:r>
          </w:p>
        </w:tc>
      </w:tr>
    </w:tbl>
    <w:p>
      <w:r>
        <w:br w:type="page"/>
      </w:r>
    </w:p>
    <w:p>
      <w:pPr>
        <w:spacing w:after="0" w:before="200"/>
      </w:pPr>
      <w:r>
        <w:t xml:space="preserve"/>
      </w:r>
    </w:p>
    <w:p>
      <w:pPr>
        <w:pBdr>
          <w:bottom w:val="single" w:color="C9922A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C9922A"/>
          <w:sz w:val="28"/>
          <w:szCs w:val="28"/>
        </w:rPr>
        <w:t xml:space="preserve">POR QUÉ NEXO DEBE SER FINALISTA</w:t>
      </w:r>
    </w:p>
    <w:p>
      <w:pPr>
        <w:spacing w:after="0" w:before="120"/>
      </w:pPr>
      <w:r>
        <w:t xml:space="preserve"/>
      </w:r>
    </w:p>
    <w:p>
      <w:pPr>
        <w:pBdr>
          <w:left w:val="single" w:color="C9922A" w:sz="20" w:space="8"/>
        </w:pBdr>
        <w:shd w:fill="FDF3DC" w:val="clear"/>
        <w:spacing w:after="80" w:before="80"/>
        <w:ind w:left="200" w:right="200"/>
        <w:jc w:val="both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NEXO no es una idea — es la solución a un problema de millones de dólares que está ocurriendo ahora mismo en Ecuador, con regulación FIFA que lo respalda y con el track record internacional de IDV que lo valida.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Cuatro razones concretas por las que NEXO tiene ventaja sobre cualquier otra propuesta: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Problema real y cuantificable: el mecanismo de solidaridad FIFA es dinero que existe por Reglamento, que los clubes ecuatorianos tienen derecho a cobrar, y que NEXO es el único sistema diseñado para recuperarlo.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Modelo sin riesgo para el cliente: la gestión de solidaridad FIFA no tiene costo inicial. El club solo paga cuando cobra. Elimina la principal barrera de adopción.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Efecto de red irreversible: cada jugador que entra al sistema crea valor para todos los demás actores. Una vez que un club tiene 3 años de historial en NEXO, el costo de salida es prácticamente imposible.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Escalabilidad regional inmediata: el playbook de Ecuador se replica en Colombia, Perú, Bolivia y Paraguay con la misma plataforma, sin rediseño del modelo.</w:t>
      </w:r>
    </w:p>
    <w:p>
      <w:pPr>
        <w:spacing w:after="0" w:before="1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El fútbol formativo de Ecuador ya demostró que puede producir talento de élite mundial. NEXO va a demostrar que también puede capturar el valor económico que ese talento genera — para los clubes, para las comunidades y para el país.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922A" w:sz="8"/>
              <w:left w:val="single" w:color="C9922A" w:sz="8"/>
              <w:bottom w:val="single" w:color="C9922A" w:sz="8"/>
              <w:right w:val="single" w:color="C9922A" w:sz="8"/>
            </w:tcBorders>
            <w:shd w:fill="1A1A2E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922A"/>
                <w:sz w:val="30"/>
                <w:szCs w:val="30"/>
              </w:rPr>
              <w:t xml:space="preserve">NEXO — Connecting Talent to Its Value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Raúl Calvache  ·  Kevin Calvache  ·  Bryan Calvache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Programa Dream Time · Banco de Guayaquil &amp; Independiente del Valle · 2025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Raúl Calvache · Kevin Calvache · Bryan Calvache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Confidencial · 2025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C9922A"/>
              <w:sz w:val="20"/>
              <w:szCs w:val="20"/>
            </w:rPr>
            <w:t xml:space="preserve">NEXO  ·  Football Intelligence Platform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8"/>
              <w:szCs w:val="18"/>
            </w:rPr>
            <w:t xml:space="preserve">Programa Dream Time · Banco de Guayaquil &amp; IDV</w:t>
          </w:r>
        </w:p>
      </w:tc>
    </w:tr>
  </w:tbl>
  <w:p>
    <w:pPr>
      <w:pBdr>
        <w:bottom w:val="single" w:color="C9922A" w:sz="6" w:space="2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80" w:hanging="300"/>
      </w:pPr>
      <w:rPr>
        <w:rFonts w:ascii="Arial" w:cs="Arial" w:eastAsia="Arial" w:hAnsi="Arial"/>
        <w:b/>
        <w:bCs/>
        <w:color w:val="C9922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2026-05-31T03:18:00.380Z</dcterms:created>
  <dcterms:modified xsi:type="dcterms:W3CDTF">2026-05-31T03:18:00.380Z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