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Times New Roman" w:cs="Times New Roman" w:eastAsia="Times New Roman" w:hAnsi="Times New Roman"/>
          <w:i/>
          <w:iCs/>
          <w:sz w:val="22"/>
          <w:szCs w:val="22"/>
        </w:rPr>
        <w:t xml:space="preserve">Scoping review</w:t>
      </w:r>
    </w:p>
    <w:p>
      <w:pPr>
        <w:spacing w:after="480"/>
      </w:pPr>
      <w:r>
        <w:rPr>
          <w:rFonts w:ascii="Times New Roman" w:cs="Times New Roman" w:eastAsia="Times New Roman" w:hAnsi="Times New Roman"/>
          <w:b/>
          <w:bCs/>
          <w:sz w:val="32"/>
          <w:szCs w:val="32"/>
        </w:rPr>
        <w:t xml:space="preserve">Randomized Trials of Digital Interventions Reporting Occupational Burnout Outcomes: A Scoping Review and Evidence Map</w:t>
      </w:r>
    </w:p>
    <w:p>
      <w:pPr>
        <w:spacing w:after="160" w:line="400"/>
        <w:jc w:val="both"/>
      </w:pPr>
      <w:r>
        <w:rPr>
          <w:rFonts w:ascii="Times New Roman" w:cs="Times New Roman" w:eastAsia="Times New Roman" w:hAnsi="Times New Roman"/>
          <w:b/>
          <w:bCs/>
          <w:sz w:val="24"/>
          <w:szCs w:val="24"/>
        </w:rPr>
        <w:t xml:space="preserve">Author:</w:t>
      </w:r>
      <w:r>
        <w:rPr>
          <w:rFonts w:ascii="Times New Roman" w:cs="Times New Roman" w:eastAsia="Times New Roman" w:hAnsi="Times New Roman"/>
          <w:sz w:val="24"/>
          <w:szCs w:val="24"/>
        </w:rPr>
        <w:t xml:space="preserve"> [Name], [affiliation]. </w:t>
      </w:r>
      <w:r>
        <w:rPr>
          <w:rFonts w:ascii="Times New Roman" w:cs="Times New Roman" w:eastAsia="Times New Roman" w:hAnsi="Times New Roman"/>
          <w:b/>
          <w:bCs/>
          <w:sz w:val="24"/>
          <w:szCs w:val="24"/>
        </w:rPr>
        <w:t xml:space="preserve">Corresponding author:</w:t>
      </w:r>
      <w:r>
        <w:rPr>
          <w:rFonts w:ascii="Times New Roman" w:cs="Times New Roman" w:eastAsia="Times New Roman" w:hAnsi="Times New Roman"/>
          <w:sz w:val="24"/>
          <w:szCs w:val="24"/>
        </w:rPr>
        <w:t xml:space="preserve"> [Name], [postal address]; email: m.reza.qeta@gmail.com.</w:t>
      </w:r>
    </w:p>
    <w:p>
      <w:pPr>
        <w:spacing w:after="160" w:line="400"/>
        <w:jc w:val="both"/>
      </w:pPr>
      <w:r>
        <w:rPr>
          <w:rFonts w:ascii="Times New Roman" w:cs="Times New Roman" w:eastAsia="Times New Roman" w:hAnsi="Times New Roman"/>
          <w:b/>
          <w:bCs/>
          <w:sz w:val="24"/>
          <w:szCs w:val="24"/>
        </w:rPr>
        <w:t xml:space="preserve">Running title:</w:t>
      </w:r>
      <w:r>
        <w:rPr>
          <w:rFonts w:ascii="Times New Roman" w:cs="Times New Roman" w:eastAsia="Times New Roman" w:hAnsi="Times New Roman"/>
          <w:sz w:val="24"/>
          <w:szCs w:val="24"/>
        </w:rPr>
        <w:t xml:space="preserve"> Digital interventions and occupational burnout: an evidence map</w:t>
      </w:r>
    </w:p>
    <w:p>
      <w:pPr>
        <w:spacing w:after="160" w:line="400"/>
        <w:jc w:val="both"/>
      </w:pPr>
      <w:r>
        <w:rPr>
          <w:rFonts w:ascii="Times New Roman" w:cs="Times New Roman" w:eastAsia="Times New Roman" w:hAnsi="Times New Roman"/>
          <w:b/>
          <w:bCs/>
          <w:sz w:val="24"/>
          <w:szCs w:val="24"/>
        </w:rPr>
        <w:t xml:space="preserve">Word count:</w:t>
      </w:r>
      <w:r>
        <w:rPr>
          <w:rFonts w:ascii="Times New Roman" w:cs="Times New Roman" w:eastAsia="Times New Roman" w:hAnsi="Times New Roman"/>
          <w:sz w:val="24"/>
          <w:szCs w:val="24"/>
        </w:rPr>
        <w:t xml:space="preserve"> abstract, 295 words; main text, about 4,200 words. </w:t>
      </w:r>
      <w:r>
        <w:rPr>
          <w:rFonts w:ascii="Times New Roman" w:cs="Times New Roman" w:eastAsia="Times New Roman" w:hAnsi="Times New Roman"/>
          <w:b/>
          <w:bCs/>
          <w:sz w:val="24"/>
          <w:szCs w:val="24"/>
        </w:rPr>
        <w:t xml:space="preserve">Tables:</w:t>
      </w:r>
      <w:r>
        <w:rPr>
          <w:rFonts w:ascii="Times New Roman" w:cs="Times New Roman" w:eastAsia="Times New Roman" w:hAnsi="Times New Roman"/>
          <w:sz w:val="24"/>
          <w:szCs w:val="24"/>
        </w:rPr>
        <w:t xml:space="preserve"> 6. </w:t>
      </w:r>
      <w:r>
        <w:rPr>
          <w:rFonts w:ascii="Times New Roman" w:cs="Times New Roman" w:eastAsia="Times New Roman" w:hAnsi="Times New Roman"/>
          <w:b/>
          <w:bCs/>
          <w:sz w:val="24"/>
          <w:szCs w:val="24"/>
        </w:rPr>
        <w:t xml:space="preserve">Figures:</w:t>
      </w:r>
      <w:r>
        <w:rPr>
          <w:rFonts w:ascii="Times New Roman" w:cs="Times New Roman" w:eastAsia="Times New Roman" w:hAnsi="Times New Roman"/>
          <w:sz w:val="24"/>
          <w:szCs w:val="24"/>
        </w:rPr>
        <w:t xml:space="preserve"> 3. </w:t>
      </w:r>
      <w:r>
        <w:rPr>
          <w:rFonts w:ascii="Times New Roman" w:cs="Times New Roman" w:eastAsia="Times New Roman" w:hAnsi="Times New Roman"/>
          <w:b/>
          <w:bCs/>
          <w:sz w:val="24"/>
          <w:szCs w:val="24"/>
        </w:rPr>
        <w:t xml:space="preserve">Supplementary appendices:</w:t>
      </w:r>
      <w:r>
        <w:rPr>
          <w:rFonts w:ascii="Times New Roman" w:cs="Times New Roman" w:eastAsia="Times New Roman" w:hAnsi="Times New Roman"/>
          <w:sz w:val="24"/>
          <w:szCs w:val="24"/>
        </w:rPr>
        <w:t xml:space="preserve"> 5.</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https://github.com/fyodora2/5R</w:t>
      </w:r>
    </w:p>
    <w:p>
      <w:r>
        <w:br w:type="page"/>
      </w:r>
    </w:p>
    <w:p>
      <w:pPr>
        <w:pStyle w:val="Heading1"/>
        <w:spacing w:after="180" w:before="360"/>
      </w:pPr>
      <w:r>
        <w:rPr>
          <w:rFonts w:ascii="Times New Roman" w:cs="Times New Roman" w:eastAsia="Times New Roman" w:hAnsi="Times New Roman"/>
          <w:b/>
          <w:bCs/>
          <w:sz w:val="28"/>
          <w:szCs w:val="28"/>
        </w:rPr>
        <w:t xml:space="preserve">Abstract</w:t>
      </w:r>
    </w:p>
    <w:p>
      <w:pPr>
        <w:spacing w:after="160" w:line="400"/>
        <w:jc w:val="both"/>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Digital programmes are widely used against occupational burnout, but randomized evidence has been reviewed only within single professions or broader mental-health outcomes.</w:t>
      </w:r>
    </w:p>
    <w:p>
      <w:pPr>
        <w:spacing w:after="160" w:line="400"/>
        <w:jc w:val="both"/>
      </w:pPr>
      <w:r>
        <w:rPr>
          <w:rFonts w:ascii="Times New Roman" w:cs="Times New Roman" w:eastAsia="Times New Roman" w:hAnsi="Times New Roman"/>
          <w:b/>
          <w:bCs/>
          <w:sz w:val="24"/>
          <w:szCs w:val="24"/>
        </w:rPr>
        <w:t xml:space="preserve">Objective:</w:t>
      </w:r>
      <w:r>
        <w:rPr>
          <w:rFonts w:ascii="Times New Roman" w:cs="Times New Roman" w:eastAsia="Times New Roman" w:hAnsi="Times New Roman"/>
          <w:sz w:val="24"/>
          <w:szCs w:val="24"/>
        </w:rPr>
        <w:t xml:space="preserve"> To map randomized trials of any digitally delivered intervention in working populations that reported burnout as an outcome.</w:t>
      </w:r>
    </w:p>
    <w:p>
      <w:pPr>
        <w:spacing w:after="160" w:line="400"/>
        <w:jc w:val="both"/>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Scoping review reported according to PRISMA-ScR. We searched Europe PMC, OpenAlex, ERIC, Web of Science and Scopus (17-26 September 2026), repeated the Europe PMC and OpenAlex searches without the intervention-type block so that interventions of any mechanism could be found, and linked ClinicalTrials.gov registrations to their publications. Reports were assessed against five ordered criteria, linked to trials and charted at trial level.</w:t>
      </w:r>
    </w:p>
    <w:p>
      <w:pPr>
        <w:spacing w:after="160" w:line="400"/>
        <w:jc w:val="both"/>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2,393 records, 1,622 were screened and 210 reports were assessed. We included 103 reports of 100 trials (25,074 participants; median 118 per trial). Fourteen trials, 9 of them with non-psychological mechanisms, were found only by the supplementary search. Of all trials, 62.0% were first reported from 2023 onwards. Healthcare workers were studied in 62 trials and teachers or employees of other sectors in 31. Web programmes (45 trials) and smartphone apps (20) predominated, and live online group sessions rose from 1 trial before 2023 to 13 afterwards. Mindfulness was the most frequent approach (21 trials); 18 trials used non-psychological mechanisms such as professional training or workflow automation. Waitlist controls were used in 35 trials overall and in 45% of those reported from 2023 onwards. Only 48 abstracts named the burnout instrument. Of 15 randomized registrations completed by 2023, 6 had no locatable results.</w:t>
      </w:r>
    </w:p>
    <w:p>
      <w:pPr>
        <w:spacing w:after="160" w:line="400"/>
        <w:jc w:val="both"/>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evidence has grown quickly but is concentrated in healthcare, increasingly waitlist-controlled and inconsistently reported. Actively controlled trials outside healthcare, trials of work-system technologies, explicit reporting of burnout instruments and publication of completed trials are priorities.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randomized controlled trial; scoping review; evidence map; occupational health</w:t>
      </w:r>
    </w:p>
    <w:p>
      <w:r>
        <w:br w:type="page"/>
      </w:r>
    </w:p>
    <w:p>
      <w:pPr>
        <w:pStyle w:val="Heading1"/>
        <w:spacing w:after="180" w:before="360"/>
      </w:pPr>
      <w:r>
        <w:rPr>
          <w:rFonts w:ascii="Times New Roman" w:cs="Times New Roman" w:eastAsia="Times New Roman" w:hAnsi="Times New Roman"/>
          <w:b/>
          <w:bCs/>
          <w:sz w:val="28"/>
          <w:szCs w:val="28"/>
        </w:rPr>
        <w:t xml:space="preserve">1. Introduction</w:t>
      </w:r>
    </w:p>
    <w:p>
      <w:pPr>
        <w:spacing w:after="160" w:line="400"/>
        <w:jc w:val="both"/>
      </w:pPr>
      <w:r>
        <w:rPr>
          <w:rFonts w:ascii="Times New Roman" w:cs="Times New Roman" w:eastAsia="Times New Roman" w:hAnsi="Times New Roman"/>
          <w:sz w:val="24"/>
          <w:szCs w:val="24"/>
        </w:rPr>
        <w:t xml:space="preserve">Burnout is a syndrome that results from chronic workplace stress that has not been successfully managed. It is characterised by exhaustion, mental distance from or cynicism about one's job, and reduced professional efficacy, and the World Health Organization classifies it in ICD-11 as an occupational phenomenon rather than a medical condition [1,2]. Prevalence estimates vary widely with the instrument and cut-off used, but in health care they are high enough to be a concern for workforce retention and quality of care [3,4]. Similar concerns have been raised for teachers, social-care staff and employees in many other sectors.</w:t>
      </w:r>
    </w:p>
    <w:p>
      <w:pPr>
        <w:spacing w:after="160" w:line="400"/>
        <w:jc w:val="both"/>
      </w:pPr>
      <w:r>
        <w:rPr>
          <w:rFonts w:ascii="Times New Roman" w:cs="Times New Roman" w:eastAsia="Times New Roman" w:hAnsi="Times New Roman"/>
          <w:sz w:val="24"/>
          <w:szCs w:val="24"/>
        </w:rPr>
        <w:t xml:space="preserve">Interventions against burnout act at the level of the individual, the team or the organisation. Meta-analyses in physicians suggest that both individual-focused and organisation-directed interventions can reduce burnout, with somewhat larger effects for the latter [5,6]. Digital delivery has become common for both kinds of intervention. Web programmes, smartphone apps, videoconference groups, text messages and, more recently, conversational agents and workflow technologies can reach many workers at low marginal cost and fit around shift work. The COVID-19 pandemic accelerated this shift, particularly in hospitals.</w:t>
      </w:r>
    </w:p>
    <w:p>
      <w:pPr>
        <w:spacing w:after="160" w:line="400"/>
        <w:jc w:val="both"/>
      </w:pPr>
      <w:r>
        <w:rPr>
          <w:rFonts w:ascii="Times New Roman" w:cs="Times New Roman" w:eastAsia="Times New Roman" w:hAnsi="Times New Roman"/>
          <w:sz w:val="24"/>
          <w:szCs w:val="24"/>
        </w:rPr>
        <w:t xml:space="preserve">Several reviews have examined parts of this field. A Cochrane review covered psychological resilience interventions in healthcare professionals regardless of delivery mode [7]. Recent reviews have focused on digital interventions for burnout in nurses [8], on e-health interventions for burnout and mental health in nurses [10], on digitally supported stress and burnout interventions in nurses and physicians [9], and on online acceptance and commitment therapy in occupational settings [11]. Each is limited to one or two professions, to one therapeutic approach, or to stress rather than burnout as the target outcome. As a result, it is not known how randomized evidence on digital interventions with burnout outcomes is distributed across occupations, delivery modes and intervention mechanisms, or how the design of these trials has changed.</w:t>
      </w:r>
    </w:p>
    <w:p>
      <w:pPr>
        <w:spacing w:after="160" w:line="400"/>
        <w:jc w:val="both"/>
      </w:pPr>
      <w:r>
        <w:rPr>
          <w:rFonts w:ascii="Times New Roman" w:cs="Times New Roman" w:eastAsia="Times New Roman" w:hAnsi="Times New Roman"/>
          <w:sz w:val="24"/>
          <w:szCs w:val="24"/>
        </w:rPr>
        <w:t xml:space="preserve">A scoping review is the appropriate method for this kind of mapping question [12-14]. We aimed to identify and characterise all randomized controlled trials that evaluated a digitally delivered intervention in a working population and reported burnout as an outcome. We asked four questions: (1) in which occupational groups and over what period have these trials been conducted; (2) which delivery modes, intervention approaches and levels of human support have been tested; (3) how are the trials designed with respect to comparators, sample size and burnout measurement; and (4) what proportion of registered and completed trials have published their results?</w:t>
      </w:r>
    </w:p>
    <w:p>
      <w:pPr>
        <w:pStyle w:val="Heading1"/>
        <w:spacing w:after="18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i/>
          <w:iCs/>
          <w:sz w:val="24"/>
          <w:szCs w:val="24"/>
        </w:rPr>
        <w:t xml:space="preserve">2.1 Design and reporting</w:t>
      </w:r>
    </w:p>
    <w:p>
      <w:pPr>
        <w:spacing w:after="160" w:line="400"/>
        <w:jc w:val="both"/>
      </w:pPr>
      <w:r>
        <w:rPr>
          <w:rFonts w:ascii="Times New Roman" w:cs="Times New Roman" w:eastAsia="Times New Roman" w:hAnsi="Times New Roman"/>
          <w:sz w:val="24"/>
          <w:szCs w:val="24"/>
        </w:rPr>
        <w:t xml:space="preserve">The review followed the framework of Arksey and O'Malley with the refinements of Levac and colleagues and the JBI guidance [12-14]. It is reported according to PRISMA-ScR [15]; the flow diagram follows the PRISMA 2020 template [16]. The completed PRISMA-ScR checklist is provided in Appendix E. The protocol was not registered in advance.</w:t>
      </w:r>
    </w:p>
    <w:p>
      <w:pPr>
        <w:pStyle w:val="Heading2"/>
        <w:spacing w:after="120" w:before="240"/>
      </w:pPr>
      <w:r>
        <w:rPr>
          <w:rFonts w:ascii="Times New Roman" w:cs="Times New Roman" w:eastAsia="Times New Roman" w:hAnsi="Times New Roman"/>
          <w:b/>
          <w:bCs/>
          <w:i/>
          <w:iCs/>
          <w:sz w:val="24"/>
          <w:szCs w:val="24"/>
        </w:rPr>
        <w:t xml:space="preserve">2.2 Eligibility criteria</w:t>
      </w:r>
    </w:p>
    <w:p>
      <w:pPr>
        <w:spacing w:after="160" w:line="400"/>
        <w:jc w:val="both"/>
      </w:pPr>
      <w:r>
        <w:rPr>
          <w:rFonts w:ascii="Times New Roman" w:cs="Times New Roman" w:eastAsia="Times New Roman" w:hAnsi="Times New Roman"/>
          <w:sz w:val="24"/>
          <w:szCs w:val="24"/>
        </w:rPr>
        <w:t xml:space="preserve">Eligibility was defined with the population-concept-context framework and operationalised as five criteria (Table 1). The criteria were applied in a fixed order, and the first criterion a report failed was recorded as the reason for exclusion. We did not restrict eligibility by the mechanism of the intervention: a digital programme of professional training, physical activity, feedback or workflow support was eligible in the same way as a psychological programme, provided that burnout was reported as an outcome of the randomized comparison. Mechanism was instead charted as a study characteristic. No language or date limits were applied.</w:t>
      </w:r>
    </w:p>
    <w:p>
      <w:pPr>
        <w:keepNext/>
        <w:spacing w:after="100" w:before="24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Eligibility criteria, applied in the order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Operational definition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Report type (REPORT)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Primary report of trial results. Protocols, registrations, reviews, commentaries, preprints superseded by a peer-reviewed report, and secondary analyses without a randomized comparison of burnout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Design (DESIGN)</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Randomized allocation with a between-group comparison: individual, cluster, factorial, crossover or stepped-wedge designs.</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 Population (POP)</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Workers: employed staff, practising professionals and trainees in paid employment such as resident physicians. Samples of students, patients or the general public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Concept: digital delivery (DIGITAL)</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 least one core intervention component delivered through the web, an app, videoconference, text or instant messaging, a chatbot, virtual reality, a computer or a wearable device. Voice telephone alone, or digital technology used only for assessment, did not qualify.</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 Outcome (BURNOUT)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randomized comparison.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Context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Any country and any work setting; no restriction on publication date.</w:t>
            </w:r>
          </w:p>
        </w:tc>
      </w:tr>
      <w:tr>
        <w:tc>
          <w:tcPr>
            <w:tcW w:type="dxa" w:w="2621"/>
            <w:tcBorders>
              <w:top w:val="single" w:color="808080" w:sz="4"/>
              <w:left w:val="none" w:color="FFFFFF" w:sz="0"/>
              <w:bottom w:val="none" w:color="FFFFFF" w:sz="0"/>
              <w:right w:val="none" w:color="FFFFFF" w:sz="0"/>
            </w:tcBorders>
          </w:tcPr>
          <w:p/>
        </w:tc>
        <w:tc>
          <w:tcPr>
            <w:tcW w:type="dxa" w:w="6739"/>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2.3 Information sources and search strategy</w:t>
      </w:r>
    </w:p>
    <w:p>
      <w:pPr>
        <w:spacing w:after="160" w:line="400"/>
        <w:jc w:val="both"/>
      </w:pPr>
      <w:r>
        <w:rPr>
          <w:rFonts w:ascii="Times New Roman" w:cs="Times New Roman" w:eastAsia="Times New Roman" w:hAnsi="Times New Roman"/>
          <w:sz w:val="24"/>
          <w:szCs w:val="24"/>
        </w:rPr>
        <w:t xml:space="preserve">The main search combined four concept blocks with AND: burnout, digital delivery, psychological or behavioural intervention, and randomized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t>
      </w:r>
    </w:p>
    <w:p>
      <w:pPr>
        <w:spacing w:after="160" w:line="400"/>
        <w:jc w:val="both"/>
      </w:pPr>
      <w:r>
        <w:rPr>
          <w:rFonts w:ascii="Times New Roman" w:cs="Times New Roman" w:eastAsia="Times New Roman" w:hAnsi="Times New Roman"/>
          <w:sz w:val="24"/>
          <w:szCs w:val="24"/>
        </w:rPr>
        <w:t xml:space="preserve">The main search contained an intervention-type block, whereas the eligibility criteria admitted interventions of any mechanism. To close this gap, we ran a supplementary search in Europe PMC and OpenAlex on 28 September 2026. It combined burnout, an extended set of digital-delivery terms (adding, among others, wearable devices, text messaging, WhatsApp and WeChat, gamification, webinars and activity trackers) and randomized design, and it excluded records already captured by the main digital and intervention blocks. The supplementary search could not be repeated in Web of Science and Scopus.</w:t>
      </w:r>
    </w:p>
    <w:p>
      <w:pPr>
        <w:spacing w:after="160" w:line="400"/>
        <w:jc w:val="both"/>
      </w:pPr>
      <w:r>
        <w:rPr>
          <w:rFonts w:ascii="Times New Roman" w:cs="Times New Roman" w:eastAsia="Times New Roman" w:hAnsi="Times New Roman"/>
          <w:sz w:val="24"/>
          <w:szCs w:val="24"/>
        </w:rPr>
        <w: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2 summarises the sources and the flow of records from each.</w:t>
      </w:r>
    </w:p>
    <w:p>
      <w:pPr>
        <w:keepNext/>
        <w:spacing w:after="100" w:before="24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Information sources, search dates and flow of records by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1217"/>
        <w:gridCol w:w="1310"/>
        <w:gridCol w:w="1123"/>
        <w:gridCol w:w="1217"/>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Source</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Search date</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Records identified</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Unique records screened</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assessed</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included</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search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(no intervention block)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Other methods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ClinicalTrials.gov registry linkage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registrations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2,393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1,622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103</w:t>
            </w:r>
          </w:p>
        </w:tc>
      </w:tr>
      <w:tr>
        <w:tc>
          <w:tcPr>
            <w:tcW w:type="dxa" w:w="3182"/>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Duplicates were removed within and across sources before screening; each unique record is attributed to the source from which it was first retrieved. Supplementary-search records that duplicated records of the main search were removed before screening.</w:t>
      </w:r>
    </w:p>
    <w:p>
      <w:pPr>
        <w:pStyle w:val="Heading2"/>
        <w:spacing w:after="120" w:before="240"/>
      </w:pPr>
      <w:r>
        <w:rPr>
          <w:rFonts w:ascii="Times New Roman" w:cs="Times New Roman" w:eastAsia="Times New Roman" w:hAnsi="Times New Roman"/>
          <w:b/>
          <w:bCs/>
          <w:i/>
          <w:iCs/>
          <w:sz w:val="24"/>
          <w:szCs w:val="24"/>
        </w:rPr>
        <w:t xml:space="preserve">2.4 Selection of sources of evidence</w:t>
      </w:r>
    </w:p>
    <w:p>
      <w:pPr>
        <w:spacing w:after="160" w:line="400"/>
        <w:jc w:val="both"/>
      </w:pPr>
      <w:r>
        <w:rPr>
          <w:rFonts w:ascii="Times New Roman" w:cs="Times New Roman" w:eastAsia="Times New Roman" w:hAnsi="Times New Roman"/>
          <w:sz w:val="24"/>
          <w:szCs w:val="24"/>
        </w:rPr>
        <w:t xml:space="preserve">Title and abstract screening used a rule-based classifier (publication type, study-design wording and occupational terms), followed by manual review of every record that the classifier did not exclude. Every report that passed screening was then assessed in full against the five criteria. The assessment was based on the abstract. Where the abstract did not show whether burnout had been measured, the full text was consulted (four reports), and one report was assessed from its registry record and bibliographic data. The decision and reason for each of the 210 assessed reports are listed in Appendix B and in the file master_registry.csv, which serves as the single accounting ledger for the review.</w:t>
      </w:r>
    </w:p>
    <w:p>
      <w:pPr>
        <w:spacing w:after="160" w:line="400"/>
        <w:jc w:val="both"/>
      </w:pPr>
      <w:r>
        <w:rPr>
          <w:rFonts w:ascii="Times New Roman" w:cs="Times New Roman" w:eastAsia="Times New Roman" w:hAnsi="Times New Roman"/>
          <w:sz w:val="24"/>
          <w:szCs w:val="24"/>
        </w:rPr>
        <w:t xml:space="preserve">Reports that shared a trial registration number, or that described the same sample, were linked to one study. The unit of analysis is therefore the trial; reports are counted only in the flow diagram.</w:t>
      </w:r>
    </w:p>
    <w:p>
      <w:pPr>
        <w:spacing w:after="160" w:line="400"/>
        <w:jc w:val="both"/>
      </w:pPr>
      <w:r>
        <w:rPr>
          <w:rFonts w:ascii="Times New Roman" w:cs="Times New Roman" w:eastAsia="Times New Roman" w:hAnsi="Times New Roman"/>
          <w:sz w:val="24"/>
          <w:szCs w:val="24"/>
        </w:rPr>
        <w:t xml:space="preserve">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t>
      </w:r>
    </w:p>
    <w:p>
      <w:pPr>
        <w:pStyle w:val="Heading2"/>
        <w:spacing w:after="120" w:before="240"/>
      </w:pPr>
      <w:r>
        <w:rPr>
          <w:rFonts w:ascii="Times New Roman" w:cs="Times New Roman" w:eastAsia="Times New Roman" w:hAnsi="Times New Roman"/>
          <w:b/>
          <w:bCs/>
          <w:i/>
          <w:iCs/>
          <w:sz w:val="24"/>
          <w:szCs w:val="24"/>
        </w:rPr>
        <w:t xml:space="preserve">2.5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named in the abstract; the number of participants randomized; and the year of the first report. Multicomponent interventions were charted by the component that the authors presented as central. Interventions that combined two psychological approaches in equal measure were charted as "other psychological". The charting form and the data for every trial are provided in study_charting.csv.</w:t>
      </w:r>
    </w:p>
    <w:p>
      <w:pPr>
        <w:pStyle w:val="Heading2"/>
        <w:spacing w:after="120" w:before="240"/>
      </w:pPr>
      <w:r>
        <w:rPr>
          <w:rFonts w:ascii="Times New Roman" w:cs="Times New Roman" w:eastAsia="Times New Roman" w:hAnsi="Times New Roman"/>
          <w:b/>
          <w:bCs/>
          <w:i/>
          <w:iCs/>
          <w:sz w:val="24"/>
          <w:szCs w:val="24"/>
        </w:rPr>
        <w:t xml:space="preserve">2.6 Registry linkage</w:t>
      </w:r>
    </w:p>
    <w:p>
      <w:pPr>
        <w:spacing w:after="160" w:line="400"/>
        <w:jc w:val="both"/>
      </w:pPr>
      <w:r>
        <w:rPr>
          <w:rFonts w:ascii="Times New Roman" w:cs="Times New Roman" w:eastAsia="Times New Roman" w:hAnsi="Times New Roman"/>
          <w:sz w:val="24"/>
          <w:szCs w:val="24"/>
        </w:rPr>
        <w:t xml:space="preserve">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randomized registrations completed by the end of 2023, at least 33 months before the search, we classified results as reported in an included trial, reported outside the scope of the review, or not located.</w:t>
      </w:r>
    </w:p>
    <w:p>
      <w:pPr>
        <w:pStyle w:val="Heading2"/>
        <w:spacing w:after="120" w:before="240"/>
      </w:pPr>
      <w:r>
        <w:rPr>
          <w:rFonts w:ascii="Times New Roman" w:cs="Times New Roman" w:eastAsia="Times New Roman" w:hAnsi="Times New Roman"/>
          <w:b/>
          <w:bCs/>
          <w:i/>
          <w:iCs/>
          <w:sz w:val="24"/>
          <w:szCs w:val="24"/>
        </w:rPr>
        <w:t xml:space="preserve">2.7 Synthesis</w:t>
      </w:r>
    </w:p>
    <w:p>
      <w:pPr>
        <w:spacing w:after="160" w:line="400"/>
        <w:jc w:val="both"/>
      </w:pPr>
      <w:r>
        <w:rPr>
          <w:rFonts w:ascii="Times New Roman" w:cs="Times New Roman" w:eastAsia="Times New Roman" w:hAnsi="Times New Roman"/>
          <w:sz w:val="24"/>
          <w:szCs w:val="24"/>
        </w:rPr>
        <w:t xml:space="preserve">We summarised trial characteristics as counts and percentages. Development over time was described by the year of the first report of each trial and grouped into three periods: 2004-2019, 2020-2022 (the main pandemic years) and 2023-2026. The evidence map cross-tabulates occupational group against intervention approach. In line with the purpose of a scoping review, we did not assess risk of bias and did not synthesise effect sizes.</w:t>
      </w:r>
    </w:p>
    <w:p>
      <w:pPr>
        <w:pStyle w:val="Heading2"/>
        <w:spacing w:after="120" w:before="240"/>
      </w:pPr>
      <w:r>
        <w:rPr>
          <w:rFonts w:ascii="Times New Roman" w:cs="Times New Roman" w:eastAsia="Times New Roman" w:hAnsi="Times New Roman"/>
          <w:b/>
          <w:bCs/>
          <w:i/>
          <w:iCs/>
          <w:sz w:val="24"/>
          <w:szCs w:val="24"/>
        </w:rPr>
        <w:t xml:space="preserve">2.8 Use of artificial-intelligence tools</w:t>
      </w:r>
    </w:p>
    <w:p>
      <w:pPr>
        <w:spacing w:after="160" w:line="400"/>
        <w:jc w:val="both"/>
      </w:pPr>
      <w:r>
        <w:rPr>
          <w:rFonts w:ascii="Times New Roman" w:cs="Times New Roman" w:eastAsia="Times New Roman" w:hAnsi="Times New Roman"/>
          <w:sz w:val="24"/>
          <w:szCs w:val="24"/>
        </w:rPr>
        <w:t xml:space="preserve">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w:t>
      </w:r>
    </w:p>
    <w:p>
      <w:pPr>
        <w:pStyle w:val="Heading1"/>
        <w:spacing w:after="18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i/>
          <w:iCs/>
          <w:sz w:val="24"/>
          <w:szCs w:val="24"/>
        </w:rPr>
        <w:t xml:space="preserve">3.1 Selection of sources of evidence</w:t>
      </w:r>
    </w:p>
    <w:p>
      <w:pPr>
        <w:spacing w:after="160" w:line="400"/>
        <w:jc w:val="both"/>
      </w:pPr>
      <w:r>
        <w:rPr>
          <w:rFonts w:ascii="Times New Roman" w:cs="Times New Roman" w:eastAsia="Times New Roman" w:hAnsi="Times New Roman"/>
          <w:sz w:val="24"/>
          <w:szCs w:val="24"/>
        </w:rPr>
        <w:t xml:space="preserve">The main and supplementary searches identified 2,393 records. After 771 duplicates and non-article records were removed, 1,622 records were screened on title and abstract and 192 reports were sought for full assessment (Figure 1). Three reports from the supplementary search had neither an abstract nor an accessible full text. Of the 189 reports assessed, 87 were excluded: 18 were not primary results reports, 10 were not randomized, 18 did not study a working population, 11 were not digitally delivered and in 30 burnout was not an outcome of the randomized comparison. Through the registry, 28 completed registrations were linked to 30 publications; 9 of these had already been assessed through the databases, and 1 of the remaining 21 was eligible. In total, 103 reports describing 100 randomized trials were included. One trial was described in three reports and one in two.</w:t>
      </w:r>
    </w:p>
    <w:p>
      <w:pPr>
        <w:spacing w:after="160" w:line="400"/>
        <w:jc w:val="both"/>
      </w:pPr>
      <w:r>
        <w:rPr>
          <w:rFonts w:ascii="Times New Roman" w:cs="Times New Roman" w:eastAsia="Times New Roman" w:hAnsi="Times New Roman"/>
          <w:sz w:val="24"/>
          <w:szCs w:val="24"/>
        </w:rPr>
        <w:t xml:space="preserve">The two additional routes found eligible trials that the main search had missed. The supplementary search yielded 14 eligible trials (14.0% of the final set). Of these, 9 evaluated a non-psychological mechanism, including both trials of ambient artificial-intelligence (AI) scribes, and the others used wording that the main intervention block did not capture, such as "psycho-education", written emotional disclosure or well-being text messages.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 [17].</w:t>
      </w:r>
    </w:p>
    <w:p>
      <w:pPr>
        <w:keepNext/>
        <w:spacing w:after="80" w:before="200"/>
        <w:jc w:val="center"/>
      </w:pPr>
      <w:r>
        <w:drawing>
          <wp:inline distT="0" distB="0" distL="0" distR="0">
            <wp:extent cx="533400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86740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PRISMA 2020 flow diagram. The database column combines the main search and the supplementary search without the intervention-type block. Reports are the unit of counting up to inclusion; the final box also gives the number of trials.</w:t>
      </w:r>
    </w:p>
    <w:p>
      <w:pPr>
        <w:pStyle w:val="Heading2"/>
        <w:spacing w:after="120" w:before="240"/>
      </w:pPr>
      <w:r>
        <w:rPr>
          <w:rFonts w:ascii="Times New Roman" w:cs="Times New Roman" w:eastAsia="Times New Roman" w:hAnsi="Times New Roman"/>
          <w:b/>
          <w:bCs/>
          <w:i/>
          <w:iCs/>
          <w:sz w:val="24"/>
          <w:szCs w:val="24"/>
        </w:rPr>
        <w:t xml:space="preserve">3.2 Characteristics of the included trials</w:t>
      </w:r>
    </w:p>
    <w:p>
      <w:pPr>
        <w:spacing w:after="160" w:line="400"/>
        <w:jc w:val="both"/>
      </w:pPr>
      <w:r>
        <w:rPr>
          <w:rFonts w:ascii="Times New Roman" w:cs="Times New Roman" w:eastAsia="Times New Roman" w:hAnsi="Times New Roman"/>
          <w:sz w:val="24"/>
          <w:szCs w:val="24"/>
        </w:rPr>
        <w:t xml:space="preserve">Table 3 summarises the 100 trials; each is listed in Appendix C. Together they randomized 25,074 participants, based on the 92 trials that reported a sample size. The median trial randomized 118 participants (interquartile range 69 to 253; range 11 to 2,182). Of these, 36 randomized fewer than 100 participants and 12 fewer than 50, while 11 randomized 500 or more. Sample size differed by delivery mode: live online group programmes, which need a facilitator for every group, had a median of 76 participants, compared with 190 for smartphone apps and 279 for messaging interventions.</w:t>
      </w:r>
    </w:p>
    <w:p>
      <w:pPr>
        <w:keepNext/>
        <w:spacing w:after="100" w:before="24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Characteristics of the included trials (n =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Characteristic</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Year of first report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2004-2019</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2020-2022</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 (23.0%)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2023-2026 (to September)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 (62.0%)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Occupational group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or mixed healthcare workers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 (33.0%)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Employees of other sectors or mixed occupations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(20.0%)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Physicians and physician trainees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(17.0%)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Nurses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(12.0%)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Teachers and education staff</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Mental-health and social-care professionals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(7.0%)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delivery mode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Web-based program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 (45.0%)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Smartphone app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(20.0%)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Live online sessions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 (14.0%)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Blended (digital and in-person)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 (10.0%)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Text or instant messaging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Wearable or motion-sensing platform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(3.0%)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Ambient AI scribe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(2.0%)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Chatbot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Intervention approach</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Mindfulness or meditation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(21.0%)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Non-psychological 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(18.0%)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Cognitive-behavioural or stress management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(13.0%)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Psychoeducation or resilience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Positive psychology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(9.0%)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Acceptance and commitment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Compassion-based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Coaching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(3.0%)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82 (82.0%)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(6.0%)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Physical activity or health behaviour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Feedback or navigation to services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(4.0%)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Workflow automation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(2.0%)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Workplace or practical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Waitlist or delayed access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 (35.0%)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Active or attention control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(26.0%)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Usual practice or no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 (22.0%)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Head-to-head digital variants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(6.0%)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Human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Self-guided or automated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46 (46.0%)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Human-supported or facilitated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 (39.0%)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Burnout instrument named in the abstract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Maslach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(26.0%)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Copenhagen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(7.0%)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Stanford Professional Fulfillment Index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Oldenburg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(4.0%)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Quality of Life Scale (burnout subscale)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(2.0%)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Shirom-Melamed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(2.0%)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Bergen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Single-item burnout measure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named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 (52.0%)</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3.3 Development over time</w:t>
      </w:r>
    </w:p>
    <w:p>
      <w:pPr>
        <w:spacing w:after="160" w:line="400"/>
        <w:jc w:val="both"/>
      </w:pPr>
      <w:r>
        <w:rPr>
          <w:rFonts w:ascii="Times New Roman" w:cs="Times New Roman" w:eastAsia="Times New Roman" w:hAnsi="Times New Roman"/>
          <w:sz w:val="24"/>
          <w:szCs w:val="24"/>
        </w:rPr>
        <w:t xml:space="preserve">The first eligible trial was reported in 2004. Up to 2019 no more than five trials appeared in any year, and 15 trials in total were reported by the end of 2019 (Figure 2). The number then rose steeply: 23 trials were first reported in 2020-2022 and 62 in 2023 to September 2026, so that 62.0% of the evidence is less than four years old. The composition changed along with the volume. Healthcare workers accounted for 3 of 15 trials before 2020 but for 17 of 23 in 2020-2022 and 42 of 62 from 2023, which suggests that the pandemic shifted the attention of the field towards hospital staff. Live online group sessions, absent before 2020, appeared in 1 trial in 2020-2022 and in 13 trials from 2023. Smartphone apps went from 2 to 4 and then 14 trials over the same periods. Web programmes remained the single most common mode in every period.</w:t>
      </w:r>
    </w:p>
    <w:p>
      <w:pPr>
        <w:spacing w:after="160" w:line="400"/>
        <w:jc w:val="both"/>
      </w:pPr>
      <w:r>
        <w:rPr>
          <w:rFonts w:ascii="Times New Roman" w:cs="Times New Roman" w:eastAsia="Times New Roman" w:hAnsi="Times New Roman"/>
          <w:sz w:val="24"/>
          <w:szCs w:val="24"/>
        </w:rPr>
        <w:t xml:space="preserve">Sample size did not rise with the volume of trials. The median number of participants randomized was 109 before 2020, 90.5 in 2020-2022 and 130 from 2023. What changed was the spread: 9 of the 11 trials that randomized 500 or more participants were reported from 2023 onwards (0 before 2020 and 2 in 2020-2022), but small studies also multiplied. At least 21 trials (15 of them reported from 2023) described themselves as pilot or feasibility studies in the title or in the abstracts that could be checked; the true number is higher because abstracts from Web of Science and Scopus could not be screened for this term. Trials with non-psychological mechanisms appeared in every period (4, 4 and 10 trials, respectively), so their small number is not only a recent phenomenon.</w:t>
      </w:r>
    </w:p>
    <w:p>
      <w:pPr>
        <w:keepNext/>
        <w:spacing w:after="80" w:before="200"/>
        <w:jc w:val="center"/>
      </w:pPr>
      <w:r>
        <w:drawing>
          <wp:inline distT="0" distB="0" distL="0" distR="0">
            <wp:extent cx="5715000" cy="2886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Included trials by year of first report and main delivery mode (n = 100). Data for 2026 cover January to September.</w:t>
      </w:r>
    </w:p>
    <w:p>
      <w:pPr>
        <w:pStyle w:val="Heading2"/>
        <w:spacing w:after="120" w:before="240"/>
      </w:pPr>
      <w:r>
        <w:rPr>
          <w:rFonts w:ascii="Times New Roman" w:cs="Times New Roman" w:eastAsia="Times New Roman" w:hAnsi="Times New Roman"/>
          <w:b/>
          <w:bCs/>
          <w:i/>
          <w:iCs/>
          <w:sz w:val="24"/>
          <w:szCs w:val="24"/>
        </w:rPr>
        <w:t xml:space="preserve">3.4 Occupational groups and intervention approaches</w:t>
      </w:r>
    </w:p>
    <w:p>
      <w:pPr>
        <w:spacing w:after="160" w:line="400"/>
        <w:jc w:val="both"/>
      </w:pPr>
      <w:r>
        <w:rPr>
          <w:rFonts w:ascii="Times New Roman" w:cs="Times New Roman" w:eastAsia="Times New Roman" w:hAnsi="Times New Roman"/>
          <w:sz w:val="24"/>
          <w:szCs w:val="24"/>
        </w:rPr>
        <w:t xml:space="preserve">Healthcare workers were the participants in 62 (62.0%) trials: 33 with mixed or other healthcare staff, 17 with physicians or physician trainees and 12 with nurses. A further 7 trials studied mental-health and social-care professionals. Teachers and education staff were studied in 11 trials, and employees of other sectors or mixed occupational samples in 20. Taken together, workers outside health and social care contributed 31.0% of the trials, and no sector other than education was represented by more than a few trials (Figure 3).</w:t>
      </w:r>
    </w:p>
    <w:p>
      <w:pPr>
        <w:spacing w:after="160" w:line="400"/>
        <w:jc w:val="both"/>
      </w:pPr>
      <w:r>
        <w:rPr>
          <w:rFonts w:ascii="Times New Roman" w:cs="Times New Roman" w:eastAsia="Times New Roman" w:hAnsi="Times New Roman"/>
          <w:sz w:val="24"/>
          <w:szCs w:val="24"/>
        </w:rPr>
        <w:t xml:space="preserve">Mindfulness or meditation was the most frequent approach overall (21; 21.0%) and, together with the heterogeneous "other psychological" category, the only approach found in every occupational group. Its use was concentrated in mixed healthcare samples and among physicians. The approaches differed between groups in ways that follow the professional context. All three coaching trials were online group-coaching programmes for physicians or physician trainees. The largest single category among physicians was non-psychological (6 of 17 trials), namely professional training, workflow technology, practical support and physical activity. Cognitive-behavioural or stress-management programmes were the most common approach among teachers (3 of 11). Acceptance and commitment therapy, compassion-based and positive-psychology programmes were each tested in fewer than ten trials, mainly in healthcare staff, so the evidence for these approaches rests on few trials in any single occupation.</w:t>
      </w:r>
    </w:p>
    <w:p>
      <w:pPr>
        <w:spacing w:after="160" w:line="400"/>
        <w:jc w:val="both"/>
      </w:pPr>
      <w:r>
        <w:rPr>
          <w:rFonts w:ascii="Times New Roman" w:cs="Times New Roman" w:eastAsia="Times New Roman" w:hAnsi="Times New Roman"/>
          <w:sz w:val="24"/>
          <w:szCs w:val="24"/>
        </w:rPr>
        <w:t xml:space="preserve">Delivery and comparators also differed between occupational groups. Physicians and physician trainees were the group most often offered blended programmes that combined online material with in-person sessions (6 of 17 trials), and they were the only group in which AI scribes were tested. Smartphone apps were concentrated in mixed healthcare samples (12 of 33 trials), whereas 8 of the 11 teacher trials used web programmes. Live online group sessions were used in 4 of 12 nurse trials and 3 of 7 trials with mental-health and social-care professionals, but in only 4 of 33 mixed healthcare trials. Waitlist controls were most common in mixed healthcare samples (15 of 33) and among employees of other sectors (8 of 20), while trials with physicians more often compared the intervention with usual practice (9 of 17).</w:t>
      </w:r>
    </w:p>
    <w:p>
      <w:pPr>
        <w:keepNext/>
        <w:spacing w:after="80" w:before="200"/>
        <w:jc w:val="center"/>
      </w:pPr>
      <w:r>
        <w:drawing>
          <wp:inline distT="0" distB="0" distL="0" distR="0">
            <wp:extent cx="5715000" cy="2800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0035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Evidence map: number of trials by occupational group and main intervention approach (n = 100). Row and column totals are shown in parentheses; a dot marks an empty cell.</w:t>
      </w:r>
    </w:p>
    <w:p>
      <w:pPr>
        <w:pStyle w:val="Heading2"/>
        <w:spacing w:after="120" w:before="240"/>
      </w:pPr>
      <w:r>
        <w:rPr>
          <w:rFonts w:ascii="Times New Roman" w:cs="Times New Roman" w:eastAsia="Times New Roman" w:hAnsi="Times New Roman"/>
          <w:b/>
          <w:bCs/>
          <w:i/>
          <w:iCs/>
          <w:sz w:val="24"/>
          <w:szCs w:val="24"/>
        </w:rPr>
        <w:t xml:space="preserve">3.5 Interventions with non-psychological mechanisms</w:t>
      </w:r>
    </w:p>
    <w:p>
      <w:pPr>
        <w:spacing w:after="160" w:line="400"/>
        <w:jc w:val="both"/>
      </w:pPr>
      <w:r>
        <w:rPr>
          <w:rFonts w:ascii="Times New Roman" w:cs="Times New Roman" w:eastAsia="Times New Roman" w:hAnsi="Times New Roman"/>
          <w:sz w:val="24"/>
          <w:szCs w:val="24"/>
        </w:rPr>
        <w:t xml:space="preserve">An intervention whose main mechanism was not psychological was evaluated in 18 trials (18.0%). These were professional training (6 trials, for example online communication training for physicians, video-based trauma-informed care training for midwives and an online professional-development course for preschool teachers), physical activity or health behaviour (5), feedback or navigation to services (4, including text-message engagement with linkage to care and a wearable-triggered just-in-time intervention), workflow automation (2) and workplace or practical support (1, a parental-support package for pregnant physicians in training that included virtual perinatal support). The two workflow trials randomized physicians to ambient AI scribes that draft clinical notes from recorded consultations and reported burnout or work exhaustion as secondary outcomes. They are the only trials in the set in which the digital technology changes the work itself rather than the worker's response to it.</w:t>
      </w:r>
    </w:p>
    <w:p>
      <w:pPr>
        <w:spacing w:after="160" w:line="400"/>
        <w:jc w:val="both"/>
      </w:pPr>
      <w:r>
        <w:rPr>
          <w:rFonts w:ascii="Times New Roman" w:cs="Times New Roman" w:eastAsia="Times New Roman" w:hAnsi="Times New Roman"/>
          <w:sz w:val="24"/>
          <w:szCs w:val="24"/>
        </w:rPr>
        <w:t xml:space="preserve">Half of these trials (9 of 18) were found only by the supplementary search. Non-psychological trials were more often compared with usual practice (11 of 18) and rarely with a waitlist (2), and physicians were the largest group among them (6 trials).</w:t>
      </w:r>
    </w:p>
    <w:p>
      <w:pPr>
        <w:pStyle w:val="Heading2"/>
        <w:spacing w:after="120" w:before="240"/>
      </w:pPr>
      <w:r>
        <w:rPr>
          <w:rFonts w:ascii="Times New Roman" w:cs="Times New Roman" w:eastAsia="Times New Roman" w:hAnsi="Times New Roman"/>
          <w:b/>
          <w:bCs/>
          <w:i/>
          <w:iCs/>
          <w:sz w:val="24"/>
          <w:szCs w:val="24"/>
        </w:rPr>
        <w:t xml:space="preserve">3.6 Comparators, human support and outcome reporting</w:t>
      </w:r>
    </w:p>
    <w:p>
      <w:pPr>
        <w:spacing w:after="160" w:line="400"/>
        <w:jc w:val="both"/>
      </w:pPr>
      <w:r>
        <w:rPr>
          <w:rFonts w:ascii="Times New Roman" w:cs="Times New Roman" w:eastAsia="Times New Roman" w:hAnsi="Times New Roman"/>
          <w:sz w:val="24"/>
          <w:szCs w:val="24"/>
        </w:rPr>
        <w:t xml:space="preserve">A waitlist or delayed-access control was used in 35 (35.0%) trials, an active or attention control in 26 (26.0%), usual practice or no intervention in 22 (22.0%), and a head-to-head comparison of two digital variants in 6 (6.0%); the comparator could not be determined from the abstract in 11 trials. Waitlist controls became much more frequent in recent trials: 18.4% of trials reported before 2023 used one (7 of 38), compared with 45.2% of those reported from 2023 onwards (28 of 62). The share of actively controlled trials moved in the opposite direction, from 40.0% before 2020 to 19.4% from 2023 (Table 4).</w:t>
      </w:r>
    </w:p>
    <w:p>
      <w:pPr>
        <w:spacing w:after="160" w:line="400"/>
        <w:jc w:val="both"/>
      </w:pPr>
      <w:r>
        <w:rPr>
          <w:rFonts w:ascii="Times New Roman" w:cs="Times New Roman" w:eastAsia="Times New Roman" w:hAnsi="Times New Roman"/>
          <w:sz w:val="24"/>
          <w:szCs w:val="24"/>
        </w:rPr>
        <w:t xml:space="preserve">Self-guided or automated interventions (46; 46.0%) and human-supported interventions (39; 39.0%) were about equally common, but support was closely tied to delivery mode. All 14 live online programmes were facilitated, and 19 of 20 app-based interventions were self-guided. For web programmes the level of support was often not stated in the abstract.</w:t>
      </w:r>
    </w:p>
    <w:p>
      <w:pPr>
        <w:spacing w:after="160" w:line="400"/>
        <w:jc w:val="both"/>
      </w:pPr>
      <w:r>
        <w:rPr>
          <w:rFonts w:ascii="Times New Roman" w:cs="Times New Roman" w:eastAsia="Times New Roman" w:hAnsi="Times New Roman"/>
          <w:sz w:val="24"/>
          <w:szCs w:val="24"/>
        </w:rPr>
        <w:t xml:space="preserve">Burnout was an outcome in every included trial, but only 48 (48.0%) abstracts named the instrument used. The Maslach Burnout Inventory was named most often (26 trials), followed by the Copenhagen Burnout Inventory (7), the burnout scale of the Professional Fulfillment Index (5) and the Oldenburg Burnout Inventory (4); the remaining instruments were each named in one or two trials. The proportion of abstracts naming the instrument was 20.0% before 2020 and around half in later periods (52.2% and 53.2%).</w:t>
      </w:r>
    </w:p>
    <w:p>
      <w:pPr>
        <w:keepNext/>
        <w:spacing w:after="100" w:before="24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Design features of the included trials by period of first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98"/>
        <w:gridCol w:w="1498"/>
        <w:gridCol w:w="1498"/>
        <w:gridCol w:w="1498"/>
      </w:tblGrid>
      <w:tr>
        <w:trPr>
          <w:tblHeader/>
        </w:trPr>
        <w:tc>
          <w:tcPr>
            <w:tcW w:type="dxa" w:w="337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2004-2019</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2020-2022</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2023-2026</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All trials</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Trials, 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Median participants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109</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90.5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118</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Healthcare workers,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73.9</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62.0</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Waitlist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Active or attention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26.0</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Human-supported intervention,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41.9</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39.0</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Non-psychological mechanism,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18.0</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instrument named in abstract,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48.0</w:t>
            </w:r>
          </w:p>
        </w:tc>
      </w:tr>
      <w:tr>
        <w:tc>
          <w:tcPr>
            <w:tcW w:type="dxa" w:w="3370"/>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3.7 Publication of registered trials</w:t>
      </w:r>
    </w:p>
    <w:p>
      <w:pPr>
        <w:spacing w:after="160" w:line="400"/>
        <w:jc w:val="both"/>
      </w:pPr>
      <w:r>
        <w:rPr>
          <w:rFonts w:ascii="Times New Roman" w:cs="Times New Roman" w:eastAsia="Times New Roman" w:hAnsi="Times New Roman"/>
          <w:sz w:val="24"/>
          <w:szCs w:val="24"/>
        </w:rPr>
        <w:t xml:space="preserve">Of the 28 completed registrations, 19 used randomized allocation and 15 of these had been completed by the end of 2023 (Table 5; Appendix D). For 7 of the 15, a results report was included in this review. Results of 2 others had been published in samples outside the scope of the review, one in a clinical sample recruited on symptom level and one in the general population. For the remaining 6 (40.0%) no results report could be located; one of them had published only a protocol. The 4 randomized registrations completed in 2024 or later were not classified, because too little time has passed for publication.</w:t>
      </w:r>
    </w:p>
    <w:p>
      <w:pPr>
        <w:keepNext/>
        <w:spacing w:after="100" w:before="24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Publication status of randomized registrations completed by the end of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4680"/>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Status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 (%)</w:t>
            </w:r>
          </w:p>
        </w:tc>
        <w:tc>
          <w:tcPr>
            <w:tcW w:type="dxa" w:w="468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Registrations</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report included in this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 (46.7%)</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NCT02603133, NCT03475290, NCT04126564, NCT04393818, NCT04719351, NCT04816708, NCT05280964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published outside the scope of the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(13.3%)</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NCT02540317, NCT05246800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 results report located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 (40.0%)</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NCT03753360, NCT04462484, NCT05085132, NCT05036356, NCT04958941, NCT05779501</w:t>
            </w:r>
          </w:p>
        </w:tc>
      </w:tr>
      <w:tr>
        <w:tc>
          <w:tcPr>
            <w:tcW w:type="dxa" w:w="3182"/>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4680"/>
            <w:tcBorders>
              <w:top w:val="single" w:color="808080" w:sz="4"/>
              <w:left w:val="none" w:color="FFFFFF" w:sz="0"/>
              <w:bottom w:val="none" w:color="FFFFFF" w:sz="0"/>
              <w:right w:val="none" w:color="FFFFFF" w:sz="0"/>
            </w:tcBorders>
          </w:tcPr>
          <w:p/>
        </w:tc>
      </w:tr>
    </w:tbl>
    <w:p>
      <w:pPr>
        <w:pStyle w:val="Heading1"/>
        <w:spacing w:after="180" w:before="360"/>
      </w:pPr>
      <w:r>
        <w:rPr>
          <w:rFonts w:ascii="Times New Roman" w:cs="Times New Roman" w:eastAsia="Times New Roman" w:hAnsi="Times New Roman"/>
          <w:b/>
          <w:bCs/>
          <w:sz w:val="28"/>
          <w:szCs w:val="28"/>
        </w:rPr>
        <w:t xml:space="preserve">4. Discussion</w:t>
      </w:r>
    </w:p>
    <w:p>
      <w:pPr>
        <w:pStyle w:val="Heading2"/>
        <w:spacing w:after="120" w:before="240"/>
      </w:pPr>
      <w:r>
        <w:rPr>
          <w:rFonts w:ascii="Times New Roman" w:cs="Times New Roman" w:eastAsia="Times New Roman" w:hAnsi="Times New Roman"/>
          <w:b/>
          <w:bCs/>
          <w:i/>
          <w:iCs/>
          <w:sz w:val="24"/>
          <w:szCs w:val="24"/>
        </w:rPr>
        <w:t xml:space="preserve">4.1 Principal findings</w:t>
      </w:r>
    </w:p>
    <w:p>
      <w:pPr>
        <w:spacing w:after="160" w:line="400"/>
        <w:jc w:val="both"/>
      </w:pPr>
      <w:r>
        <w:rPr>
          <w:rFonts w:ascii="Times New Roman" w:cs="Times New Roman" w:eastAsia="Times New Roman" w:hAnsi="Times New Roman"/>
          <w:sz w:val="24"/>
          <w:szCs w:val="24"/>
        </w:rPr>
        <w:t xml:space="preserve">This review identified 100 randomized trials of digitally delivered interventions that reported burnout in working populations. Four features describe the evidence. First, it is recent: almost two thirds of the trials were first reported from 2023 onwards, and the field changed after 2020 in who was studied and how interventions were delivered. Second, it is concentrated in healthcare, which accounts for 62.0% of trials, while teachers and all other sectors together contribute 31.0%. Third, most trials test psychological programmes delivered to individual workers. Interventions that change training, work processes or practical conditions are a small and partly hidden part of the literature: half of them were retrieved only when the intervention-type terms were removed from the search. Fourth, design and reporting leave room for improvement. Waitlist controls are common and were used in almost half of the most recent trials, the typical trial is small, fewer than half of the abstracts name the burnout instrument, and results could not be found for two in five registered trials completed by 2023.</w:t>
      </w:r>
    </w:p>
    <w:p>
      <w:pPr>
        <w:spacing w:after="160" w:line="400"/>
        <w:jc w:val="both"/>
      </w:pPr>
      <w:r>
        <w:rPr>
          <w:rFonts w:ascii="Times New Roman" w:cs="Times New Roman" w:eastAsia="Times New Roman" w:hAnsi="Times New Roman"/>
          <w:sz w:val="24"/>
          <w:szCs w:val="24"/>
        </w:rPr>
        <w:t xml:space="preserve">The concentration in healthcare reflects a change that began in 2020. Before 2020 only 3 of 15 trials studied healthcare workers, whereas 17 of 23 did so in 2020-2022 and 42 of 62 from 2023. Live online group programmes appeared in the same period in which in-person sessions were difficult to hold. The field is therefore younger, and probably more shaped by the pandemic, than its size suggests. The abstracts do not allow us to test why so many recent trials are small and waitlist-controlled. A plausible explanation is that they were run quickly, within a single organisation, when withholding support from staff under pressure was hard to defend and a delayed-access design was the easiest compromise. If so, effects observed during the pandemic may not hold in ordinary working conditions, and confirmatory trials under stable conditions are needed.</w:t>
      </w:r>
    </w:p>
    <w:p>
      <w:pPr>
        <w:pStyle w:val="Heading2"/>
        <w:spacing w:after="120" w:before="240"/>
      </w:pPr>
      <w:r>
        <w:rPr>
          <w:rFonts w:ascii="Times New Roman" w:cs="Times New Roman" w:eastAsia="Times New Roman" w:hAnsi="Times New Roman"/>
          <w:b/>
          <w:bCs/>
          <w:i/>
          <w:iCs/>
          <w:sz w:val="24"/>
          <w:szCs w:val="24"/>
        </w:rPr>
        <w:t xml:space="preserve">4.2 Comparison with previous reviews</w:t>
      </w:r>
    </w:p>
    <w:p>
      <w:pPr>
        <w:spacing w:after="160" w:line="400"/>
        <w:jc w:val="both"/>
      </w:pPr>
      <w:r>
        <w:rPr>
          <w:rFonts w:ascii="Times New Roman" w:cs="Times New Roman" w:eastAsia="Times New Roman" w:hAnsi="Times New Roman"/>
          <w:sz w:val="24"/>
          <w:szCs w:val="24"/>
        </w:rPr>
        <w:t xml:space="preserve">Table 6 compares the scope of this review with related reviews. Previous reviews were limited to one profession and pooled effects [8], covered healthcare workers regardless of delivery mode [7], targeted stress and burnout prevention in nurses and physicians [9], or were limited to nurses [10] or to one therapeutic approach [11]. By restricting design to randomized trials and the outcome to burnout, while admitting any occupation and any mechanism, this review complements them. Its wider scope also shows that the healthcare focus of earlier reviews largely reflects where the trials have been done: even without an occupational restriction, most of the evidence comes from hospitals and health services.</w:t>
      </w:r>
    </w:p>
    <w:p>
      <w:pPr>
        <w:keepNext/>
        <w:spacing w:after="100" w:before="24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Scope of this review compared with related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310"/>
        <w:gridCol w:w="1685"/>
        <w:gridCol w:w="1685"/>
        <w:gridCol w:w="1498"/>
        <w:gridCol w:w="1498"/>
      </w:tblGrid>
      <w:tr>
        <w:trPr>
          <w:tblHeader/>
        </w:trPr>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Review</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Population</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Interventions</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Outcome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 designs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Synthesis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This review</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 occupations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Any digitally delivered intervention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map</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Yang et al., 2026 [8]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Digital health</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and quasi-experimental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Adam et al., 2023 [9]</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 and physicians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Supported by digital applications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Stress; burnout prevention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Not restricted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Scoping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Kunzler et al., 2020 [7]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professionals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Psychological, any delivery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Resilience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Cochrane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Park et al., 2022 [10]</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E-healthcare</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(primary)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Lampinen et al., 2026 [11]</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Employees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Online ACT</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depression, anxiety,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narrative review</w:t>
            </w:r>
          </w:p>
        </w:tc>
      </w:tr>
      <w:tr>
        <w:tc>
          <w:tcPr>
            <w:tcW w:type="dxa" w:w="1685"/>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4.3 What the evidence map shows</w:t>
      </w:r>
    </w:p>
    <w:p>
      <w:pPr>
        <w:spacing w:after="160" w:line="400"/>
        <w:jc w:val="both"/>
      </w:pPr>
      <w:r>
        <w:rPr>
          <w:rFonts w:ascii="Times New Roman" w:cs="Times New Roman" w:eastAsia="Times New Roman" w:hAnsi="Times New Roman"/>
          <w:sz w:val="24"/>
          <w:szCs w:val="24"/>
        </w:rPr>
        <w:t xml:space="preserve">The map shows gaps of two kinds. The first concerns populations. Outside health and social care there are 31 trials, spread across teachers, employees of a few companies and mixed occupational samples. Most trials in the employee group recruited mixed occupational samples or the staff of a single organisation, so little can be said about any particular sector outside health care and education, even though burnout is not confined to these settings. Findings from hospital trials, where workload, shift patterns and professional identity are specific, cannot simply be transferred to these groups.</w:t>
      </w:r>
    </w:p>
    <w:p>
      <w:pPr>
        <w:spacing w:after="160" w:line="400"/>
        <w:jc w:val="both"/>
      </w:pPr>
      <w:r>
        <w:rPr>
          <w:rFonts w:ascii="Times New Roman" w:cs="Times New Roman" w:eastAsia="Times New Roman" w:hAnsi="Times New Roman"/>
          <w:sz w:val="24"/>
          <w:szCs w:val="24"/>
        </w:rPr>
        <w:t xml:space="preserve">The second concerns mechanisms. Meta-analytic evidence in physicians suggests that organisation-directed interventions may be at least as effective as those directed at individuals [5,6], yet more than four in five trials here (82.0% with a psychological mechanism) test programmes that ask the individual worker to change. The small group of trials that target training, workflow or practical support illustrates what digital technology can do beyond delivering psychological content. The ambient AI scribe trials are an example: they address documentation burden, a recognised driver of physician burnout [4], directly. The two included scribe trials were published in informatics rather than occupational-health journals and do not use psychological terms. Reviews that search only for psychological interventions will miss them, as the main search of this review did.</w:t>
      </w:r>
    </w:p>
    <w:p>
      <w:pPr>
        <w:pStyle w:val="Heading2"/>
        <w:spacing w:after="120" w:before="240"/>
      </w:pPr>
      <w:r>
        <w:rPr>
          <w:rFonts w:ascii="Times New Roman" w:cs="Times New Roman" w:eastAsia="Times New Roman" w:hAnsi="Times New Roman"/>
          <w:b/>
          <w:bCs/>
          <w:i/>
          <w:iCs/>
          <w:sz w:val="24"/>
          <w:szCs w:val="24"/>
        </w:rPr>
        <w:t xml:space="preserve">4.4 Implications for trial design and reporting</w:t>
      </w:r>
    </w:p>
    <w:p>
      <w:pPr>
        <w:spacing w:after="160" w:line="400"/>
        <w:jc w:val="both"/>
      </w:pPr>
      <w:r>
        <w:rPr>
          <w:rFonts w:ascii="Times New Roman" w:cs="Times New Roman" w:eastAsia="Times New Roman" w:hAnsi="Times New Roman"/>
          <w:sz w:val="24"/>
          <w:szCs w:val="24"/>
        </w:rPr>
        <w:t xml:space="preserve">Waitlist controls were used in more than a third of the trials and in almost half of recent ones. Waitlist designs can overestimate effects, because participants who are told to wait may fare worse than they would with no intervention at all; in psychotherapy trials the waitlist has been described as a nocebo condition [18]. Burnout develops over months and is closely tied to working conditions, so a comparison with an active control, with usual organisational support, or between two versions of a digital programme would say more about what the intervention adds. The small median sample, the 12 trials with fewer than 50 participants and the 21 trials that describe themselves as pilot or feasibility studies indicate that much of the evidence comes from studies that were not designed to test effectiveness.</w:t>
      </w:r>
    </w:p>
    <w:p>
      <w:pPr>
        <w:spacing w:after="160" w:line="400"/>
        <w:jc w:val="both"/>
      </w:pPr>
      <w:r>
        <w:rPr>
          <w:rFonts w:ascii="Times New Roman" w:cs="Times New Roman" w:eastAsia="Times New Roman" w:hAnsi="Times New Roman"/>
          <w:sz w:val="24"/>
          <w:szCs w:val="24"/>
        </w:rPr>
        <w:t xml:space="preserve">Burnout measurement was reported inconsistently. More than half of the abstracts did not name the instrument, and several instruments with different conceptual bases were in use [2,19]. This makes the trials hard to find and to combine. Following CONSORT and its e-health extension [20,21], abstracts should name the burnout instrument and state whether burnout was a primary or secondary outcome. The results of 6 randomized registrations completed by 2023 could not be found. This proportion is consistent with the delays and non-publication documented in other areas of clinical research [22], and it suggests that the published evidence may overstate benefit.</w:t>
      </w:r>
    </w:p>
    <w:p>
      <w:pPr>
        <w:pStyle w:val="Heading2"/>
        <w:spacing w:after="120" w:before="240"/>
      </w:pPr>
      <w:r>
        <w:rPr>
          <w:rFonts w:ascii="Times New Roman" w:cs="Times New Roman" w:eastAsia="Times New Roman" w:hAnsi="Times New Roman"/>
          <w:b/>
          <w:bCs/>
          <w:i/>
          <w:iCs/>
          <w:sz w:val="24"/>
          <w:szCs w:val="24"/>
        </w:rPr>
        <w:t xml:space="preserve">4.5 Strengths and limitations</w:t>
      </w:r>
    </w:p>
    <w:p>
      <w:pPr>
        <w:spacing w:after="160" w:line="400"/>
        <w:jc w:val="both"/>
      </w:pPr>
      <w:r>
        <w:rPr>
          <w:rFonts w:ascii="Times New Roman" w:cs="Times New Roman" w:eastAsia="Times New Roman" w:hAnsi="Times New Roman"/>
          <w:sz w:val="24"/>
          <w:szCs w:val="24"/>
        </w:rPr>
        <w:t xml:space="preserve">The review has several strengths. It searched five databases, including two large open sources, and it tested and corrected its own search strategy by running a supplementary search without the intervention-type block. Every report that passed screening was assessed against explicit criteria with a recorded reason. Reports were linked to trials and the analysis was done at trial level. The trial registry was used both to find missed reports and to examine publication. All data and code are publicly available.</w:t>
      </w:r>
    </w:p>
    <w:p>
      <w:pPr>
        <w:spacing w:after="160" w:line="400"/>
        <w:jc w:val="both"/>
      </w:pPr>
      <w:r>
        <w:rPr>
          <w:rFonts w:ascii="Times New Roman" w:cs="Times New Roman" w:eastAsia="Times New Roman" w:hAnsi="Times New Roman"/>
          <w:sz w:val="24"/>
          <w:szCs w:val="24"/>
        </w:rPr>
        <w:t xml:space="preserve">There are also limitations. Selection and charting were done by a single reviewer with the help of an AI agent, and there was no independent second reviewer; the screening error was estimated from a random sample rather than from agreement between reviewers. Eligibility and charting relied mainly on abstracts, so features such as the comparator and the burnout instrument may be reported more completely in the full texts than our figures suggest. PsycINFO, Embase and CENTRAL were not searched, and reference lists were not checked; the supplementary search was limited to Europe PMC and OpenAlex, and one eligible report was recovered only through the registry. Some eligible trials, especially from sectors outside health care, have probably been missed. Three reports could not be retrieved. The main search strings differed slightly between the database interfaces (Appendix A). The registry analysis covered only ClinicalTrials.gov, and a report that could not be located has not necessarily gone unpublished. Each trial was assigned one category per variable, which simplifies multicomponent interventions. The protocol was not registered in advance, and the data for 2026 are incomplete.</w:t>
      </w:r>
    </w:p>
    <w:p>
      <w:pPr>
        <w:pStyle w:val="Heading1"/>
        <w:spacing w:after="180" w:before="360"/>
      </w:pPr>
      <w:r>
        <w:rPr>
          <w:rFonts w:ascii="Times New Roman" w:cs="Times New Roman" w:eastAsia="Times New Roman" w:hAnsi="Times New Roman"/>
          <w:b/>
          <w:bCs/>
          <w:sz w:val="28"/>
          <w:szCs w:val="28"/>
        </w:rPr>
        <w:t xml:space="preserve">5. Conclusions</w:t>
      </w:r>
    </w:p>
    <w:p>
      <w:pPr>
        <w:spacing w:after="160" w:line="400"/>
        <w:jc w:val="both"/>
      </w:pPr>
      <w:r>
        <w:rPr>
          <w:rFonts w:ascii="Times New Roman" w:cs="Times New Roman" w:eastAsia="Times New Roman" w:hAnsi="Times New Roman"/>
          <w:sz w:val="24"/>
          <w:szCs w:val="24"/>
        </w:rPr>
        <w:t xml:space="preserve">Randomized evidence on digital interventions for occupational burnout has grown quickly since 2020 and now comprises about a hundred trials. The evidence is concentrated in healthcare and in psychological programmes for individual workers. Recent trials rely more often on waitlist controls, many trials are small pilot studies, and the burnout instrument is often not named in the abstract. The next generation of trials should include workers outside healthcare, test interventions that change training and work processes as well as individual coping, use active or usual-practice comparators, and report both the burnout instrument and the results of every completed trial.</w:t>
      </w:r>
    </w:p>
    <w:p>
      <w:pPr>
        <w:pStyle w:val="Heading1"/>
        <w:spacing w:after="180" w:before="360"/>
      </w:pPr>
      <w:r>
        <w:rPr>
          <w:rFonts w:ascii="Times New Roman" w:cs="Times New Roman" w:eastAsia="Times New Roman" w:hAnsi="Times New Roman"/>
          <w:b/>
          <w:bCs/>
          <w:sz w:val="28"/>
          <w:szCs w:val="28"/>
        </w:rPr>
        <w:t xml:space="preserve">Declarations</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Ethics approval:</w:t>
      </w:r>
      <w:r>
        <w:rPr>
          <w:rFonts w:ascii="Times New Roman" w:cs="Times New Roman" w:eastAsia="Times New Roman" w:hAnsi="Times New Roman"/>
          <w:sz w:val="24"/>
          <w:szCs w:val="24"/>
        </w:rPr>
        <w:t xml:space="preserve"> Not required; the review used published data only.</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All data and code are available at https://github.com/fyodora2/5R. The file master_registry.csv lists all 210 reports assessed for eligibility (147 from the main search, 42 from the supplementary search and 21 registry-linked publications) with the decision and reason for each. The file study_charting.csv contains the charting data for the 100 trials, supplementary_screening.csv contains every record screened in the supplementary search, and registry_linkage.csv contains the 28 registrations. Abstracts retrieved from Web of Science and Scopus are not redistributed because of the databases' terms of use.</w:t>
      </w:r>
    </w:p>
    <w:p>
      <w:pPr>
        <w:spacing w:after="160" w:line="400"/>
        <w:jc w:val="both"/>
      </w:pPr>
      <w:r>
        <w:rPr>
          <w:rFonts w:ascii="Times New Roman" w:cs="Times New Roman" w:eastAsia="Times New Roman" w:hAnsi="Times New Roman"/>
          <w:b/>
          <w:bCs/>
          <w:sz w:val="24"/>
          <w:szCs w:val="24"/>
        </w:rPr>
        <w:t xml:space="preserve">Use of artificial intelligence:</w:t>
      </w:r>
      <w:r>
        <w:rPr>
          <w:rFonts w:ascii="Times New Roman" w:cs="Times New Roman" w:eastAsia="Times New Roman" w:hAnsi="Times New Roman"/>
          <w:sz w:val="24"/>
          <w:szCs w:val="24"/>
        </w:rPr>
        <w:t xml:space="preserve"> See Section 2.8.</w:t>
      </w:r>
    </w:p>
    <w:p>
      <w:pPr>
        <w:pStyle w:val="Heading1"/>
        <w:spacing w:after="180" w:before="360"/>
      </w:pPr>
      <w:r>
        <w:rPr>
          <w:rFonts w:ascii="Times New Roman" w:cs="Times New Roman" w:eastAsia="Times New Roman" w:hAnsi="Times New Roman"/>
          <w:b/>
          <w:bCs/>
          <w:sz w:val="28"/>
          <w:szCs w:val="28"/>
        </w:rPr>
        <w:t xml:space="preserve">References</w:t>
      </w:r>
    </w:p>
    <w:p>
      <w:pPr>
        <w:spacing w:after="100" w:line="300"/>
        <w:ind w:left="440" w:hanging="440"/>
      </w:pPr>
      <w:r>
        <w:rPr>
          <w:rFonts w:ascii="Times New Roman" w:cs="Times New Roman" w:eastAsia="Times New Roman" w:hAnsi="Times New Roman"/>
          <w:sz w:val="22"/>
          <w:szCs w:val="22"/>
        </w:rPr>
        <w:t xml:space="preserve">1.	World Health Organization. Burn-out an "occupational phenomenon": International Classification of Diseases. Geneva: World Health Organization; 2019 May 28.</w:t>
      </w:r>
    </w:p>
    <w:p>
      <w:pPr>
        <w:spacing w:after="100" w:line="300"/>
        <w:ind w:left="440" w:hanging="440"/>
      </w:pPr>
      <w:r>
        <w:rPr>
          <w:rFonts w:ascii="Times New Roman" w:cs="Times New Roman" w:eastAsia="Times New Roman" w:hAnsi="Times New Roman"/>
          <w:sz w:val="22"/>
          <w:szCs w:val="22"/>
        </w:rPr>
        <w:t xml:space="preserve">2.	Maslach C, Leiter MP. Understanding the burnout experience: recent research and its implications for psychiatry. World Psychiatry. 2016;15(2):103-11. doi:10.1002/wps.20311</w:t>
      </w:r>
    </w:p>
    <w:p>
      <w:pPr>
        <w:spacing w:after="100" w:line="300"/>
        <w:ind w:left="440" w:hanging="440"/>
      </w:pPr>
      <w:r>
        <w:rPr>
          <w:rFonts w:ascii="Times New Roman" w:cs="Times New Roman" w:eastAsia="Times New Roman" w:hAnsi="Times New Roman"/>
          <w:sz w:val="22"/>
          <w:szCs w:val="22"/>
        </w:rPr>
        <w:t xml:space="preserve">3.	Rotenstein LS, Torre M, Ramos MA, Rosales RC, Guille C, Sen S, et al. Prevalence of burnout among physicians: a systematic review. JAMA. 2018;320(11):1131-50. doi:10.1001/jama.2018.12777</w:t>
      </w:r>
    </w:p>
    <w:p>
      <w:pPr>
        <w:spacing w:after="100" w:line="300"/>
        <w:ind w:left="440" w:hanging="440"/>
      </w:pPr>
      <w:r>
        <w:rPr>
          <w:rFonts w:ascii="Times New Roman" w:cs="Times New Roman" w:eastAsia="Times New Roman" w:hAnsi="Times New Roman"/>
          <w:sz w:val="22"/>
          <w:szCs w:val="22"/>
        </w:rPr>
        <w:t xml:space="preserve">4.	West CP, Dyrbye LN, Shanafelt TD. Physician burnout: contributors, consequences and solutions. J Intern Med. 2018;283(6):516-29. doi:10.1111/joim.12752</w:t>
      </w:r>
    </w:p>
    <w:p>
      <w:pPr>
        <w:spacing w:after="100" w:line="300"/>
        <w:ind w:left="440" w:hanging="440"/>
      </w:pPr>
      <w:r>
        <w:rPr>
          <w:rFonts w:ascii="Times New Roman" w:cs="Times New Roman" w:eastAsia="Times New Roman" w:hAnsi="Times New Roman"/>
          <w:sz w:val="22"/>
          <w:szCs w:val="22"/>
        </w:rPr>
        <w:t xml:space="preserve">5.	West CP, Dyrbye LN, Erwin PJ, Shanafelt TD. Interventions to prevent and reduce physician burnout: a systematic review and meta-analysis. Lancet. 2016;388(10057):2272-81. doi:10.1016/S0140-6736(16)31279-X</w:t>
      </w:r>
    </w:p>
    <w:p>
      <w:pPr>
        <w:spacing w:after="100" w:line="300"/>
        <w:ind w:left="440" w:hanging="440"/>
      </w:pPr>
      <w:r>
        <w:rPr>
          <w:rFonts w:ascii="Times New Roman" w:cs="Times New Roman" w:eastAsia="Times New Roman" w:hAnsi="Times New Roman"/>
          <w:sz w:val="22"/>
          <w:szCs w:val="22"/>
        </w:rPr>
        <w:t xml:space="preserve">6.	Panagioti M, Panagopoulou E, Bower P, Lewith G, Kontopantelis E, Chew-Graham C, et al. Controlled interventions to reduce burnout in physicians: a systematic review and meta-analysis. JAMA Intern Med. 2017;177(2):195-205. doi:10.1001/jamainternmed.2016.7674</w:t>
      </w:r>
    </w:p>
    <w:p>
      <w:pPr>
        <w:spacing w:after="100" w:line="300"/>
        <w:ind w:left="440" w:hanging="440"/>
      </w:pPr>
      <w:r>
        <w:rPr>
          <w:rFonts w:ascii="Times New Roman" w:cs="Times New Roman" w:eastAsia="Times New Roman" w:hAnsi="Times New Roman"/>
          <w:sz w:val="22"/>
          <w:szCs w:val="22"/>
        </w:rPr>
        <w:t xml:space="preserve">7.	Kunzler AM, Helmreich I, Chmitorz A, König J, Binder H, Wessa M, et al. Psychological interventions to foster resilience in healthcare professionals. Cochrane Database Syst Rev. 2020;7:CD012527. doi:10.1002/14651858.CD012527.pub2</w:t>
      </w:r>
    </w:p>
    <w:p>
      <w:pPr>
        <w:spacing w:after="100" w:line="300"/>
        <w:ind w:left="440" w:hanging="440"/>
      </w:pPr>
      <w:r>
        <w:rPr>
          <w:rFonts w:ascii="Times New Roman" w:cs="Times New Roman" w:eastAsia="Times New Roman" w:hAnsi="Times New Roman"/>
          <w:sz w:val="22"/>
          <w:szCs w:val="22"/>
        </w:rPr>
        <w:t xml:space="preserve">8.	Yang Y, Wen J, Wan H, Yang Q, Guan J, Min L, et al. Digital health interventions for reducing occupational burnout in nurses: a systematic review and meta-analysis. Front Public Health. 2026;14:1879258. doi:10.3389/fpubh.2026.1879258</w:t>
      </w:r>
    </w:p>
    <w:p>
      <w:pPr>
        <w:spacing w:after="100" w:line="300"/>
        <w:ind w:left="440" w:hanging="440"/>
      </w:pPr>
      <w:r>
        <w:rPr>
          <w:rFonts w:ascii="Times New Roman" w:cs="Times New Roman" w:eastAsia="Times New Roman" w:hAnsi="Times New Roman"/>
          <w:sz w:val="22"/>
          <w:szCs w:val="22"/>
        </w:rPr>
        <w:t xml:space="preserve">9.	Adam D, Berschick J, Schiele JK, Bogdanski M, Schröter M, Steinmetz M, et al. Interventions to reduce stress and prevent burnout in healthcare professionals supported by digital applications: a scoping review. Front Public Health. 2023;11:1231266. doi:10.3389/fpubh.2023.1231266</w:t>
      </w:r>
    </w:p>
    <w:p>
      <w:pPr>
        <w:spacing w:after="100" w:line="300"/>
        <w:ind w:left="440" w:hanging="440"/>
      </w:pPr>
      <w:r>
        <w:rPr>
          <w:rFonts w:ascii="Times New Roman" w:cs="Times New Roman" w:eastAsia="Times New Roman" w:hAnsi="Times New Roman"/>
          <w:sz w:val="22"/>
          <w:szCs w:val="22"/>
        </w:rPr>
        <w:t xml:space="preserve">10.	Park JH, Jung SE, Ha DJ, Lee B, Kim MS, Sim KL, et al. E-healthcare interventions for nurse mental health: a systematic review. Medicine (Baltimore). 2022;101(28):e29125. doi:10.1097/MD.0000000000029125</w:t>
      </w:r>
    </w:p>
    <w:p>
      <w:pPr>
        <w:spacing w:after="100" w:line="300"/>
        <w:ind w:left="440" w:hanging="440"/>
      </w:pPr>
      <w:r>
        <w:rPr>
          <w:rFonts w:ascii="Times New Roman" w:cs="Times New Roman" w:eastAsia="Times New Roman" w:hAnsi="Times New Roman"/>
          <w:sz w:val="22"/>
          <w:szCs w:val="22"/>
        </w:rPr>
        <w:t xml:space="preserve">11.	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spacing w:after="100" w:line="300"/>
        <w:ind w:left="440" w:hanging="440"/>
      </w:pPr>
      <w:r>
        <w:rPr>
          <w:rFonts w:ascii="Times New Roman" w:cs="Times New Roman" w:eastAsia="Times New Roman" w:hAnsi="Times New Roman"/>
          <w:sz w:val="22"/>
          <w:szCs w:val="22"/>
        </w:rPr>
        <w:t xml:space="preserve">12.	Arksey H, O'Malley L. Scoping studies: towards a methodological framework. Int J Soc Res Methodol. 2005;8(1):19-32. doi:10.1080/1364557032000119616</w:t>
      </w:r>
    </w:p>
    <w:p>
      <w:pPr>
        <w:spacing w:after="100" w:line="300"/>
        <w:ind w:left="440" w:hanging="440"/>
      </w:pPr>
      <w:r>
        <w:rPr>
          <w:rFonts w:ascii="Times New Roman" w:cs="Times New Roman" w:eastAsia="Times New Roman" w:hAnsi="Times New Roman"/>
          <w:sz w:val="22"/>
          <w:szCs w:val="22"/>
        </w:rPr>
        <w:t xml:space="preserve">13.	Levac D, Colquhoun H, O'Brien KK. Scoping studies: advancing the methodology. Implement Sci. 2010;5:69. doi:10.1186/1748-5908-5-69</w:t>
      </w:r>
    </w:p>
    <w:p>
      <w:pPr>
        <w:spacing w:after="100" w:line="300"/>
        <w:ind w:left="440" w:hanging="440"/>
      </w:pPr>
      <w:r>
        <w:rPr>
          <w:rFonts w:ascii="Times New Roman" w:cs="Times New Roman" w:eastAsia="Times New Roman" w:hAnsi="Times New Roman"/>
          <w:sz w:val="22"/>
          <w:szCs w:val="22"/>
        </w:rPr>
        <w:t xml:space="preserve">14.	Peters MDJ, Godfrey C, McInerney P, Munn Z, Tricco AC, Khalil H. Chapter 11: Scoping reviews. In: Aromataris E, Munn Z, editors. JBI Manual for Evidence Synthesis. Adelaide: JBI; 2020. doi:10.46658/JBIMES-20-12</w:t>
      </w:r>
    </w:p>
    <w:p>
      <w:pPr>
        <w:spacing w:after="100" w:line="300"/>
        <w:ind w:left="440" w:hanging="440"/>
      </w:pPr>
      <w:r>
        <w:rPr>
          <w:rFonts w:ascii="Times New Roman" w:cs="Times New Roman" w:eastAsia="Times New Roman" w:hAnsi="Times New Roman"/>
          <w:sz w:val="22"/>
          <w:szCs w:val="22"/>
        </w:rPr>
        <w:t xml:space="preserve">15.	Tricco AC, Lillie E, Zarin W, O'Brien KK, Colquhoun H, Levac D, et al. PRISMA Extension for Scoping Reviews (PRISMA-ScR): checklist and explanation. Ann Intern Med. 2018;169(7):467-73. doi:10.7326/M18-0850</w:t>
      </w:r>
    </w:p>
    <w:p>
      <w:pPr>
        <w:spacing w:after="100" w:line="300"/>
        <w:ind w:left="440" w:hanging="440"/>
      </w:pPr>
      <w:r>
        <w:rPr>
          <w:rFonts w:ascii="Times New Roman" w:cs="Times New Roman" w:eastAsia="Times New Roman" w:hAnsi="Times New Roman"/>
          <w:sz w:val="22"/>
          <w:szCs w:val="22"/>
        </w:rPr>
        <w:t xml:space="preserve">16.	Page MJ, McKenzie JE, Bossuyt PM, Boutron I, Hoffmann TC, Mulrow CD, et al. The PRISMA 2020 statement: an updated guideline for reporting systematic reviews. BMJ. 2021;372:n71. doi:10.1136/bmj.n71</w:t>
      </w:r>
    </w:p>
    <w:p>
      <w:pPr>
        <w:spacing w:after="100" w:line="300"/>
        <w:ind w:left="440" w:hanging="440"/>
      </w:pPr>
      <w:r>
        <w:rPr>
          <w:rFonts w:ascii="Times New Roman" w:cs="Times New Roman" w:eastAsia="Times New Roman" w:hAnsi="Times New Roman"/>
          <w:sz w:val="22"/>
          <w:szCs w:val="22"/>
        </w:rPr>
        <w:t xml:space="preserve">17.	Clopper CJ, Pearson ES. The use of confidence or fiducial limits illustrated in the case of the binomial. Biometrika. 1934;26(4):404-13. doi:10.1093/biomet/26.4.404</w:t>
      </w:r>
    </w:p>
    <w:p>
      <w:pPr>
        <w:spacing w:after="100" w:line="300"/>
        <w:ind w:left="440" w:hanging="440"/>
      </w:pPr>
      <w:r>
        <w:rPr>
          <w:rFonts w:ascii="Times New Roman" w:cs="Times New Roman" w:eastAsia="Times New Roman" w:hAnsi="Times New Roman"/>
          <w:sz w:val="22"/>
          <w:szCs w:val="22"/>
        </w:rPr>
        <w:t xml:space="preserve">18.	Furukawa TA, Noma H, Caldwell DM, Honyashiki M, Shinohara K, Imai H, et al. Waiting list may be a nocebo condition in psychotherapy trials: a contribution from network meta-analysis. Acta Psychiatr Scand. 2014;130(3):181-92. doi:10.1111/acps.12275</w:t>
      </w:r>
    </w:p>
    <w:p>
      <w:pPr>
        <w:spacing w:after="100" w:line="300"/>
        <w:ind w:left="440" w:hanging="440"/>
      </w:pPr>
      <w:r>
        <w:rPr>
          <w:rFonts w:ascii="Times New Roman" w:cs="Times New Roman" w:eastAsia="Times New Roman" w:hAnsi="Times New Roman"/>
          <w:sz w:val="22"/>
          <w:szCs w:val="22"/>
        </w:rPr>
        <w:t xml:space="preserve">19.	Schaufeli WB, De Witte H, Desart S. Burnout Assessment Tool (BAT): development, validity, and reliability. Int J Environ Res Public Health. 2020;17(24):9495. doi:10.3390/ijerph17249495</w:t>
      </w:r>
    </w:p>
    <w:p>
      <w:pPr>
        <w:spacing w:after="100" w:line="300"/>
        <w:ind w:left="440" w:hanging="440"/>
      </w:pPr>
      <w:r>
        <w:rPr>
          <w:rFonts w:ascii="Times New Roman" w:cs="Times New Roman" w:eastAsia="Times New Roman" w:hAnsi="Times New Roman"/>
          <w:sz w:val="22"/>
          <w:szCs w:val="22"/>
        </w:rPr>
        <w:t xml:space="preserve">20.	Schulz KF, Altman DG, Moher D; CONSORT Group. CONSORT 2010 statement: updated guidelines for reporting parallel group randomised trials. BMJ. 2010;340:c332. doi:10.1136/bmj.c332</w:t>
      </w:r>
    </w:p>
    <w:p>
      <w:pPr>
        <w:spacing w:after="100" w:line="300"/>
        <w:ind w:left="440" w:hanging="440"/>
      </w:pPr>
      <w:r>
        <w:rPr>
          <w:rFonts w:ascii="Times New Roman" w:cs="Times New Roman" w:eastAsia="Times New Roman" w:hAnsi="Times New Roman"/>
          <w:sz w:val="22"/>
          <w:szCs w:val="22"/>
        </w:rPr>
        <w:t xml:space="preserve">21.	Eysenbach G; CONSORT-EHEALTH Group. CONSORT-EHEALTH: improving and standardizing evaluation reports of web-based and mobile health interventions. J Med Internet Res. 2011;13(4):e126. doi:10.2196/jmir.1923</w:t>
      </w:r>
    </w:p>
    <w:p>
      <w:pPr>
        <w:spacing w:after="100" w:line="300"/>
        <w:ind w:left="440" w:hanging="440"/>
      </w:pPr>
      <w:r>
        <w:rPr>
          <w:rFonts w:ascii="Times New Roman" w:cs="Times New Roman" w:eastAsia="Times New Roman" w:hAnsi="Times New Roman"/>
          <w:sz w:val="22"/>
          <w:szCs w:val="22"/>
        </w:rPr>
        <w:t xml:space="preserve">22.	Chen R, Desai NR, Ross JS, Zhang W, Chau KH, Wayda B, et al. Publication and reporting of clinical trial results: cross sectional analysis across academic medical centers. BMJ. 2016;352:i637. doi:10.1136/bmj.i637</w:t>
      </w:r>
    </w:p>
    <w:p>
      <w:r>
        <w:br w:type="page"/>
      </w:r>
    </w:p>
    <w:p>
      <w:pPr>
        <w:pStyle w:val="Heading1"/>
        <w:spacing w:after="180" w:before="360"/>
      </w:pPr>
      <w:r>
        <w:rPr>
          <w:rFonts w:ascii="Times New Roman" w:cs="Times New Roman" w:eastAsia="Times New Roman" w:hAnsi="Times New Roman"/>
          <w:b/>
          <w:bCs/>
          <w:sz w:val="28"/>
          <w:szCs w:val="28"/>
        </w:rPr>
        <w:t xml:space="preserve">Appendix A. Search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685"/>
        <w:gridCol w:w="6084"/>
      </w:tblGrid>
      <w:tr>
        <w:trPr>
          <w:tblHeader/>
        </w:trPr>
        <w:tc>
          <w:tcPr>
            <w:tcW w:type="dxa" w:w="159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Source</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Field and date</w:t>
            </w:r>
          </w:p>
        </w:tc>
        <w:tc>
          <w:tcPr>
            <w:tcW w:type="dxa" w:w="608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Search string</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The same four blocks in OpenAlex Boolean syntax, with truncated terms replaced by their word forms (for example psychological OR psychology; randomized OR randomised).</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ERIC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All fields;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Core Collection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As for Web of Science.</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block) AND ((main digital block)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(randomized block) NOT ((main digital block) AND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(main digital block OR extended digital terms as above) AND (randomized OR randomised OR RCT OR "controlled trial" OR "clinical trial") AND NOT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ClinicalTrials.gov</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API v2;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t>
            </w:r>
          </w:p>
        </w:tc>
      </w:tr>
      <w:tr>
        <w:tc>
          <w:tcPr>
            <w:tcW w:type="dxa" w:w="1591"/>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608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B. Reports excluded at eligibility assessment</w:t>
      </w:r>
    </w:p>
    <w:p>
      <w:pPr>
        <w:spacing w:after="160" w:line="400"/>
        <w:jc w:val="both"/>
      </w:pPr>
      <w:r>
        <w:rPr>
          <w:rFonts w:ascii="Times New Roman" w:cs="Times New Roman" w:eastAsia="Times New Roman" w:hAnsi="Times New Roman"/>
          <w:sz w:val="24"/>
          <w:szCs w:val="24"/>
        </w:rPr>
        <w:t xml:space="preserve">All 107 excluded reports, ordered by the criterion they failed. Main = main database search; Suppl. = supplementary search; Registry = registry-linked publication. Record identifiers match master_registry.csv.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749"/>
        <w:gridCol w:w="562"/>
        <w:gridCol w:w="3463"/>
        <w:gridCol w:w="1498"/>
        <w:gridCol w:w="2434"/>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ID</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Route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Year</w:t>
            </w:r>
          </w:p>
        </w:tc>
        <w:tc>
          <w:tcPr>
            <w:tcW w:type="dxa" w:w="346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Title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Criterion</w:t>
            </w:r>
          </w:p>
        </w:tc>
        <w:tc>
          <w:tcPr>
            <w:tcW w:type="dxa" w:w="243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Reason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(VR) Device with Integrated Biofeedback Sensors…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Alleviating staff stress in care homes for people with dementia: protocol…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(stepped-wedge cluster RCT);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Predictors of dropout in cognitive behavior and interpersonal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predictors of dropout;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Better Together: A Novel Online Physician Group Coaching Program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pre-post analysis of a pilot cohort; no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Midwives: Supporting Health and Well‐Being for Our…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Commentary; not a trial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of a Guided and Individualized,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in progress (conference abstract, future tense); no results. Completed trial reported separately (included)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Online Mindfulness Training and Work-related Outcomes: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BiWell: Bicocca + Workplace Well-being. An effectiveness analysis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Edu:Social School Study: Promoting well-being and socio-emotional…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Mental Health in Small Business Leaders: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Beyond Nature Videos: Evaluating BioMusic Breaks for Burnt-Out Nonprofit…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Mobile Phone-Based Intervention to Reduce 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(R023)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Greater Resilience Information Toolkit Japanese Version (GRIT-J)</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Impostor syndrome and burnout among American medical students: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survey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12-item Self-Report World Health Organization Disability Assessment…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Measurement-validation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Prevalence of Burnout Among Physicians: A Systematic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Internet-based intervention for job stress and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(NCT03475290)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Validation of the Compassion Scale.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Cost-Effectiveness of Therapist-Guided Internet-Based Cognitive…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Psychological interventions to foster resilience in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(NCT03753360)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Identifying Moral Injury in Healthcare Professionals: The Moral Injury…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mobile-based intervention on mental health in frontline…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(NCT04393818)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Who Benefits Most? A Multisite Study of Coaching and Resident Well-being.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a different coaching study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Ecological momentary intervention to enhance emotion regulation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(NCT04958941)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"We're all going through it": impact of an online group coaching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Qualitative secondary analysis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Demographics in distress: a national study of burnout and well-being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Observational survey cited in the registration (NCT06149156)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 Quality of Life Improvement While Reducing Health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Within-trial economic secondary analysis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Randomized-Clinical Trial of Two Ambient Artificial Intelligence…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(Ambient AI Scribes in Clinical Practice, NEJM AI 2025)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the Internet 'Self-Examination Therapy (SET)'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study to evaluate a digital intervention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Caring for carers: A virtual psychosocial supervision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Mobile Heart Rate Variability Biofeedback for Work-Related Stress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Feasibility of a Novel Group Intervention to Support…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Reports only one randomized arm (pre-post);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mindfulness-based intervention for undergraduate pharmacy…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Quasi-randomized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active occupational stress management on psychosocial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pilot; no control group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mindfulness coaching enhances selective attention in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Waitlist-controlled pilot; random allocation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Satisfying students' psychological needs in the classroom: Benefits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Self-described quasi-experimental study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study of an online brief mindfulness-based intervention to improve…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Anxiety and Burnout: Symptom Correlates and a Prospective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prospective pilot (NCT04137081)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Web-Based Psychotherapy to Treat and Prevent…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Non-randomized controlled trial (NCT05343208)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Mindfulness Training for Burnout Reduction in Physicians:…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 (NCT06145425)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digital therapeutics to improve physician sleep: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implementation pilot (NCT05289596)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an app-based health intervention on somatic symptoms among…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longitudinal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and evaluation of a pain assessment app and novel…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Multiple-baseline design; units randomized to app feature sets, burnout not compared by arm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a tailored, combined intervention with mind-body elements…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App-Delivered Mindfulness Meditation on Functional…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assistant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an App-Delivered Psychological Flexibility Skill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group-focused rational emotive behavior coaching for management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 They're not just little doctors! Impact of an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Optimizing the Work of Learning for Flourishing: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Online Program Integrating Mindfulness and Stretching Exercises:…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health-sciences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a Single-Session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psychology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alternative terminology for depression on help-seeking…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online panel (vignette experiment)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Evidence-Based Resilience Intervention for Nursing Students: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Intervention Increases Empathy, Resilience, and Work Engagement…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Brief Intervention Program on Burnout among Medical Students…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Happier Healers: Randomized Controlled Trial of Mobile Mindfulness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the effects of a mindfulness mobile application on student…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Pharmacy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web-based self-help intervention for symptoms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sample recruited through mass media; employment not an inclusion criterion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Cognitive Behavioral Therapy for Chronic Stress: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Clinical sample recruited on symptom level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Nonguided Mindfulness App on Perceived Stress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General-population sample (NCT05246800)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Delivering Biopsychosocial Health Care Within Routine Care: Spotlight-AQ…</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randomized; clinician burnout not a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rehabilitation for individuals with chronic pain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People on long-term sick leave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Ally – a conversational AI–based mobile app for stress prevention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 adult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How to Design Serendipity for Burnout Mitigation? A Serendipity-Oriented…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Users of an online dating platform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Positive Psychological Intervention to Reduce Work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Residential workshop plus voice-telephone coaching; no digital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need-based care on formal caregivers' wellbeing in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Care-delivery model in nursing homes; only outcome questionnaires were digital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Mindfulness-Based Intervention for Teachers: a Study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 digital delivery reported (keyword match came from publisher boilerplate 'online version')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medical, surgical and psychiatric residents].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MBSR course; only questionnaires administered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for workers with chronic illness: Evaluating an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Voice-telephone coaching; only surveys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Professional Coaching Intervention on the Well-being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delivered by voice telephone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ClassPass Memberships to Improve Well-Being Among Psychiatry Residents: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platform used only to book in-person fitness activities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Prescribed and Self-Selected Music Interventions on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delivery not described; wearables used for assessment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in the emergency department: Randomized controlled trial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training; app and wearable used only to monitor practice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Stress Reduction and Burnout Prevention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health-resort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stretching program on anxiety levels of workers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stretching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Montessori Impacts on Long-term Care Staff: Results of a Stepped-Wedge…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Montessori training; online surveys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combined nature-based and audio-based virtual mindfulness…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perceived stress,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Should Mindfulness for Health Care Workers Go Virtual?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anxiety ratings, heart-rate variability;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Waitlist-Controlled Trial of a Virtual Reality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professional commitment, resilience, coping;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Four-Week Online Compassion and Gratitude Training Programme to Enhance…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emotional intelligence;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as a Mediator in a Web-Based Intervention (MINDxYOU)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stress, anxiety, depression, somatization, process variables;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Risk of Secondary Traumatic Stress in Treating Traumatized Military…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analysed as a risk factor, not as an intervention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Investigating the impact of the RENEW program on enhancing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psychological distress;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Reducing nurses' stress: A randomized controlled trial of a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nursing stress and related measures;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Nurse leader well-being: Optimizing sleep with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sleep, insomnia, resilience;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investigating digital resilience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work engagement, intention to leave;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Among Healthcare Staff: A Randomized Controlled Trial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perceived 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mindfulness-based stress reduction on ICU nurses' resilience…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tailored online mindfulness intervention for junior doctors: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mindfulness, stress, self-compassion, occupational stress, engagement;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Head start staff well-being: early impact results from a cluster…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full text not openly accessible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the Online Sport-Specific Mindfulemotions Program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(mindfulness, self-compassion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a Digital Mindful Self-Compassion Intervention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composite only; burnout subscale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Online Mindfulness Training to Improve Well-Being in K-12…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well-being, mindfulness skills;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Mental and physical training with meditation and aerobic exercise…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ProQOL burnout subscale administered but not analysed or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Design and Implementation of a Brief Digital Mindfulness and Compassion…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self-compassion, mindfulness, EEG;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Loving-Kindness Meditation on Compassion Fatigue of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inventory only;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Precision targeting of teacher burnout using network-informed ecological…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dimensions used only as nodes of an EMA network index</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Randomized Controlled Trial of a Web-Based Intervention to Disseminate…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guideline familiarity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an ambient digital scribe on typing and note quality: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typing workload and note quality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serious game to enhance empathy for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empathy and personal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WeChat-based 'three good things' on turnover intention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turnover intention and coping style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WeChat-based "Three Good Things" positive psychotherapy for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job performance and self-efficacy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during work breaks to reduce fatigue of intensive 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 anxiety and fatigue during breaks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Adaptive Neurostimulation Methods in Correcting Posttraumatic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stress-state indicators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Just-in-Time Teaching (JiTT) Screencasts: A Randomized Controlled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clinical confidence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well-being during COVID-19: results from a randomized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well-being, happiness and anxiety</w:t>
            </w:r>
          </w:p>
        </w:tc>
      </w:tr>
      <w:tr>
        <w:tc>
          <w:tcPr>
            <w:tcW w:type="dxa" w:w="655"/>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c>
          <w:tcPr>
            <w:tcW w:type="dxa" w:w="3463"/>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243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C. Included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749"/>
        <w:gridCol w:w="468"/>
        <w:gridCol w:w="2808"/>
        <w:gridCol w:w="936"/>
        <w:gridCol w:w="749"/>
        <w:gridCol w:w="1123"/>
        <w:gridCol w:w="655"/>
        <w:gridCol w:w="655"/>
        <w:gridCol w:w="655"/>
      </w:tblGrid>
      <w:tr>
        <w:trPr>
          <w:tblHeader/>
        </w:trPr>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Reports</w:t>
            </w:r>
          </w:p>
        </w:tc>
        <w:tc>
          <w:tcPr>
            <w:tcW w:type="dxa" w:w="46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Year</w:t>
            </w:r>
          </w:p>
        </w:tc>
        <w:tc>
          <w:tcPr>
            <w:tcW w:type="dxa" w:w="280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Occupation</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Delivery</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Approach or mechanism</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Comparator</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Burnout measure</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and acceptability of a culturally adapted psychological first aid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Digital Mental Health Screening Alone and With the Online MINDBODYSTRONG…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mHealth aided 12-week meditation and breath intervention on change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 Care Workers' Need for Headspace: Findings From a Multisite Definitive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efficacy of a positive emotion regulation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Intervention for the Reduction of Compassion Fatigue and Burnout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Minimal Individual or Group Enhancement in an eHealth Program on Mental…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preliminary efficacy of a mental health self-management…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an Internet-Based Acceptance and Commitment Therapy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Hybrid Delivery of Mindfulness Meditation and Perceived Stress in Pediatric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mindfulness- and compassion-based online intervention for physician…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employees' work-related well-being and physical health through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Among Health Care Workers: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Alleviating Nurse Burnout With an Artificial Intelligence-Selected Mobile Cognitive…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Harness your best self! Testing the feasibility and efficacy of a novel strengths-based…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Mobile Phone-Based Intervention to Reduce Mental Health Problems in Health 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 R091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Web-Based Mindfulness Stress Management Program in a Corporate Call Center: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Web-Based Stress Management Intervention for Beginning Teachers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chatbot in improving the mental wellbeing of health workers in Malawi…</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Chatbot</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Emotional Freedom Techniques on nurses' stress, anxiety, and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brief psychological intervention to reduce distress in healthcare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Exploring the feasibility of a web-based positive psychology program among…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Inner Engineering Online (IEO) Program on Reducing Stress for Information…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Mobile-Delivered Exercise and Yoga Programs on Depressive Symptom…</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job crafting as a digital health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Work-Focused Versus Generic Internet-Based Interventions for Employees With…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Developing Self-Compassion in Healthcare Professionals Utilising a Brief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health interventions for occupational burnout in healthcare professionals: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Resource-Based Internet Intervention (Med-Stress) to Improve Well-Being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Workplace Intervention Program With Web-Based Online and Offline…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Novel Online Group-Coaching Program to Reduce Burnout in Female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Feasibility Study to Evaluate the Online Delivery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trial comparing two models of web-based training in cognitive-behavioral…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Self-paced acceptance and commitment training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'Dear Doctor': a randomised controlled trial of a text message intervention to reduce…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Sudarshan Kriya Yoga Breathing and a Meditation Program for Burnout Among Physicians: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an Online Group-Coaching Program on Ambulatory Faculty Physician Well-Being: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stress management for distressed managers: results from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Smartphone App to Reduce Burnout in the Emergency Department: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Well-Being Group Coaching Program for Women Physician Trainees: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Selective Prevention of Depression in Workers Using a Smartphone App: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mobile mindfulness on emergency department work stress: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AI-Assisted Tailored Intervention for Nurse Burnout: A Three-Group Randomized Controlled…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 R080, R136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the "WISER" intervention to reduce healthcare worker…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emotion-focused training for helping professionals.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Intervention for job burnout reduction among a sample of Nigerian lecturers.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Meditation to Target Employee Stress: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Personalised yoga for burnout and traumatic stress in junior doctors.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preliminary comparison of the efficacy of online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Mindfulness-Based Cognitive Therapy (MBCT) Intervention to Improve Resilience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an Online Positive Psychology Intervention among Healthcare…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Social Work and Self-Care with Social Work Professionals: Replication…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study of an online intervention to promote job satisfaction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expressive writing as a tool for alleviating burnout and enhancing wellbeing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online content-focused coaching on reducing the risk of professional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an online four-session loving-kindness and compassion meditation training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AIZEN Digital Meditation Intervention for Caregiver Burnout in Taiwan—A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Healing the healers: A pilot randomised controlled trial to assess the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an internet-based problem-solving training for teachers: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the effectiveness of two mobile cognitive behavioral interventions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and Mechanisms of a Web- and Mobile-Based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randomised trial of Mindfulness-based Social Work and Self-Care with social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the mobile application Holidaily in reducing work-related rumination…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Learning how to recover from stress: Results from an internet-based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Mindfulness for Psychological Distress and Burnout among Frontline COVID-19…</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an online stress intervention on burnout and teacher efficacy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an eHealth Intervention to Reduce Sickness Absence Frequency Among Employees…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online support program for nurses with COVID-19 patients on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vs. face-to-face laughter yoga to support nurses' well-being: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Self-care for teachers-evaluation of the effects of a prevention and health-promoting…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Investigating a brief intervention to instill a self-compassionate perspective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intrusive memories after trauma via an imagery-competing task intervention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trial of personalized psychological feedback from a longitudinal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Does a phone-based meditation application improve mental wellness in emergency medicine…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12 Weeks of At-Home, Application-Based Exercise on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288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 self-compassion training reduces stress and burnout symptoms among practicing…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Engagement Strategy and Health Care Worker Mental Health: A Randomized Clinical…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 Applications: Can They Serve as a Stress, Anxiety, and Burnout Reduction…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helpers' stress: Effectiveness of a web-based intervention for professionals working…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Well-Being Outcomes of Health Care Workers after a 5-Hour Continuing Education…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Prevention and Mobile Mindfulness: Evaluation of an App-Based Health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Optimizing Intervention Components of a Preventive Stress Management mHealth…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Pragmatic Parental Support to Mitigate Burnout Among Pregnant and Postpartum Trainees: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workplace or practical support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trauma-informed care video training program for midwives: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Ambient AI Scribes in Clinical Practice: A Randomized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Feasibility and Impact of an Asynchronous Interprofessional Well-Being Course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Influence of Artificial Intelligence Scribes on Clinician Experience and Efficiency…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Mitigating the stress of transition: An exploration of the effects and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Serial Anthropometric Measurements and Motivational Text Messages on Weight…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Online Physician Training Can Improve Patient Experience and Physician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‘Interapy’ Burn-out: Prävention und Behandlung von Burn-out über das Internet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Preschool teachers’ self-efficacy, burnout, and stress in online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 it Too Optimistic to Assume Light Touch Interventions can Improve Educational…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Symptoms among Millennial Teachers in India: The Efficacy of the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Cellphone text messages that disclose secondary emotions reduce burnout in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 Biosensor Monitoring, Machine Learning–Based Burnout Risk Prediction,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w:t>
            </w:r>
          </w:p>
        </w:tc>
      </w:tr>
      <w:tr>
        <w:tc>
          <w:tcPr>
            <w:tcW w:type="dxa" w:w="562"/>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468"/>
            <w:tcBorders>
              <w:top w:val="single" w:color="808080" w:sz="4"/>
              <w:left w:val="none" w:color="FFFFFF" w:sz="0"/>
              <w:bottom w:val="none" w:color="FFFFFF" w:sz="0"/>
              <w:right w:val="none" w:color="FFFFFF" w:sz="0"/>
            </w:tcBorders>
          </w:tcPr>
          <w:p/>
        </w:tc>
        <w:tc>
          <w:tcPr>
            <w:tcW w:type="dxa" w:w="2808"/>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Burnout measure: instrument named in the abstract (— not named). n: participants randomized (NR, not reported). DOIs and full titles are given in study_charting.csv.</w:t>
      </w:r>
    </w:p>
    <w:p>
      <w:r>
        <w:br w:type="page"/>
      </w:r>
    </w:p>
    <w:p>
      <w:pPr>
        <w:pStyle w:val="Heading1"/>
        <w:spacing w:after="180" w:before="360"/>
      </w:pPr>
      <w:r>
        <w:rPr>
          <w:rFonts w:ascii="Times New Roman" w:cs="Times New Roman" w:eastAsia="Times New Roman" w:hAnsi="Times New Roman"/>
          <w:b/>
          <w:bCs/>
          <w:sz w:val="28"/>
          <w:szCs w:val="28"/>
        </w:rPr>
        <w:t xml:space="preserve">Appendix D. Completed registrations on ClinicalTrials.gov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527"/>
        <w:gridCol w:w="936"/>
        <w:gridCol w:w="842"/>
        <w:gridCol w:w="655"/>
        <w:gridCol w:w="1498"/>
        <w:gridCol w:w="1872"/>
      </w:tblGrid>
      <w:tr>
        <w:trPr>
          <w:tblHeader/>
        </w:trPr>
        <w:tc>
          <w:tcPr>
            <w:tcW w:type="dxa" w:w="103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Allocation</w:t>
            </w:r>
          </w:p>
        </w:tc>
        <w:tc>
          <w:tcPr>
            <w:tcW w:type="dxa" w:w="84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Completion</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Enrolled</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Status</w:t>
            </w:r>
          </w:p>
        </w:tc>
        <w:tc>
          <w:tcPr>
            <w:tcW w:type="dxa" w:w="187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Note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NCT04897165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in Employees and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2016-12-19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(10.1007/s10484-024-09671-0; R007) without randomized allocation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NCT02540317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Cognitive Behavior Therapy for Stress Disorders: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2017-10-01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(10.1159/000490742) in a clinical sample recruited on chronic stress, not on occupation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NCT04137081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Unwinding Physician Anxiety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2018-08-28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NCT05246800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 Mindfulness Application on Perceived Stess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(10.2196/32123) in a non-clinical general-population sample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Mindfulness Program for Stress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Web-based Implementation for the Science of Enhancing Resilience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2650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 (R076; R080; R136)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Intervention for Occupational Stress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 (R045)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Inner Engineering Online (IEO) Intervention for a Specific Company…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2020-06-07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 (R038)</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Phone Based Intervention to Protect Mental Health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2020-08-24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 (R023)</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a Mobile Application to Reduce Work-related 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2021-06-14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 (R146)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Self-directed Mobile Mindfulness Intervention to Address Distress…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 (R125)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NCT04462484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Self-care Training Program (MAGO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NCT05343208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Online Therapy to Prevent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2022-04-04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NCT05085132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Efficacy Trial of the MindFi App for Stress, Well-being,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2022-05-31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NCT05289596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Sleep Well: Digital Insomnia Treatment Program For Physicians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NCT05036356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Reduction and Engagement App-based Trial of Headspace…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2022-08-05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NCT05474807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2022-12-27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Better Together: an Online Physician Coaching Program for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 (R047)</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NCT04958941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CUIDA-TE, an APP for the Emotional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Protocol published (10.1186/s12888-022-03800-x); no results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2023-08-15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NCT06376825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Efficacy and Acceptability of an Internet-Based Self-Help…</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NCT05998161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the Effectiveness of a Digital Therapeutic (Reviga)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NCT06190353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Development, Acceptability and Preliminary Efficacy of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2024-08-11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NCT06145425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Testing an Evidence-Based Program for Clinician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NCT06149156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Resident Well-being and Performance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2024-12-01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NCT07457801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CARE Study for Paramedics in Singapore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2025-06-30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NCT07474766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Counseling Community for Burnout Prevention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2025-09-05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NCT05274529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Personal Technology Driven Workplace Wellbeing…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2026-09-01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842"/>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872"/>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E. PRISMA-ScR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t>
            </w:r>
          </w:p>
        </w:tc>
        <w:tc>
          <w:tcPr>
            <w:tcW w:type="dxa" w:w="486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374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Reported in</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 page</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Structured summary</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Abstract</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Rationale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Objectives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 final paragraph</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Protocol and registration</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Eligibility criteria</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2.2, Table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Information sources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Table 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Search</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A</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charting process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2.5 and 2.8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items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of individual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3.1, Figure 1, Appendix B</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Characteristics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3.2, Table 3, Appendix 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within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of individual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C; study_charting.csv</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3.3-3.7, Figures 2-3, Tables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Summary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Limitations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Conclusions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Funding</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Declarations</w:t>
            </w:r>
          </w:p>
        </w:tc>
      </w:tr>
      <w:tr>
        <w:tc>
          <w:tcPr>
            <w:tcW w:type="dxa" w:w="749"/>
            <w:tcBorders>
              <w:top w:val="single" w:color="808080" w:sz="4"/>
              <w:left w:val="none" w:color="FFFFFF" w:sz="0"/>
              <w:bottom w:val="none" w:color="FFFFFF" w:sz="0"/>
              <w:right w:val="none" w:color="FFFFFF" w:sz="0"/>
            </w:tcBorders>
          </w:tcPr>
          <w:p/>
        </w:tc>
        <w:tc>
          <w:tcPr>
            <w:tcW w:type="dxa" w:w="4867"/>
            <w:tcBorders>
              <w:top w:val="single" w:color="808080" w:sz="4"/>
              <w:left w:val="none" w:color="FFFFFF" w:sz="0"/>
              <w:bottom w:val="none" w:color="FFFFFF" w:sz="0"/>
              <w:right w:val="none" w:color="FFFFFF" w:sz="0"/>
            </w:tcBorders>
          </w:tcPr>
          <w:p/>
        </w:tc>
        <w:tc>
          <w:tcPr>
            <w:tcW w:type="dxa" w:w="3744"/>
            <w:tcBorders>
              <w:top w:val="single" w:color="808080" w:sz="4"/>
              <w:left w:val="none" w:color="FFFFFF" w:sz="0"/>
              <w:bottom w:val="none" w:color="FFFFFF" w:sz="0"/>
              <w:right w:val="none" w:color="FFFFFF" w:sz="0"/>
            </w:tcBorders>
          </w:tcPr>
          <w:p/>
        </w:tc>
      </w:tr>
    </w:tbl>
    <w:sectPr>
      <w:footerReference w:type="default" r:id="rId6"/>
      <w:pgSz w:w="11907" w:h="16840" w:orient="portrait"/>
      <w:pgMar w:top="1440" w:right="1300" w:bottom="1440" w:left="130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a4a5e32bbc7f4b9217548b5ff67c112671d40cb.png"/><Relationship Id="rId9" Type="http://schemas.openxmlformats.org/officeDocument/2006/relationships/image" Target="media/58871fee5f4077175b7f4cb36be9763984c0cc73.png"/><Relationship Id="rId10" Type="http://schemas.openxmlformats.org/officeDocument/2006/relationships/image" Target="media/d5bb7a8bf28d9158fd076a8706861f4d08aedd1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Randomized Trials of Digital Interventions Reporting Occupational Burnout Outcomes: A Scoping Review and Evidence Map</dc:title>
  <dc:creator>Author</dc:creator>
  <cp:lastModifiedBy>Un-named</cp:lastModifiedBy>
  <cp:revision>1</cp:revision>
  <dcterms:created xsi:type="dcterms:W3CDTF">2026-09-29T01:59:44.774Z</dcterms:created>
  <dcterms:modified xsi:type="dcterms:W3CDTF">2026-09-29T01:59:44.774Z</dcterms:modified>
</cp:coreProperties>
</file>

<file path=docProps/custom.xml><?xml version="1.0" encoding="utf-8"?>
<Properties xmlns="http://schemas.openxmlformats.org/officeDocument/2006/custom-properties" xmlns:vt="http://schemas.openxmlformats.org/officeDocument/2006/docPropsVTypes"/>
</file>