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 in working populations that reported occupational burnout as an outcome.</w:t>
      </w:r>
    </w:p>
    <w:p>
      <w:pPr>
        <w:spacing w:after="160" w:line="400"/>
        <w:jc w:val="both"/>
      </w:pPr>
      <w:r>
        <w:rPr>
          <w:rFonts w:ascii="Times New Roman" w:cs="Times New Roman" w:eastAsia="Times New Roman" w:hAnsi="Times New Roman"/>
          <w:b/>
          <w:bCs/>
          <w:sz w:val="24"/>
          <w:szCs w:val="24"/>
        </w:rPr>
        <w:t xml:space="preserve">Study design:</w:t>
      </w:r>
      <w:r>
        <w:rPr>
          <w:rFonts w:ascii="Times New Roman" w:cs="Times New Roman" w:eastAsia="Times New Roman" w:hAnsi="Times New Roman"/>
          <w:sz w:val="24"/>
          <w:szCs w:val="24"/>
        </w:rPr>
        <w:t xml:space="preserve"> Scoping review and evidence map, reported according to PRISMA-ScR.</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4,991 records, 2,481 were screened and 301 reports assessed. We included 121 reports of 118 trials (27,088 participants in 109 trials reporting numbers). Most trials (64.4%) were first reported from 2023 onwards, and 73 studied healthcare workers. Web programmes (50) and smartphone apps (21) predominated; 21 trials tested non-psychological mechanisms. Waitlist controls were used in 40.8% of trials from 2023. About half of the abstracts (58) named the burnout instrument, and 31 gave a registration number. Of 15 randomised registrations completed by 2023, 4 had no located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the International Classification of Diseases (ICD-11) as an occupational phenomenon.</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Prevalence estimates vary with the instrument and cut-off, but in health care they are high enough to threaten workforce retention and quality of 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 concerns have been raised for teachers, social-care staff and employees in other sectors.</w:t>
      </w:r>
    </w:p>
    <w:p>
      <w:pPr>
        <w:spacing w:after="160" w:line="400"/>
        <w:jc w:val="both"/>
      </w:pPr>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or nurses,</w:t>
      </w:r>
      <w:r>
        <w:rPr>
          <w:rFonts w:ascii="Times New Roman" w:cs="Times New Roman" w:eastAsia="Times New Roman" w:hAnsi="Times New Roman"/>
          <w:sz w:val="24"/>
          <w:szCs w:val="24"/>
          <w:vertAlign w:val="superscript"/>
        </w:rPr>
        <w:t xml:space="preserve">7,8</w:t>
      </w:r>
      <w:r>
        <w:rPr>
          <w:rFonts w:ascii="Times New Roman" w:cs="Times New Roman" w:eastAsia="Times New Roman" w:hAnsi="Times New Roman"/>
          <w:sz w:val="24"/>
          <w:szCs w:val="24"/>
        </w:rPr>
        <w:t xml:space="preserve"> to one therapeutic approach,</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or to broader mental-health outcomes.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 scoping review of digital applications covered healthcare professionals only and did not restrict study design.</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p>
    <w:p>
      <w:pPr>
        <w:spacing w:after="160" w:line="400"/>
        <w:jc w:val="both"/>
      </w:pPr>
      <w:r>
        <w:rPr>
          <w:rFonts w:ascii="Times New Roman" w:cs="Times New Roman" w:eastAsia="Times New Roman" w:hAnsi="Times New Roman"/>
          <w:sz w:val="24"/>
          <w:szCs w:val="24"/>
        </w:rPr>
        <w:t xml:space="preserve">We therefore mapped randomised trials of any digitally delivered intervention in working populations that reported burnout as an outcome. We asked: in which occupational groups and over what period have the trials been done; which delivery modes, approaches and levels of human support were tested; how were the trials designed and reported; and how many registered, completed trials have published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We followed the scoping-review framework of Arksey and 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The protocol was not registered in advance (a retrospective protocol is supplied). Because the review maps evidence, we did not assess risk of bias or synthesise effect sizes.</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p>
    <w:p>
      <w:pPr>
        <w:pStyle w:val="Heading2"/>
        <w:spacing w:after="120" w:before="240"/>
      </w:pPr>
      <w:r>
        <w:rPr>
          <w:rFonts w:ascii="Times New Roman" w:cs="Times New Roman" w:eastAsia="Times New Roman" w:hAnsi="Times New Roman"/>
          <w:b/>
          <w:bCs/>
          <w:i/>
          <w:iCs/>
          <w:sz w:val="24"/>
          <w:szCs w:val="24"/>
        </w:rPr>
        <w:t xml:space="preserve">2.3 Information sources and search</w:t>
      </w:r>
    </w:p>
    <w:p>
      <w:pPr>
        <w:spacing w:after="160" w:line="400"/>
        <w:jc w:val="both"/>
      </w:pPr>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and ERIC (all years) and, for records published from 1 September 2026, in OpenAlex and PubMed. Web of Science and Scopus were not searched again after 29 September 2026. ClinicalTrials.gov was searched on 28 September 2026 for completed interventional registrations with burnout as a condition and a digital term. We did not search PsycINFO, Embase or the Cochrane Central Register of Controlled Trials (no access). We checked the reference lists of five earlier reviews; none led to a further eligible trial (Supplementary Section S2). A unified Europe PMC search alone retrieved 81 of the 121 included reports (67%), so no single database was sufficient. Complete strings, dates and numbers of records are in Supplementary Appendix A and Table S2.</w:t>
      </w:r>
    </w:p>
    <w:p>
      <w:pPr>
        <w:pStyle w:val="Heading2"/>
        <w:spacing w:after="120" w:before="240"/>
      </w:pPr>
      <w:r>
        <w:rPr>
          <w:rFonts w:ascii="Times New Roman" w:cs="Times New Roman" w:eastAsia="Times New Roman" w:hAnsi="Times New Roman"/>
          <w:b/>
          <w:bCs/>
          <w:i/>
          <w:iCs/>
          <w:sz w:val="24"/>
          <w:szCs w:val="24"/>
        </w:rPr>
        <w:t xml:space="preserve">2.4 Selection and verification</w:t>
      </w:r>
    </w:p>
    <w:p>
      <w:pPr>
        <w:spacing w:after="160" w:line="400"/>
        <w:jc w:val="both"/>
      </w:pPr>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31 reports in which the abstract was ambiguous or discrepant or the human reviewer disagreed. We estimated the screening error from a random sample of 45 excluded records.</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four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p>
    <w:p>
      <w:pPr>
        <w:pStyle w:val="Heading2"/>
        <w:spacing w:after="120" w:before="240"/>
      </w:pPr>
      <w:r>
        <w:rPr>
          <w:rFonts w:ascii="Times New Roman" w:cs="Times New Roman" w:eastAsia="Times New Roman" w:hAnsi="Times New Roman"/>
          <w:b/>
          <w:bCs/>
          <w:i/>
          <w:iCs/>
          <w:sz w:val="24"/>
          <w:szCs w:val="24"/>
        </w:rPr>
        <w:t xml:space="preserve">2.6 Registry linkage and synthesis</w:t>
      </w:r>
    </w:p>
    <w:p>
      <w:pPr>
        <w:spacing w:after="160" w:line="400"/>
        <w:jc w:val="both"/>
      </w:pPr>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p>
    <w:p>
      <w:pPr>
        <w:pStyle w:val="Heading2"/>
        <w:spacing w:after="120" w:before="240"/>
      </w:pPr>
      <w:r>
        <w:rPr>
          <w:rFonts w:ascii="Times New Roman" w:cs="Times New Roman" w:eastAsia="Times New Roman" w:hAnsi="Times New Roman"/>
          <w:b/>
          <w:bCs/>
          <w:i/>
          <w:iCs/>
          <w:sz w:val="24"/>
          <w:szCs w:val="24"/>
        </w:rPr>
        <w:t xml:space="preserve">2.7 Use of artificial intelligence in the research process</w:t>
      </w:r>
    </w:p>
    <w:p>
      <w:pPr>
        <w:spacing w:after="160" w:line="400"/>
        <w:jc w:val="both"/>
      </w:pPr>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searches identified 4,991 records; 2,510 duplicates and non-article records were removed and 2,481 records were screened. Of 279 reports assessed from the databases, 160 were excluded (26 were not primary reports, 22 were not randomised, 41 did not study workers, 33 were not digitally delivered, 38 did not report burnout as an outcome); 119 were included, and the registry added 2 (Figure 1). In total, 121 reports of 118 trials were included. The searches added after the main search found 31 of the 118 trials (26.3%), 12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w:t>
      </w:r>
    </w:p>
    <w:p>
      <w:pPr>
        <w:keepNext/>
        <w:spacing w:after="80" w:before="200"/>
        <w:jc w:val="center"/>
      </w:pPr>
      <w:r>
        <w:drawing>
          <wp:inline distT="0" distB="0" distL="0" distR="0">
            <wp:extent cx="5334000" cy="586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Reports are the unit of counting up to the final box; the included reports belong to 118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1 summarises the 118 trials (Supplementary Appendix C). The 109 trials that reported sample size enrolled 27,088 participants (median 109, interquartile range 66-228). The number was randomised or enrolled in 73 of these trials (median 125; 19,787 participants), analysed or completed in 6, and its basis could not be identified from the abstract in 30. Healthcare workers were studied in 73 (61.9%) trials, mental-health and social-care professionals in 7, teachers in 16 and employees of other sectors in 22. Of the trials, 76 (64.4%) were first reported from 2023 onwards (Figure 2); the share studying healthcare workers rose from 23.5% before 2020 to 72.0% in 2020-2022 and 67.1% from 2023, and live online group sessions, absent before 2020, were used in 23 trials from 2023. Web programmes (50 trials) and smartphone apps (21) were the commonest delivery modes. Mindfulness was the most frequent psychological approach (24 trials), and all 6 coaching trials were in physicians (Figure 3).</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Characteristics of the included trials (n = 118)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18 October)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 (64.4%)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(29.7%)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programme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 (82.2%)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 (33.1%)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 (53.4%)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keepNext/>
        <w:spacing w:after="80" w:before="200"/>
        <w:jc w:val="center"/>
      </w:pPr>
      <w:r>
        <w:drawing>
          <wp:inline distT="0" distB="0" distL="0" distR="0">
            <wp:extent cx="4953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118). Data for 2026 cover 1 January to 18 October 2026.</w:t>
      </w:r>
    </w:p>
    <w:p>
      <w:pPr>
        <w:keepNext/>
        <w:spacing w:after="80" w:before="200"/>
        <w:jc w:val="center"/>
      </w:pPr>
      <w:r>
        <w:drawing>
          <wp:inline distT="0" distB="0" distL="0" distR="0">
            <wp:extent cx="5905500" cy="2505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trials by occupational group and intervention approach (n = 118); totals in parentheses, dots mark empty cells.</w:t>
      </w:r>
    </w:p>
    <w:p>
      <w:pPr>
        <w:pStyle w:val="Heading2"/>
        <w:spacing w:after="120" w:before="240"/>
      </w:pPr>
      <w:r>
        <w:rPr>
          <w:rFonts w:ascii="Times New Roman" w:cs="Times New Roman" w:eastAsia="Times New Roman" w:hAnsi="Times New Roman"/>
          <w:b/>
          <w:bCs/>
          <w:i/>
          <w:iCs/>
          <w:sz w:val="24"/>
          <w:szCs w:val="24"/>
        </w:rPr>
        <w:t xml:space="preserve">3.3 Interventions, comparators and support</w:t>
      </w:r>
    </w:p>
    <w:p>
      <w:pPr>
        <w:spacing w:after="160" w:line="400"/>
        <w:jc w:val="both"/>
      </w:pPr>
      <w:r>
        <w:rPr>
          <w:rFonts w:ascii="Times New Roman" w:cs="Times New Roman" w:eastAsia="Times New Roman" w:hAnsi="Times New Roman"/>
          <w:sz w:val="24"/>
          <w:szCs w:val="24"/>
        </w:rPr>
        <w:t xml:space="preserve">A mechanism that was not psychological was tested in 21 trials (17.8%): professional training (9), physical activity or health behaviour (6), feedback or navigation (3) and workflow automation (3, all ambient AI scribes for physicians). Of these, 12 were found only by the searches added after the main search. A waitlist or delayed-access comparator was used in 39 (33.1%) trials, an active or attention control in 32 (27.1%) and usual practice in 27 (22.9%); waitlists rose from 19.0% of trials before 2023 to 40.8% from 2023 (Table 2). Self-guided or automated interventions (50) and human-supported interventions (50) were equally common; support depended on delivery mode (24 of 25 live programmes were facilitated, 20 of 21 apps self-guided).</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49.2</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3.4 Reporting of burnout and of trial features in abstracts</w:t>
      </w:r>
    </w:p>
    <w:p>
      <w:pPr>
        <w:spacing w:after="160" w:line="400"/>
        <w:jc w:val="both"/>
      </w:pPr>
      <w:r>
        <w:rPr>
          <w:rFonts w:ascii="Times New Roman" w:cs="Times New Roman" w:eastAsia="Times New Roman" w:hAnsi="Times New Roman"/>
          <w:sz w:val="24"/>
          <w:szCs w:val="24"/>
        </w:rPr>
        <w:t xml:space="preserve">The burnout instrument was named in 58 (49.2%) abstracts; the full text identified it for 56 of the other 60, and 4 remained undetermined. The Maslach Burnout Inventory or an adaptation was used in 63 (53.4%) trials, followed by the Copenhagen (13) and Oldenburg (10) inventories. In the abstracts, a registration number was given in 31 (26.3%) trials, attrition or analysed numbers in 32 (27.1%), an analysis population in 17 (14.4%), blinding in 13 (11.0%) and a randomisation method in 7 (5.9%). The abstract reported a burnout result favouring the intervention in 50 (42.4%) trials, a mixed result (one subscale, subgroup, arm or time point) in 27 (22.9%), no difference in 20 (16.9%) and an unfavourable result in 2 (1.7%); 4 (3.4%) reported improvement in all arms and 15 (12.7%) stated no burnout result. These codes describe reporting and are not effect estimates (Supplementary Table S3). On the verification sample the reviewers' direction codes agreed for 17 of 23 trials (74%; kappa 0.62) and the indicator judgements for 110 of 115 (96%).</w:t>
      </w:r>
    </w:p>
    <w:p>
      <w:pPr>
        <w:pStyle w:val="Heading2"/>
        <w:spacing w:after="120" w:before="240"/>
      </w:pPr>
      <w:r>
        <w:rPr>
          <w:rFonts w:ascii="Times New Roman" w:cs="Times New Roman" w:eastAsia="Times New Roman" w:hAnsi="Times New Roman"/>
          <w:b/>
          <w:bCs/>
          <w:i/>
          <w:iCs/>
          <w:sz w:val="24"/>
          <w:szCs w:val="24"/>
        </w:rPr>
        <w:t xml:space="preserve">3.5 Registered trials</w:t>
      </w:r>
    </w:p>
    <w:p>
      <w:pPr>
        <w:spacing w:after="160" w:line="400"/>
        <w:jc w:val="both"/>
      </w:pPr>
      <w:r>
        <w:rPr>
          <w:rFonts w:ascii="Times New Roman" w:cs="Times New Roman" w:eastAsia="Times New Roman" w:hAnsi="Times New Roman"/>
          <w:sz w:val="24"/>
          <w:szCs w:val="24"/>
        </w:rPr>
        <w:t xml:space="preserve">Of the 28 completed registrations, 19 were randomised and 15 of these had been completed by the end of 2023. A results report was included in this review for 9, results of 2 had been published outside its scope, and for 4 (26.7%) no results report was located (Supplementary Table S4).</w:t>
      </w:r>
    </w:p>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118 randomised trials of digitally delivered interventions that reported burnout in working populations. The evidence is recent: 64.4% of the trials were first reported from 2023 onwards, and the field changed after 2020 in who was studied and how interventions were delivered. It is concentrated in healthcare (61.9%), while teachers and employees of other sectors together contribute 32.2%. Most trials test psychological programmes that ask the individual worker to change (82.2%), whereas interventions that change training, work processes or practical conditions are a small and partly hidden part of the literature: 12 of 21 were found only by the searches without an intervention block. Design and reporting leave room for improvement: waitlist controls are common and were used in 40.8% of the most recent trials, the typical trial is small, only about half of the abstracts (49.2%) name the burnout instrument, and no results could be found for 4 of 15 registered trials completed by 2023. The rise since 2020 describes published trials, not trials started, and is compatible with, but does not show, an effect of the pandemic.</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Earlier reviews were limited to one profession and pooled effects,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covered healthcare workers regardless of delivery 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 targeted stress and burnout prevention in nurses and physicians.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By restricting design to randomised trials and outcome to burnout while admitting any occupation and mechanism, this review complements them (Supplementary Table S5).</w:t>
      </w:r>
    </w:p>
    <w:p>
      <w:pPr>
        <w:pStyle w:val="Heading2"/>
        <w:spacing w:after="120" w:before="240"/>
      </w:pPr>
      <w:r>
        <w:rPr>
          <w:rFonts w:ascii="Times New Roman" w:cs="Times New Roman" w:eastAsia="Times New Roman" w:hAnsi="Times New Roman"/>
          <w:b/>
          <w:bCs/>
          <w:i/>
          <w:iCs/>
          <w:sz w:val="24"/>
          <w:szCs w:val="24"/>
        </w:rPr>
        <w:t xml:space="preserve">4.3 Implications for trials and reporting</w:t>
      </w:r>
    </w:p>
    <w:p>
      <w:pPr>
        <w:spacing w:after="160" w:line="400"/>
        <w:jc w:val="both"/>
      </w:pPr>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r>
        <w:rPr>
          <w:rFonts w:ascii="Times New Roman" w:cs="Times New Roman" w:eastAsia="Times New Roman" w:hAnsi="Times New Roman"/>
          <w:sz w:val="24"/>
          <w:szCs w:val="24"/>
          <w:vertAlign w:val="superscript"/>
        </w:rPr>
        <w:t xml:space="preserve">20</w:t>
      </w:r>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r>
        <w:rPr>
          <w:rFonts w:ascii="Times New Roman" w:cs="Times New Roman" w:eastAsia="Times New Roman" w:hAnsi="Times New Roman"/>
          <w:sz w:val="24"/>
          <w:szCs w:val="24"/>
          <w:vertAlign w:val="superscript"/>
        </w:rPr>
        <w:t xml:space="preserve">21,22</w:t>
      </w:r>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but we searched ClinicalTrials.gov only.</w:t>
      </w:r>
    </w:p>
    <w:p>
      <w:pPr>
        <w:pStyle w:val="Heading2"/>
        <w:spacing w:after="120" w:before="240"/>
      </w:pPr>
      <w:r>
        <w:rPr>
          <w:rFonts w:ascii="Times New Roman" w:cs="Times New Roman" w:eastAsia="Times New Roman" w:hAnsi="Times New Roman"/>
          <w:b/>
          <w:bCs/>
          <w:i/>
          <w:iCs/>
          <w:sz w:val="24"/>
          <w:szCs w:val="24"/>
        </w:rPr>
        <w:t xml:space="preserve">4.4 Strengths and limitations</w:t>
      </w:r>
    </w:p>
    <w:p>
      <w:pPr>
        <w:spacing w:after="160" w:line="400"/>
        <w:jc w:val="both"/>
      </w:pPr>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four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trials that measured burnout only as a secondary outcome reported in the full text can be missed (one was found through the registry; of the 37 reports excluded on abstracts for lack of a burnout outcome, we read the open-access full text of 15 and none qualified, but 22 could not be accessed),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Randomised evidence on digital interventions for occupational burnout has grown quickly since 2020 and now comprises 118 trials, concentrated in healthcare and in psychological programmes for individual workers. Recent trials rely more often on waitlist controls, many are small pilots, and abstracts often omit the burnout instrument and basic trial features. Future trials should include workers outside healthcare, test interventions that change training and work processes, use active or usual-practice comparators, and report the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availability:</w:t>
      </w:r>
      <w:r>
        <w:rPr>
          <w:rFonts w:ascii="Times New Roman" w:cs="Times New Roman" w:eastAsia="Times New Roman" w:hAnsi="Times New Roman"/>
          <w:sz w:val="24"/>
          <w:szCs w:val="24"/>
        </w:rPr>
        <w:t xml:space="preserve"> The ledger of all 301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p>
    <w:p>
      <w:pPr>
        <w:pStyle w:val="Heading1"/>
        <w:spacing w:after="180" w:before="360"/>
      </w:pPr>
      <w:r>
        <w:rPr>
          <w:rFonts w:ascii="Times New Roman" w:cs="Times New Roman" w:eastAsia="Times New Roman" w:hAnsi="Times New Roman"/>
          <w:b/>
          <w:bCs/>
          <w:sz w:val="28"/>
          <w:szCs w:val="28"/>
        </w:rPr>
        <w:t xml:space="preserve">Declaration of generative AI and AI-assisted technologies in the writing process</w:t>
      </w:r>
    </w:p>
    <w:p>
      <w:pPr>
        <w:spacing w:after="160" w:line="400"/>
        <w:jc w:val="both"/>
      </w:pPr>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World Health Organization. Burn-out an "occupational phenomenon": International Classification of Diseases. WHO. May 28, 2019. Accessed September 20, 2026. https://www.who.int/news/item/28-05-2019-burn-out-an-occupational-phenomenon-international-classification-of-diseases</w:t>
      </w:r>
    </w:p>
    <w:p>
      <w:pPr>
        <w:spacing w:after="100" w:line="300"/>
        <w:ind w:left="440" w:hanging="44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Maslach C, Leiter MP. Understanding the burnout experience: recent research and its implications for psychiatry. </w:t>
      </w:r>
      <w:r>
        <w:rPr>
          <w:rFonts w:ascii="Times New Roman" w:cs="Times New Roman" w:eastAsia="Times New Roman" w:hAnsi="Times New Roman"/>
          <w:i/>
          <w:iCs/>
          <w:sz w:val="22"/>
          <w:szCs w:val="22"/>
        </w:rPr>
        <w:t xml:space="preserve">World Psychiatry</w:t>
      </w:r>
      <w:r>
        <w:rPr>
          <w:rFonts w:ascii="Times New Roman" w:cs="Times New Roman" w:eastAsia="Times New Roman" w:hAnsi="Times New Roman"/>
          <w:sz w:val="22"/>
          <w:szCs w:val="22"/>
        </w:rPr>
        <w:t xml:space="preserve">. 2016;15(2):103-111. doi:10.1002/wps.20311</w:t>
      </w:r>
    </w:p>
    <w:p>
      <w:pPr>
        <w:spacing w:after="100" w:line="300"/>
        <w:ind w:left="440" w:hanging="44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Rotenstein LS, Torre M, Ramos MA, et al. Prevalence of burnout among physicians: a systematic review. </w:t>
      </w:r>
      <w:r>
        <w:rPr>
          <w:rFonts w:ascii="Times New Roman" w:cs="Times New Roman" w:eastAsia="Times New Roman" w:hAnsi="Times New Roman"/>
          <w:i/>
          <w:iCs/>
          <w:sz w:val="22"/>
          <w:szCs w:val="22"/>
        </w:rPr>
        <w:t xml:space="preserve">JAMA</w:t>
      </w:r>
      <w:r>
        <w:rPr>
          <w:rFonts w:ascii="Times New Roman" w:cs="Times New Roman" w:eastAsia="Times New Roman" w:hAnsi="Times New Roman"/>
          <w:sz w:val="22"/>
          <w:szCs w:val="22"/>
        </w:rPr>
        <w:t xml:space="preserve">. 2018;320(11):1131-1150. doi:10.1001/jama.2018.12777</w:t>
      </w:r>
    </w:p>
    <w:p>
      <w:pPr>
        <w:spacing w:after="100" w:line="300"/>
        <w:ind w:left="440" w:hanging="44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West CP, Dyrbye LN, Shanafelt TD. Physician burnout: contributors, consequences and solutions. </w:t>
      </w:r>
      <w:r>
        <w:rPr>
          <w:rFonts w:ascii="Times New Roman" w:cs="Times New Roman" w:eastAsia="Times New Roman" w:hAnsi="Times New Roman"/>
          <w:i/>
          <w:iCs/>
          <w:sz w:val="22"/>
          <w:szCs w:val="22"/>
        </w:rPr>
        <w:t xml:space="preserve">J Intern Med</w:t>
      </w:r>
      <w:r>
        <w:rPr>
          <w:rFonts w:ascii="Times New Roman" w:cs="Times New Roman" w:eastAsia="Times New Roman" w:hAnsi="Times New Roman"/>
          <w:sz w:val="22"/>
          <w:szCs w:val="22"/>
        </w:rPr>
        <w:t xml:space="preserve">. 2018;283(6):516-529. doi:10.1111/joim.12752</w:t>
      </w:r>
    </w:p>
    <w:p>
      <w:pPr>
        <w:spacing w:after="100" w:line="300"/>
        <w:ind w:left="440" w:hanging="44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West CP, Dyrbye LN, Erwin PJ, Shanafelt TD. Interventions to prevent and reduce physician burnout: a systematic review and meta-analysis. </w:t>
      </w:r>
      <w:r>
        <w:rPr>
          <w:rFonts w:ascii="Times New Roman" w:cs="Times New Roman" w:eastAsia="Times New Roman" w:hAnsi="Times New Roman"/>
          <w:i/>
          <w:iCs/>
          <w:sz w:val="22"/>
          <w:szCs w:val="22"/>
        </w:rPr>
        <w:t xml:space="preserve">Lancet</w:t>
      </w:r>
      <w:r>
        <w:rPr>
          <w:rFonts w:ascii="Times New Roman" w:cs="Times New Roman" w:eastAsia="Times New Roman" w:hAnsi="Times New Roman"/>
          <w:sz w:val="22"/>
          <w:szCs w:val="22"/>
        </w:rPr>
        <w:t xml:space="preserve">. 2016;388(10057):2272-2281. doi:10.1016/S0140-6736(16)31279-X</w:t>
      </w:r>
    </w:p>
    <w:p>
      <w:pPr>
        <w:spacing w:after="100" w:line="300"/>
        <w:ind w:left="440" w:hanging="44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Panagioti M, Panagopoulou E, Bower P, et al. Controlled interventions to reduce burnout in physicians: a systematic review and meta-analysis. </w:t>
      </w:r>
      <w:r>
        <w:rPr>
          <w:rFonts w:ascii="Times New Roman" w:cs="Times New Roman" w:eastAsia="Times New Roman" w:hAnsi="Times New Roman"/>
          <w:i/>
          <w:iCs/>
          <w:sz w:val="22"/>
          <w:szCs w:val="22"/>
        </w:rPr>
        <w:t xml:space="preserve">JAMA Intern Med</w:t>
      </w:r>
      <w:r>
        <w:rPr>
          <w:rFonts w:ascii="Times New Roman" w:cs="Times New Roman" w:eastAsia="Times New Roman" w:hAnsi="Times New Roman"/>
          <w:sz w:val="22"/>
          <w:szCs w:val="22"/>
        </w:rPr>
        <w:t xml:space="preserve">. 2017;177(2):195-205. doi:10.1001/jamainternmed.2016.7674</w:t>
      </w:r>
    </w:p>
    <w:p>
      <w:pPr>
        <w:spacing w:after="100" w:line="300"/>
        <w:ind w:left="440" w:hanging="44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Park JH, Jung SE, Ha DJ, et al. E-healthcare interventions for nurse mental health: a systematic review. </w:t>
      </w:r>
      <w:r>
        <w:rPr>
          <w:rFonts w:ascii="Times New Roman" w:cs="Times New Roman" w:eastAsia="Times New Roman" w:hAnsi="Times New Roman"/>
          <w:i/>
          <w:iCs/>
          <w:sz w:val="22"/>
          <w:szCs w:val="22"/>
        </w:rPr>
        <w:t xml:space="preserve">Medicine (Baltimore)</w:t>
      </w:r>
      <w:r>
        <w:rPr>
          <w:rFonts w:ascii="Times New Roman" w:cs="Times New Roman" w:eastAsia="Times New Roman" w:hAnsi="Times New Roman"/>
          <w:sz w:val="22"/>
          <w:szCs w:val="22"/>
        </w:rPr>
        <w:t xml:space="preserve">. 2022;101(28):e29125. doi:10.1097/MD.0000000000029125</w:t>
      </w:r>
    </w:p>
    <w:p>
      <w:pPr>
        <w:spacing w:after="100" w:line="300"/>
        <w:ind w:left="440" w:hanging="440"/>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2026;14:1879258. doi:10.3389/fpubh.2026.1879258</w:t>
      </w:r>
    </w:p>
    <w:p>
      <w:pPr>
        <w:spacing w:after="100" w:line="300"/>
        <w:ind w:left="440" w:hanging="440"/>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Lampinen VS, Kämper E, Balla VR, Katajavuori N, Asikainen H. The effectiveness of online acceptance and commitment therapy-based interventions on depression, burnout, anxiety and stress in occupational contexts: a systematic narrative review. </w:t>
      </w:r>
      <w:r>
        <w:rPr>
          <w:rFonts w:ascii="Times New Roman" w:cs="Times New Roman" w:eastAsia="Times New Roman" w:hAnsi="Times New Roman"/>
          <w:i/>
          <w:iCs/>
          <w:sz w:val="22"/>
          <w:szCs w:val="22"/>
        </w:rPr>
        <w:t xml:space="preserve">Internet Interv</w:t>
      </w:r>
      <w:r>
        <w:rPr>
          <w:rFonts w:ascii="Times New Roman" w:cs="Times New Roman" w:eastAsia="Times New Roman" w:hAnsi="Times New Roman"/>
          <w:sz w:val="22"/>
          <w:szCs w:val="22"/>
        </w:rPr>
        <w:t xml:space="preserve">. 2026;43:100909. doi:10.1016/j.invent.2026.100909</w:t>
      </w:r>
    </w:p>
    <w:p>
      <w:pPr>
        <w:spacing w:after="100" w:line="300"/>
        <w:ind w:left="440" w:hanging="440"/>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Kunzler AM, Helmreich I, Chmitorz A, et al. Psychological interventions to foster resilience in healthcare professionals. </w:t>
      </w:r>
      <w:r>
        <w:rPr>
          <w:rFonts w:ascii="Times New Roman" w:cs="Times New Roman" w:eastAsia="Times New Roman" w:hAnsi="Times New Roman"/>
          <w:i/>
          <w:iCs/>
          <w:sz w:val="22"/>
          <w:szCs w:val="22"/>
        </w:rPr>
        <w:t xml:space="preserve">Cochrane Database Syst Rev</w:t>
      </w:r>
      <w:r>
        <w:rPr>
          <w:rFonts w:ascii="Times New Roman" w:cs="Times New Roman" w:eastAsia="Times New Roman" w:hAnsi="Times New Roman"/>
          <w:sz w:val="22"/>
          <w:szCs w:val="22"/>
        </w:rPr>
        <w:t xml:space="preserve">. 2020;(7):CD012527. doi:10.1002/14651858.CD012527.pub2</w:t>
      </w:r>
    </w:p>
    <w:p>
      <w:pPr>
        <w:spacing w:after="100" w:line="300"/>
        <w:ind w:left="440" w:hanging="440"/>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2023;11:1231266. doi:10.3389/fpubh.2023.1231266</w:t>
      </w:r>
    </w:p>
    <w:p>
      <w:pPr>
        <w:spacing w:after="100" w:line="300"/>
        <w:ind w:left="440" w:hanging="440"/>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Arksey H, O'Malley L. Scoping studies: towards a methodological framework. </w:t>
      </w:r>
      <w:r>
        <w:rPr>
          <w:rFonts w:ascii="Times New Roman" w:cs="Times New Roman" w:eastAsia="Times New Roman" w:hAnsi="Times New Roman"/>
          <w:i/>
          <w:iCs/>
          <w:sz w:val="22"/>
          <w:szCs w:val="22"/>
        </w:rPr>
        <w:t xml:space="preserve">Int J Soc Res Methodol</w:t>
      </w:r>
      <w:r>
        <w:rPr>
          <w:rFonts w:ascii="Times New Roman" w:cs="Times New Roman" w:eastAsia="Times New Roman" w:hAnsi="Times New Roman"/>
          <w:sz w:val="22"/>
          <w:szCs w:val="22"/>
        </w:rPr>
        <w:t xml:space="preserve">. 2005;8(1):19-32. doi:10.1080/1364557032000119616</w:t>
      </w:r>
    </w:p>
    <w:p>
      <w:pPr>
        <w:spacing w:after="100" w:line="300"/>
        <w:ind w:left="440" w:hanging="440"/>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Levac D, Colquhoun H, O'Brien KK. Scoping studies: advancing the methodology. </w:t>
      </w:r>
      <w:r>
        <w:rPr>
          <w:rFonts w:ascii="Times New Roman" w:cs="Times New Roman" w:eastAsia="Times New Roman" w:hAnsi="Times New Roman"/>
          <w:i/>
          <w:iCs/>
          <w:sz w:val="22"/>
          <w:szCs w:val="22"/>
        </w:rPr>
        <w:t xml:space="preserve">Implement Sci</w:t>
      </w:r>
      <w:r>
        <w:rPr>
          <w:rFonts w:ascii="Times New Roman" w:cs="Times New Roman" w:eastAsia="Times New Roman" w:hAnsi="Times New Roman"/>
          <w:sz w:val="22"/>
          <w:szCs w:val="22"/>
        </w:rPr>
        <w:t xml:space="preserve">. 2010;5:69. doi:10.1186/1748-5908-5-69</w:t>
      </w:r>
    </w:p>
    <w:p>
      <w:pPr>
        <w:spacing w:after="100" w:line="300"/>
        <w:ind w:left="440" w:hanging="440"/>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Peters MDJ, Godfrey C, McInerney P, et al. Chapter 11: scoping reviews. In: Aromataris E, Munn Z, eds. </w:t>
      </w:r>
      <w:r>
        <w:rPr>
          <w:rFonts w:ascii="Times New Roman" w:cs="Times New Roman" w:eastAsia="Times New Roman" w:hAnsi="Times New Roman"/>
          <w:i/>
          <w:iCs/>
          <w:sz w:val="22"/>
          <w:szCs w:val="22"/>
        </w:rPr>
        <w:t xml:space="preserve">JBI Manual for Evidence Synthesis</w:t>
      </w:r>
      <w:r>
        <w:rPr>
          <w:rFonts w:ascii="Times New Roman" w:cs="Times New Roman" w:eastAsia="Times New Roman" w:hAnsi="Times New Roman"/>
          <w:sz w:val="22"/>
          <w:szCs w:val="22"/>
        </w:rPr>
        <w:t xml:space="preserve">. JBI; 2020. doi:10.46658/JBIMES-20-12</w:t>
      </w:r>
    </w:p>
    <w:p>
      <w:pPr>
        <w:spacing w:after="100" w:line="300"/>
        <w:ind w:left="440" w:hanging="440"/>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Tricco AC, Lillie E, Zarin W, et al. PRISMA Extension for Scoping Reviews (PRISMA-ScR): checklist and explanation. </w:t>
      </w:r>
      <w:r>
        <w:rPr>
          <w:rFonts w:ascii="Times New Roman" w:cs="Times New Roman" w:eastAsia="Times New Roman" w:hAnsi="Times New Roman"/>
          <w:i/>
          <w:iCs/>
          <w:sz w:val="22"/>
          <w:szCs w:val="22"/>
        </w:rPr>
        <w:t xml:space="preserve">Ann Intern Med</w:t>
      </w:r>
      <w:r>
        <w:rPr>
          <w:rFonts w:ascii="Times New Roman" w:cs="Times New Roman" w:eastAsia="Times New Roman" w:hAnsi="Times New Roman"/>
          <w:sz w:val="22"/>
          <w:szCs w:val="22"/>
        </w:rPr>
        <w:t xml:space="preserve">. 2018;169(7):467-473. doi:10.7326/M18-0850</w:t>
      </w:r>
    </w:p>
    <w:p>
      <w:pPr>
        <w:spacing w:after="100" w:line="300"/>
        <w:ind w:left="440" w:hanging="440"/>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Page MJ, McKenzie JE, Bossuyt PM, et al. The PRISMA 2020 statement: an updated guideline for reporting systematic reviews.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2021;372:n71. doi:10.1136/bmj.n71</w:t>
      </w:r>
    </w:p>
    <w:p>
      <w:pPr>
        <w:spacing w:after="100" w:line="300"/>
        <w:ind w:left="440" w:hanging="440"/>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r>
        <w:rPr>
          <w:rFonts w:ascii="Times New Roman" w:cs="Times New Roman" w:eastAsia="Times New Roman" w:hAnsi="Times New Roman"/>
          <w:i/>
          <w:iCs/>
          <w:sz w:val="22"/>
          <w:szCs w:val="22"/>
        </w:rPr>
        <w:t xml:space="preserve">Syst Rev</w:t>
      </w:r>
      <w:r>
        <w:rPr>
          <w:rFonts w:ascii="Times New Roman" w:cs="Times New Roman" w:eastAsia="Times New Roman" w:hAnsi="Times New Roman"/>
          <w:sz w:val="22"/>
          <w:szCs w:val="22"/>
        </w:rPr>
        <w:t xml:space="preserve">. 2021;10(1):39. doi:10.1186/s13643-020-01542-z</w:t>
      </w:r>
    </w:p>
    <w:p>
      <w:pPr>
        <w:spacing w:after="100" w:line="300"/>
        <w:ind w:left="440" w:hanging="440"/>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Clopper CJ, Pearson ES. The use of confidence or fiducial limits illustrated in the case of the binomial. </w:t>
      </w:r>
      <w:r>
        <w:rPr>
          <w:rFonts w:ascii="Times New Roman" w:cs="Times New Roman" w:eastAsia="Times New Roman" w:hAnsi="Times New Roman"/>
          <w:i/>
          <w:iCs/>
          <w:sz w:val="22"/>
          <w:szCs w:val="22"/>
        </w:rPr>
        <w:t xml:space="preserve">Biometrika</w:t>
      </w:r>
      <w:r>
        <w:rPr>
          <w:rFonts w:ascii="Times New Roman" w:cs="Times New Roman" w:eastAsia="Times New Roman" w:hAnsi="Times New Roman"/>
          <w:sz w:val="22"/>
          <w:szCs w:val="22"/>
        </w:rPr>
        <w:t xml:space="preserve">. 1934;26(4):404-413. doi:10.1093/biomet/26.4.404</w:t>
      </w:r>
    </w:p>
    <w:p>
      <w:pPr>
        <w:spacing w:after="100" w:line="300"/>
        <w:ind w:left="440" w:hanging="440"/>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Furukawa TA, Noma H, Caldwell DM, et al. Waiting list may be a nocebo condition in psychotherapy trials: a contribution from network meta-analysis. </w:t>
      </w:r>
      <w:r>
        <w:rPr>
          <w:rFonts w:ascii="Times New Roman" w:cs="Times New Roman" w:eastAsia="Times New Roman" w:hAnsi="Times New Roman"/>
          <w:i/>
          <w:iCs/>
          <w:sz w:val="22"/>
          <w:szCs w:val="22"/>
        </w:rPr>
        <w:t xml:space="preserve">Acta Psychiatr Scand</w:t>
      </w:r>
      <w:r>
        <w:rPr>
          <w:rFonts w:ascii="Times New Roman" w:cs="Times New Roman" w:eastAsia="Times New Roman" w:hAnsi="Times New Roman"/>
          <w:sz w:val="22"/>
          <w:szCs w:val="22"/>
        </w:rPr>
        <w:t xml:space="preserve">. 2014;130(3):181-192. doi:10.1111/acps.12275</w:t>
      </w:r>
    </w:p>
    <w:p>
      <w:pPr>
        <w:spacing w:after="100" w:line="300"/>
        <w:ind w:left="440" w:hanging="440"/>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Schaufeli WB, De Witte H, Desart S. Burnout Assessment Tool (BAT): development, validity, and reliability. </w:t>
      </w:r>
      <w:r>
        <w:rPr>
          <w:rFonts w:ascii="Times New Roman" w:cs="Times New Roman" w:eastAsia="Times New Roman" w:hAnsi="Times New Roman"/>
          <w:i/>
          <w:iCs/>
          <w:sz w:val="22"/>
          <w:szCs w:val="22"/>
        </w:rPr>
        <w:t xml:space="preserve">Int J Environ Res Public Health</w:t>
      </w:r>
      <w:r>
        <w:rPr>
          <w:rFonts w:ascii="Times New Roman" w:cs="Times New Roman" w:eastAsia="Times New Roman" w:hAnsi="Times New Roman"/>
          <w:sz w:val="22"/>
          <w:szCs w:val="22"/>
        </w:rPr>
        <w:t xml:space="preserve">. 2020;17(24):9495. doi:10.3390/ijerph17249495</w:t>
      </w:r>
    </w:p>
    <w:p>
      <w:pPr>
        <w:spacing w:after="100" w:line="300"/>
        <w:ind w:left="440" w:hanging="440"/>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Schulz KF, Altman DG, Moher D; CONSORT Group. CONSORT 2010 statement: updated guidelines for reporting parallel group randomised trials.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2010;340:c332. doi:10.1136/bmj.c332</w:t>
      </w:r>
    </w:p>
    <w:p>
      <w:pPr>
        <w:spacing w:after="100" w:line="300"/>
        <w:ind w:left="440" w:hanging="440"/>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Eysenbach G; CONSORT-EHEALTH Group. CONSORT-EHEALTH: improving and standardizing evaluation reports of web-based and mobile health interventions. </w:t>
      </w:r>
      <w:r>
        <w:rPr>
          <w:rFonts w:ascii="Times New Roman" w:cs="Times New Roman" w:eastAsia="Times New Roman" w:hAnsi="Times New Roman"/>
          <w:i/>
          <w:iCs/>
          <w:sz w:val="22"/>
          <w:szCs w:val="22"/>
        </w:rPr>
        <w:t xml:space="preserve">J Med Internet Res</w:t>
      </w:r>
      <w:r>
        <w:rPr>
          <w:rFonts w:ascii="Times New Roman" w:cs="Times New Roman" w:eastAsia="Times New Roman" w:hAnsi="Times New Roman"/>
          <w:sz w:val="22"/>
          <w:szCs w:val="22"/>
        </w:rPr>
        <w:t xml:space="preserve">. 2011;13(4):e126. doi:10.2196/jmir.1923</w:t>
      </w:r>
    </w:p>
    <w:p>
      <w:pPr>
        <w:spacing w:after="100" w:line="300"/>
        <w:ind w:left="440" w:hanging="440"/>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Chen R, Desai NR, Ross JS, et al. Publication and reporting of clinical trial results: cross sectional analysis across academic medical centers.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2016;352:i637. doi:10.1136/bmj.i637</w:t>
      </w:r>
    </w:p>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caf5ba93e9934acab1c359739e1c64b1aad7f8.png"/><Relationship Id="rId9" Type="http://schemas.openxmlformats.org/officeDocument/2006/relationships/image" Target="media/0a4f3328deafc343f4987d86806085b935c14445.png"/><Relationship Id="rId10" Type="http://schemas.openxmlformats.org/officeDocument/2006/relationships/image" Target="media/10e9eb290037c844bd5d5a095e5673f06fab9d1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Randomised Trials of Digital Interventions Reporting Occupational Burnout Outcomes: A Scoping Review and Evidence Map</dc:title>
  <cp:lastModifiedBy>Un-named</cp:lastModifiedBy>
  <cp:revision>1</cp:revision>
  <dcterms:created xsi:type="dcterms:W3CDTF">2026-10-18T12:18:52.375Z</dcterms:created>
  <dcterms:modified xsi:type="dcterms:W3CDTF">2026-10-18T12:18:52.375Z</dcterms:modified>
</cp:coreProperties>
</file>

<file path=docProps/custom.xml><?xml version="1.0" encoding="utf-8"?>
<Properties xmlns="http://schemas.openxmlformats.org/officeDocument/2006/custom-properties" xmlns:vt="http://schemas.openxmlformats.org/officeDocument/2006/docPropsVTypes"/>
</file>