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5,000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234 reports were assessed. We included 110 reports of 107 trials (27,412 participants; median 119 per trial). 20 trials, 13 of them with non-psychological mechanisms, were found only by the supplementary search. Of all trials, 62.6% were first reported from 2023 onwards. Healthcare workers were studied in 67 trials and teachers or employees of other sectors in 33. Web programmes (47 trials) and smartphone apps (20) predominated, and live online group sessions rose from 2 trials before 2023 to 15 afterwards. Mindfulness was the most frequent approach (21 trials); 23 trials used non-psychological mechanisms such as professional training or workflow automation. Waitlist controls were used in 35 trials overall and in 42%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234</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10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234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when they were sought; the full text of one was supplied later, and it was assessed and included, so two reports remained not retrieved. Of the 213 reports assessed, 104 were excluded: 20 were not primary results reports, 15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110 reports describing 107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20 eligible trials (18.7% of the final set). Of these, 13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107 trials; each is listed in Appendix C. Together they enrolled 27,412 participants, based on the 99 trials that reported a sample size (the number randomized, or the number analysed where only that was reported). The median trial enrolled 119 participants (interquartile range 69 to 252; range 11 to 2,182). Of these, 39 randomized fewer than 100 participants and 14 fewer than 50, while 12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 (62.6%)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(19.6%)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(78.5%)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 (41.1%)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 (55.1%)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(9.3%)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67 in 2023 to September 2026, so that 62.6% of the evidence is less than four years old. The composition changed along with the volume. Healthcare workers accounted for 4 of 16 trials before 2020 but for 18 of 24 in 2020-2022 and 45 of 67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135 from 2023. What changed was the spread: 10 of the 12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14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107).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(62.6%) trials: 36 with mixed or other healthcare staff, 19 with physicians or physician trainees and 12 with nurses. A further 7 trials studied mental-health and social-care professionals. Teachers and education staff were studied in 13 trials, and employees of other sectors or mixed occupational samples in 20. Taken together, workers outside health and social care contributed 30.8%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19.6%)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Among teachers, non-psychological programmes, mainly online professional training (4 of 13), and cognitive-behavioural or stress-management programmes (3 of 13)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10 of the 13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107).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23 trials (21.5%). These were professional training (9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13 of these 23 trials (56.5%) were found only by the supplementary search. Non-psychological trials were more often compared with usual practice (16 of 23)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(32.7%) trials, an active or attention control in 26 (24.3%), usual practice or no intervention in 29 (27.1%), and a head-to-head comparison of two digital variants in 6 (5.6%); the comparator could not be determined from the abstract in 11 trials. Waitlist controls became much more frequent in recent trials: 17.5% of trials reported before 2023 used one (7 of 40), compared with 41.8% of those reported from 2023 onwards (28 of 67). The share of actively controlled trials moved in the opposite direction, from 37.5% before 2020 to 17.9% from 2023 (Table 4).</w:t>
      </w:r>
    </w:p>
    <w:p>
      <w:pPr>
        <w:spacing w:after="160" w:line="400"/>
        <w:jc w:val="both"/>
      </w:pPr>
      <w:r>
        <w:rPr>
          <w:rFonts w:ascii="Times New Roman" w:cs="Times New Roman" w:eastAsia="Times New Roman" w:hAnsi="Times New Roman"/>
          <w:sz w:val="24"/>
          <w:szCs w:val="24"/>
        </w:rPr>
        <w:t xml:space="preserve">Self-guided or automated interventions (47; 43.9%) and human-supported interventions (44; 41.1%)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(46.7%) abstracts named the instrument used. For the 57 trials whose abstracts did not, we identified the instrument from the full text (Section 2.5): 56 could be identified and 1 could not, because the available copy of the article was incomplete. Across abstract and full text, the Maslach Burnout Inventory or one of its adaptations was the most frequently used instrument (59 trials, 55.1%), followed by the Copenhagen Burnout Inventory (12), the Oldenburg Burnout Inventory (10)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52.2%).</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46.7</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107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62.6% of trials, while teachers and all other sectors together contribute 30.8%. Third, most trials test psychological programmes delivered to individual workers. Interventions that change training, work processes or practical conditions are a small and partly hidden part of the literature: 13 of 23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67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33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(78.5%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appeared in an artificial-intelligence journal (NEJM AI) and a clinical-informatics journal (Applied Clinical Informatics)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55.1%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Two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107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234 reports assessed for eligibility (147 from the main search, 66 from the supplementary searches and 21 registry-linked publications) with the decision and reason for each. The file study_charting.csv contains the charting data for the 107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124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992e213c406a2b9e13e2266440211dbd710e013.png"/><Relationship Id="rId9" Type="http://schemas.openxmlformats.org/officeDocument/2006/relationships/image" Target="media/ae84cfcac165707232338cf757e227e434c5f698.png"/><Relationship Id="rId10" Type="http://schemas.openxmlformats.org/officeDocument/2006/relationships/image" Target="media/66bb6349af3505520a7b167ce90f180701d726d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2026-09-29T13:45:53.317Z</dcterms:created>
  <dcterms:modified xsi:type="dcterms:W3CDTF">2026-09-29T13:45:53.318Z</dcterms:modified>
</cp:coreProperties>
</file>

<file path=docProps/custom.xml><?xml version="1.0" encoding="utf-8"?>
<Properties xmlns="http://schemas.openxmlformats.org/officeDocument/2006/custom-properties" xmlns:vt="http://schemas.openxmlformats.org/officeDocument/2006/docPropsVTypes"/>
</file>