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Submission metadata</w:t>
      </w:r>
    </w:p>
    <w:p>
      <w:pPr>
        <w:spacing w:after="240"/>
        <w:jc w:val="center"/>
      </w:pPr>
      <w:r>
        <w:rPr>
          <w:rFonts w:ascii="Times New Roman" w:cs="Times New Roman" w:eastAsia="Times New Roman" w:hAnsi="Times New Roman"/>
          <w:b/>
          <w:bCs/>
          <w:sz w:val="26"/>
          <w:szCs w:val="26"/>
        </w:rPr>
        <w:t xml:space="preserve">Randomized Trials of Digital Interventions Reporting Occupational Burnout Outcomes: A Scoping Review and Evidence Map</w:t>
      </w:r>
    </w:p>
    <w:p>
      <w:pPr>
        <w:spacing w:after="140" w:line="320"/>
      </w:pPr>
      <w:r>
        <w:rPr>
          <w:rFonts w:ascii="Times New Roman" w:cs="Times New Roman" w:eastAsia="Times New Roman" w:hAnsi="Times New Roman"/>
          <w:sz w:val="22"/>
          <w:szCs w:val="22"/>
        </w:rPr>
        <w:t xml:space="preserve">Items in [square brackets] can only be supplied by the corresponding author. Everything else is taken from the final manuscript (paper/burnout_scoping_review_paper.docx) and the public repository.</w:t>
      </w:r>
    </w:p>
    <w:p>
      <w:pPr>
        <w:pStyle w:val="Heading1"/>
        <w:spacing w:after="140" w:before="320"/>
      </w:pPr>
      <w:r>
        <w:rPr>
          <w:rFonts w:ascii="Times New Roman" w:cs="Times New Roman" w:eastAsia="Times New Roman" w:hAnsi="Times New Roman"/>
          <w:b/>
          <w:bCs/>
          <w:sz w:val="26"/>
          <w:szCs w:val="26"/>
        </w:rPr>
        <w:t xml:space="preserve">1. Manuscript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Randomized Trials of Digital Interventions Reporting Occupational Burnout Outcomes: A Scoping Review and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Running 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Digital interventions and occupational burnout: an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Article type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Scoping review (reported according to PRISMA-ScR; PRISMA 2020 flow diagram)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Keywords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occupational burnout; digital health; randomized controlled trial; scoping review; evidence map; occupational health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Suggested MeSH terms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Burnout, Professional; Randomized Controlled Trials as Topic; Telemedicine; Mobile Applications; Internet-Based Intervention; Occupational Health; Review</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Counts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abstract, 295 words; main text, about 6,300 words. Tables: 7. Figures: 3. Supplementary appendices: 5.</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Files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Main manuscript (Word); Figures 1-3 (PNG); Appendices A-E (inside the manuscript); retrospective protocol (Word); dataset (GitHub, see section 4)</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Language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English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Search dates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17-26 September 2026 (main search); 28-29 September 2026 (supplementary searches); last search run 29 September 2026</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Included evidence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113 randomized trials (116 reports; 26,752 participants); 4,406 records identified, 2,397 screened, 288 reports assessed</w:t>
            </w:r>
          </w:p>
        </w:tc>
      </w:tr>
    </w:tbl>
    <w:p>
      <w:pPr>
        <w:pStyle w:val="Heading1"/>
        <w:spacing w:after="140" w:before="320"/>
      </w:pPr>
      <w:r>
        <w:rPr>
          <w:rFonts w:ascii="Times New Roman" w:cs="Times New Roman" w:eastAsia="Times New Roman" w:hAnsi="Times New Roman"/>
          <w:b/>
          <w:bCs/>
          <w:sz w:val="26"/>
          <w:szCs w:val="26"/>
        </w:rPr>
        <w:t xml:space="preserve">2. Authors and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(full name)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 as it should appear]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 iD]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Affiliation</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[department, institution, city, country]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Corresponding author</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Postal address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[address]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Email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m.reza.qeta@gmail.com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contributions (CRediT)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[if sole author: Conceptualization, Methodology, Investigation, Data curation, Formal analysis, Validation, Writing - original draft, Writing - review and editing]. Second-reviewer functions (blind eligibility sample, verification of abstract coding, decisions on borderline reports) were carried out by the corresponding author.</w:t>
            </w:r>
          </w:p>
        </w:tc>
      </w:tr>
    </w:tbl>
    <w:p>
      <w:pPr>
        <w:pStyle w:val="Heading1"/>
        <w:spacing w:after="140" w:before="320"/>
      </w:pPr>
      <w:r>
        <w:rPr>
          <w:rFonts w:ascii="Times New Roman" w:cs="Times New Roman" w:eastAsia="Times New Roman" w:hAnsi="Times New Roman"/>
          <w:b/>
          <w:bCs/>
          <w:sz w:val="26"/>
          <w:szCs w:val="26"/>
        </w:rPr>
        <w:t xml:space="preserve">3. Abstract (as in the manuscript)</w:t>
      </w:r>
    </w:p>
    <w:p>
      <w:pPr>
        <w:spacing w:after="140" w:line="320"/>
      </w:pPr>
      <w:r>
        <w:rPr>
          <w:rFonts w:ascii="Times New Roman" w:cs="Times New Roman" w:eastAsia="Times New Roman" w:hAnsi="Times New Roman"/>
          <w:sz w:val="22"/>
          <w:szCs w:val="22"/>
        </w:rPr>
        <w:t xml:space="preserve">Background: Digital programmes are widely used against occupational burnout, but randomized evidence has been reviewed only within single professions or broader mental-health outcomes.</w:t>
      </w:r>
    </w:p>
    <w:p>
      <w:pPr>
        <w:spacing w:after="140" w:line="320"/>
      </w:pPr>
      <w:r>
        <w:rPr>
          <w:rFonts w:ascii="Times New Roman" w:cs="Times New Roman" w:eastAsia="Times New Roman" w:hAnsi="Times New Roman"/>
          <w:sz w:val="22"/>
          <w:szCs w:val="22"/>
        </w:rPr>
        <w:t xml:space="preserve">Objective: To map randomized trials of any digitally delivered intervention in working populations that reported burnout as an outcome.</w:t>
      </w:r>
    </w:p>
    <w:p>
      <w:pPr>
        <w:spacing w:after="140" w:line="320"/>
      </w:pPr>
      <w:r>
        <w:rPr>
          <w:rFonts w:ascii="Times New Roman" w:cs="Times New Roman" w:eastAsia="Times New Roman" w:hAnsi="Times New Roman"/>
          <w:sz w:val="22"/>
          <w:szCs w:val="22"/>
        </w:rPr>
        <w:t xml:space="preserve">Methods: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t>
      </w:r>
    </w:p>
    <w:p>
      <w:pPr>
        <w:spacing w:after="140" w:line="320"/>
      </w:pPr>
      <w:r>
        <w:rPr>
          <w:rFonts w:ascii="Times New Roman" w:cs="Times New Roman" w:eastAsia="Times New Roman" w:hAnsi="Times New Roman"/>
          <w:sz w:val="22"/>
          <w:szCs w:val="22"/>
        </w:rPr>
        <w:t xml:space="preserve">Results: Of 4,406 records, 2,397 were screened and 288 reports were assessed. We included 116 reports of 113 trials (26,752 participants; median 114.5 per trial). The supplementary searches alone found 27 trials, 10 of them with non-psychological mechanisms. Of all trials, 64.6% were first reported from 2023 onwards. Healthcare workers were studied in 70 trials and teachers or employees of other sectors in 36. Web programmes (49 trials) and smartphone apps (21) predominated, and live online group sessions rose from 2 trials before 2023 to 21 afterwards. Mindfulness was the most frequent psychological approach (23 trials); 19 trials used non-psychological mechanisms. Waitlist controls were used in 37 trials overall and in 40% of those reported from 2023 onwards. Only 56 abstracts named the burnout instrument. Of 15 randomized registrations completed by 2023, 6 had no locatable results.</w:t>
      </w:r>
    </w:p>
    <w:p>
      <w:pPr>
        <w:spacing w:after="140" w:line="320"/>
      </w:pPr>
      <w:r>
        <w:rPr>
          <w:rFonts w:ascii="Times New Roman" w:cs="Times New Roman" w:eastAsia="Times New Roman" w:hAnsi="Times New Roman"/>
          <w:sz w:val="22"/>
          <w:szCs w:val="22"/>
        </w:rPr>
        <w:t xml:space="preserve">Conclusions: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40" w:line="320"/>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occupational burnout; digital health; randomized controlled trial; scoping review; evidence map; occupational health</w:t>
      </w:r>
    </w:p>
    <w:p>
      <w:pPr>
        <w:pStyle w:val="Heading1"/>
        <w:spacing w:after="140" w:before="320"/>
      </w:pPr>
      <w:r>
        <w:rPr>
          <w:rFonts w:ascii="Times New Roman" w:cs="Times New Roman" w:eastAsia="Times New Roman" w:hAnsi="Times New Roman"/>
          <w:b/>
          <w:bCs/>
          <w:sz w:val="26"/>
          <w:szCs w:val="26"/>
        </w:rPr>
        <w:t xml:space="preserve">4.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Item</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Statement</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Funding</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This research received no specific funding.</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Competing interests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author declares no competing interests.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Ethics approval and consent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Not required; the review used published data only.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Registration and protocol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review was not registered in advance. A retrospective protocol that lists every step added after the work began is provided (protocol_retrospective.docx). [OSF retrospective registration DOI, if registered.]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Reporting guideline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PRISMA-ScR checklist (manuscript Appendix E); PRISMA 2020 flow diagram (Figure 1)</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Use of artificial intelligence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 (manuscript Section 2.8)</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Data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All data and code: https://github.com/fyodora2/5R. The ledger of all 288 assessed reports, trial-level charting, screening files, reporting-indicator and effect-direction codes, verification samples and a data dictionary (data/DATA_DICTIONARY.md) are included. Abstracts retrieved from Web of Science and Scopus and full-text articles are not redistributed. [Archived version DOI, e.g. Zenodo, if the journal requires one.]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Code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https://github.com/fyodora2/5R (scripts/final, paper/)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Acknowledgements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[optional]</w:t>
            </w:r>
          </w:p>
        </w:tc>
      </w:tr>
    </w:tbl>
    <w:p>
      <w:pPr>
        <w:pStyle w:val="Heading1"/>
        <w:spacing w:after="140" w:before="320"/>
      </w:pPr>
      <w:r>
        <w:rPr>
          <w:rFonts w:ascii="Times New Roman" w:cs="Times New Roman" w:eastAsia="Times New Roman" w:hAnsi="Times New Roman"/>
          <w:b/>
          <w:bCs/>
          <w:sz w:val="26"/>
          <w:szCs w:val="26"/>
        </w:rPr>
        <w:t xml:space="preserve">5. Key points (for journals that ask for them)</w:t>
      </w:r>
    </w:p>
    <w:p>
      <w:pPr>
        <w:pStyle w:val="ListParagraph"/>
        <w:numPr>
          <w:ilvl w:val="0"/>
          <w:numId w:val="2"/>
        </w:numPr>
        <w:spacing w:after="80" w:line="300"/>
      </w:pPr>
      <w:r>
        <w:rPr>
          <w:rFonts w:ascii="Times New Roman" w:cs="Times New Roman" w:eastAsia="Times New Roman" w:hAnsi="Times New Roman"/>
          <w:b/>
          <w:bCs/>
          <w:sz w:val="22"/>
          <w:szCs w:val="22"/>
        </w:rPr>
        <w:t xml:space="preserve">Question:</w:t>
      </w:r>
      <w:r>
        <w:rPr>
          <w:rFonts w:ascii="Times New Roman" w:cs="Times New Roman" w:eastAsia="Times New Roman" w:hAnsi="Times New Roman"/>
          <w:sz w:val="22"/>
          <w:szCs w:val="22"/>
        </w:rPr>
        <w:t xml:space="preserve"> What randomized evidence exists on digitally delivered interventions that report occupational burnout as an outcome?</w:t>
      </w:r>
    </w:p>
    <w:p>
      <w:pPr>
        <w:pStyle w:val="ListParagraph"/>
        <w:numPr>
          <w:ilvl w:val="0"/>
          <w:numId w:val="2"/>
        </w:numPr>
        <w:spacing w:after="80" w:line="300"/>
      </w:pPr>
      <w:r>
        <w:rPr>
          <w:rFonts w:ascii="Times New Roman" w:cs="Times New Roman" w:eastAsia="Times New Roman" w:hAnsi="Times New Roman"/>
          <w:b/>
          <w:bCs/>
          <w:sz w:val="22"/>
          <w:szCs w:val="22"/>
        </w:rPr>
        <w:t xml:space="preserve">Findings:</w:t>
      </w:r>
      <w:r>
        <w:rPr>
          <w:rFonts w:ascii="Times New Roman" w:cs="Times New Roman" w:eastAsia="Times New Roman" w:hAnsi="Times New Roman"/>
          <w:sz w:val="22"/>
          <w:szCs w:val="22"/>
        </w:rPr>
        <w:t xml:space="preserve"> In this scoping review of 113 randomized trials, 61.9% studied healthcare workers, 64.6% were first reported from 2023 onwards, 16.8% tested a non-psychological mechanism, and only 49.6% of abstracts named the burnout instrument.</w:t>
      </w:r>
    </w:p>
    <w:p>
      <w:pPr>
        <w:pStyle w:val="ListParagraph"/>
        <w:numPr>
          <w:ilvl w:val="0"/>
          <w:numId w:val="2"/>
        </w:numPr>
        <w:spacing w:after="80" w:line="300"/>
      </w:pPr>
      <w:r>
        <w:rPr>
          <w:rFonts w:ascii="Times New Roman" w:cs="Times New Roman" w:eastAsia="Times New Roman" w:hAnsi="Times New Roman"/>
          <w:b/>
          <w:bCs/>
          <w:sz w:val="22"/>
          <w:szCs w:val="22"/>
        </w:rPr>
        <w:t xml:space="preserve">Meaning:</w:t>
      </w:r>
      <w:r>
        <w:rPr>
          <w:rFonts w:ascii="Times New Roman" w:cs="Times New Roman" w:eastAsia="Times New Roman" w:hAnsi="Times New Roman"/>
          <w:sz w:val="22"/>
          <w:szCs w:val="22"/>
        </w:rPr>
        <w:t xml:space="preserve"> The evidence is recent and concentrated in healthcare; actively controlled trials outside healthcare, work-system technologies, explicit instrument reporting and publication of completed trials are priorities.</w:t>
      </w:r>
    </w:p>
    <w:p>
      <w:pPr>
        <w:pStyle w:val="Heading1"/>
        <w:spacing w:after="140" w:before="320"/>
      </w:pPr>
      <w:r>
        <w:rPr>
          <w:rFonts w:ascii="Times New Roman" w:cs="Times New Roman" w:eastAsia="Times New Roman" w:hAnsi="Times New Roman"/>
          <w:b/>
          <w:bCs/>
          <w:sz w:val="26"/>
          <w:szCs w:val="26"/>
        </w:rPr>
        <w:t xml:space="preserve">6. Cover letter (draft)</w:t>
      </w:r>
    </w:p>
    <w:p>
      <w:pPr>
        <w:spacing w:after="140" w:line="320"/>
      </w:pPr>
      <w:r>
        <w:rPr>
          <w:rFonts w:ascii="Times New Roman" w:cs="Times New Roman" w:eastAsia="Times New Roman" w:hAnsi="Times New Roman"/>
          <w:sz w:val="22"/>
          <w:szCs w:val="22"/>
        </w:rPr>
        <w:t xml:space="preserve">[Date]</w:t>
      </w:r>
    </w:p>
    <w:p>
      <w:pPr>
        <w:spacing w:after="140" w:line="320"/>
      </w:pPr>
      <w:r>
        <w:rPr>
          <w:rFonts w:ascii="Times New Roman" w:cs="Times New Roman" w:eastAsia="Times New Roman" w:hAnsi="Times New Roman"/>
          <w:sz w:val="22"/>
          <w:szCs w:val="22"/>
        </w:rPr>
        <w:t xml:space="preserve">[Editor name], Editor-in-Chief, [journal name]</w:t>
      </w:r>
    </w:p>
    <w:p>
      <w:pPr>
        <w:spacing w:after="140" w:line="320"/>
      </w:pPr>
      <w:r>
        <w:rPr>
          <w:rFonts w:ascii="Times New Roman" w:cs="Times New Roman" w:eastAsia="Times New Roman" w:hAnsi="Times New Roman"/>
          <w:sz w:val="22"/>
          <w:szCs w:val="22"/>
        </w:rPr>
        <w:t xml:space="preserve">Dear [Editor name],</w:t>
      </w:r>
    </w:p>
    <w:p>
      <w:pPr>
        <w:spacing w:after="140" w:line="320"/>
      </w:pPr>
      <w:r>
        <w:rPr>
          <w:rFonts w:ascii="Times New Roman" w:cs="Times New Roman" w:eastAsia="Times New Roman" w:hAnsi="Times New Roman"/>
          <w:sz w:val="22"/>
          <w:szCs w:val="22"/>
        </w:rPr>
        <w:t xml:space="preserve">Please consider our manuscript, "Randomized Trials of Digital Interventions Reporting Occupational Burnout Outcomes: A Scoping Review and Evidence Map", for publication as a scoping review in [journal name].</w:t>
      </w:r>
    </w:p>
    <w:p>
      <w:pPr>
        <w:spacing w:after="140" w:line="320"/>
      </w:pPr>
      <w:r>
        <w:rPr>
          <w:rFonts w:ascii="Times New Roman" w:cs="Times New Roman" w:eastAsia="Times New Roman" w:hAnsi="Times New Roman"/>
          <w:sz w:val="22"/>
          <w:szCs w:val="22"/>
        </w:rPr>
        <w:t xml:space="preserve">Digital programmes are widely offered to reduce occupational burnout, yet randomized evidence has been reviewed only within single professions, single approaches or broader mental-health outcomes. We searched five databases and ClinicalTrials.gov, and after finding that the first strings missed trials of non-psychological interventions and of virtual delivery, we repeated the search without the intervention block and with additional delivery terms and controlled vocabulary. From 4,406 records we included 113 randomized trials (116 reports). The evidence is recent, concentrated in healthcare and in psychological programmes for individual workers, increasingly waitlist-controlled, and inconsistently reported: fewer than half of the abstracts named the burnout instrument, and results could not be found for 6 of 15 randomized registrations completed by 2023.</w:t>
      </w:r>
    </w:p>
    <w:p>
      <w:pPr>
        <w:spacing w:after="140" w:line="320"/>
      </w:pPr>
      <w:r>
        <w:rPr>
          <w:rFonts w:ascii="Times New Roman" w:cs="Times New Roman" w:eastAsia="Times New Roman" w:hAnsi="Times New Roman"/>
          <w:sz w:val="22"/>
          <w:szCs w:val="22"/>
        </w:rPr>
        <w:t xml:space="preserve">We believe the article suits the readers of [journal name] because it maps where trials exist and where they do not, and it gives trialists concrete reporting recommendations. Every eligibility decision is recorded with a reason, a blind second-reviewer sample and a verification sample of the abstract coding are reported with their agreement, and the data and code are public.</w:t>
      </w:r>
    </w:p>
    <w:p>
      <w:pPr>
        <w:spacing w:after="140" w:line="320"/>
      </w:pPr>
      <w:r>
        <w:rPr>
          <w:rFonts w:ascii="Times New Roman" w:cs="Times New Roman" w:eastAsia="Times New Roman" w:hAnsi="Times New Roman"/>
          <w:sz w:val="22"/>
          <w:szCs w:val="22"/>
        </w:rPr>
        <w:t xml:space="preserve">The manuscript is not under consideration elsewhere and has not been published. The review was not registered in advance; a retrospective protocol is supplied and the limitations that follow from this, from the single-reviewer design with an AI agent, and from the databases not searched (PsycINFO, Embase, CENTRAL) are stated in the Discussion. [Suggested reviewers and exclusions: to be chosen by the author; suitable expertise areas are systematic and scoping review methodology, occupational health psychology, and digital mental-health trials.]</w:t>
      </w:r>
    </w:p>
    <w:p>
      <w:pPr>
        <w:spacing w:after="140" w:line="320"/>
      </w:pPr>
      <w:r>
        <w:rPr>
          <w:rFonts w:ascii="Times New Roman" w:cs="Times New Roman" w:eastAsia="Times New Roman" w:hAnsi="Times New Roman"/>
          <w:sz w:val="22"/>
          <w:szCs w:val="22"/>
        </w:rPr>
        <w:t xml:space="preserve">Sincerely,</w:t>
      </w:r>
    </w:p>
    <w:p>
      <w:pPr>
        <w:spacing w:after="140" w:line="320"/>
      </w:pPr>
      <w:r>
        <w:rPr>
          <w:rFonts w:ascii="Times New Roman" w:cs="Times New Roman" w:eastAsia="Times New Roman" w:hAnsi="Times New Roman"/>
          <w:sz w:val="22"/>
          <w:szCs w:val="22"/>
        </w:rPr>
        <w:t xml:space="preserve">[Name], [affiliation], m.reza.qeta@gmail.com</w:t>
      </w:r>
    </w:p>
    <w:p>
      <w:pPr>
        <w:pStyle w:val="Heading1"/>
        <w:spacing w:after="140" w:before="320"/>
      </w:pPr>
      <w:r>
        <w:rPr>
          <w:rFonts w:ascii="Times New Roman" w:cs="Times New Roman" w:eastAsia="Times New Roman" w:hAnsi="Times New Roman"/>
          <w:b/>
          <w:bCs/>
          <w:sz w:val="26"/>
          <w:szCs w:val="26"/>
        </w:rPr>
        <w:t xml:space="preserve">7. Submission checklist</w:t>
      </w:r>
    </w:p>
    <w:p>
      <w:pPr>
        <w:pStyle w:val="ListParagraph"/>
        <w:numPr>
          <w:ilvl w:val="0"/>
          <w:numId w:val="2"/>
        </w:numPr>
        <w:spacing w:after="80" w:line="300"/>
      </w:pPr>
      <w:r>
        <w:rPr>
          <w:rFonts w:ascii="Times New Roman" w:cs="Times New Roman" w:eastAsia="Times New Roman" w:hAnsi="Times New Roman"/>
          <w:sz w:val="22"/>
          <w:szCs w:val="22"/>
        </w:rPr>
        <w:t xml:space="preserve">Replace every [bracketed] item above and the author line on the manuscript title page (the manuscript still contains [Name], [affiliation] and [postal address]).</w:t>
      </w:r>
    </w:p>
    <w:p>
      <w:pPr>
        <w:pStyle w:val="ListParagraph"/>
        <w:numPr>
          <w:ilvl w:val="0"/>
          <w:numId w:val="2"/>
        </w:numPr>
        <w:spacing w:after="80" w:line="300"/>
      </w:pPr>
      <w:r>
        <w:rPr>
          <w:rFonts w:ascii="Times New Roman" w:cs="Times New Roman" w:eastAsia="Times New Roman" w:hAnsi="Times New Roman"/>
          <w:sz w:val="22"/>
          <w:szCs w:val="22"/>
        </w:rPr>
        <w:t xml:space="preserve">Choose the journal, then adapt structure and length to its instructions (abstract style, word limit, reference style). The manuscript follows a structured abstract of about 300 words and numbered references in order of citation.</w:t>
      </w:r>
    </w:p>
    <w:p>
      <w:pPr>
        <w:pStyle w:val="ListParagraph"/>
        <w:numPr>
          <w:ilvl w:val="0"/>
          <w:numId w:val="2"/>
        </w:numPr>
        <w:spacing w:after="80" w:line="300"/>
      </w:pPr>
      <w:r>
        <w:rPr>
          <w:rFonts w:ascii="Times New Roman" w:cs="Times New Roman" w:eastAsia="Times New Roman" w:hAnsi="Times New Roman"/>
          <w:sz w:val="22"/>
          <w:szCs w:val="22"/>
        </w:rPr>
        <w:t xml:space="preserve">Upload Figures 1-3 as separate files from paper/figures if the journal does not accept figures inside the Word file.</w:t>
      </w:r>
    </w:p>
    <w:p>
      <w:pPr>
        <w:pStyle w:val="ListParagraph"/>
        <w:numPr>
          <w:ilvl w:val="0"/>
          <w:numId w:val="2"/>
        </w:numPr>
        <w:spacing w:after="80" w:line="300"/>
      </w:pPr>
      <w:r>
        <w:rPr>
          <w:rFonts w:ascii="Times New Roman" w:cs="Times New Roman" w:eastAsia="Times New Roman" w:hAnsi="Times New Roman"/>
          <w:sz w:val="22"/>
          <w:szCs w:val="22"/>
        </w:rPr>
        <w:t xml:space="preserve">Add a licence file to the repository (for example CC BY 4.0 for data and MIT for code) and, if required, archive a release with a DOI.</w:t>
      </w:r>
    </w:p>
    <w:p>
      <w:pPr>
        <w:pStyle w:val="ListParagraph"/>
        <w:numPr>
          <w:ilvl w:val="0"/>
          <w:numId w:val="2"/>
        </w:numPr>
        <w:spacing w:after="80" w:line="300"/>
      </w:pPr>
      <w:r>
        <w:rPr>
          <w:rFonts w:ascii="Times New Roman" w:cs="Times New Roman" w:eastAsia="Times New Roman" w:hAnsi="Times New Roman"/>
          <w:sz w:val="22"/>
          <w:szCs w:val="22"/>
        </w:rPr>
        <w:t xml:space="preserve">Decide whether to register the retrospective protocol on OSF and add the DOI to the protocol and the declarations.</w:t>
      </w:r>
    </w:p>
    <w:p>
      <w:pPr>
        <w:pStyle w:val="ListParagraph"/>
        <w:numPr>
          <w:ilvl w:val="0"/>
          <w:numId w:val="2"/>
        </w:numPr>
        <w:spacing w:after="80" w:line="300"/>
      </w:pPr>
      <w:r>
        <w:rPr>
          <w:rFonts w:ascii="Times New Roman" w:cs="Times New Roman" w:eastAsia="Times New Roman" w:hAnsi="Times New Roman"/>
          <w:sz w:val="22"/>
          <w:szCs w:val="22"/>
        </w:rPr>
        <w:t xml:space="preserve">Open questions that could change the numbers: two WeChat 'three good things' trials (R182, R183) excluded because their abstracts report no burnout outcome; one trial (S119) rests on an abstract with no burnout result and needs its full text; one full text (S070) is incomplete.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2026-09-29T15:36:19.566Z</dcterms:created>
  <dcterms:modified xsi:type="dcterms:W3CDTF">2026-09-29T15:36:19.567Z</dcterms:modified>
</cp:coreProperties>
</file>

<file path=docProps/custom.xml><?xml version="1.0" encoding="utf-8"?>
<Properties xmlns="http://schemas.openxmlformats.org/officeDocument/2006/custom-properties" xmlns:vt="http://schemas.openxmlformats.org/officeDocument/2006/docPropsVTypes"/>
</file>