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Retrospective protocol</w:t>
      </w:r>
    </w:p>
    <w:p>
      <w:pPr>
        <w:spacing w:after="240"/>
        <w:jc w:val="center"/>
      </w:pPr>
      <w:r>
        <w:rPr>
          <w:rFonts w:ascii="Times New Roman" w:cs="Times New Roman" w:eastAsia="Times New Roman" w:hAnsi="Times New Roman"/>
          <w:b/>
          <w:bCs/>
          <w:sz w:val="26"/>
          <w:szCs w:val="26"/>
        </w:rPr>
        <w:t xml:space="preserve">Randomized Trials of Digital Interventions Reporting Occupational Burnout Outcomes: A Scoping Review and Evidence Map</w:t>
      </w:r>
    </w:p>
    <w:p>
      <w:pPr>
        <w:spacing w:after="140" w:line="320"/>
      </w:pPr>
      <w:r>
        <w:rPr>
          <w:rFonts w:ascii="Times New Roman" w:cs="Times New Roman" w:eastAsia="Times New Roman" w:hAnsi="Times New Roman"/>
          <w:b/>
          <w:bCs/>
          <w:sz w:val="22"/>
          <w:szCs w:val="22"/>
        </w:rPr>
        <w:t xml:space="preserve">Status of this document.</w:t>
      </w:r>
      <w:r>
        <w:rPr>
          <w:rFonts w:ascii="Times New Roman" w:cs="Times New Roman" w:eastAsia="Times New Roman" w:hAnsi="Times New Roman"/>
          <w:sz w:val="22"/>
          <w:szCs w:val="22"/>
        </w:rPr>
        <w:t xml:space="preserve"> This protocol was written after the searches were run and most decisions were made. It is therefore a retrospective registration, not a pre-registration. Section 10 lists every step that was added or changed after the work began. The registered version is intended to make the plan and its deviations transparent; it cannot show that the plan preceded the data.</w:t>
      </w:r>
    </w:p>
    <w:p>
      <w:pPr>
        <w:spacing w:after="140" w:line="320"/>
      </w:pPr>
      <w:r>
        <w:rPr>
          <w:rFonts w:ascii="Times New Roman" w:cs="Times New Roman" w:eastAsia="Times New Roman" w:hAnsi="Times New Roman"/>
          <w:b/>
          <w:bCs/>
          <w:sz w:val="22"/>
          <w:szCs w:val="22"/>
        </w:rPr>
        <w:t xml:space="preserve">Registration:</w:t>
      </w:r>
      <w:r>
        <w:rPr>
          <w:rFonts w:ascii="Times New Roman" w:cs="Times New Roman" w:eastAsia="Times New Roman" w:hAnsi="Times New Roman"/>
          <w:sz w:val="22"/>
          <w:szCs w:val="22"/>
        </w:rPr>
        <w:t xml:space="preserve"> Open Science Framework, retrospective registration. Registration DOI: [to be added by the registering author]. </w:t>
      </w:r>
      <w:r>
        <w:rPr>
          <w:rFonts w:ascii="Times New Roman" w:cs="Times New Roman" w:eastAsia="Times New Roman" w:hAnsi="Times New Roman"/>
          <w:b/>
          <w:bCs/>
          <w:sz w:val="22"/>
          <w:szCs w:val="22"/>
        </w:rPr>
        <w:t xml:space="preserve">Authors and affiliations:</w:t>
      </w:r>
      <w:r>
        <w:rPr>
          <w:rFonts w:ascii="Times New Roman" w:cs="Times New Roman" w:eastAsia="Times New Roman" w:hAnsi="Times New Roman"/>
          <w:sz w:val="22"/>
          <w:szCs w:val="22"/>
        </w:rPr>
        <w:t xml:space="preserve"> [name, affiliation]. </w:t>
      </w:r>
      <w:r>
        <w:rPr>
          <w:rFonts w:ascii="Times New Roman" w:cs="Times New Roman" w:eastAsia="Times New Roman" w:hAnsi="Times New Roman"/>
          <w:b/>
          <w:bCs/>
          <w:sz w:val="22"/>
          <w:szCs w:val="22"/>
        </w:rPr>
        <w:t xml:space="preserve">Contact:</w:t>
      </w:r>
      <w:r>
        <w:rPr>
          <w:rFonts w:ascii="Times New Roman" w:cs="Times New Roman" w:eastAsia="Times New Roman" w:hAnsi="Times New Roman"/>
          <w:sz w:val="22"/>
          <w:szCs w:val="22"/>
        </w:rPr>
        <w:t xml:space="preserve"> m.reza.qeta@gmail.com. </w:t>
      </w:r>
      <w:r>
        <w:rPr>
          <w:rFonts w:ascii="Times New Roman" w:cs="Times New Roman" w:eastAsia="Times New Roman" w:hAnsi="Times New Roman"/>
          <w:b/>
          <w:bCs/>
          <w:sz w:val="22"/>
          <w:szCs w:val="22"/>
        </w:rPr>
        <w:t xml:space="preserve">Repository:</w:t>
      </w:r>
      <w:r>
        <w:rPr>
          <w:rFonts w:ascii="Times New Roman" w:cs="Times New Roman" w:eastAsia="Times New Roman" w:hAnsi="Times New Roman"/>
          <w:sz w:val="22"/>
          <w:szCs w:val="22"/>
        </w:rPr>
        <w:t xml:space="preserve"> https://github.com/fyodora2/5R.</w:t>
      </w:r>
    </w:p>
    <w:p>
      <w:pPr>
        <w:pStyle w:val="Heading1"/>
        <w:spacing w:after="140" w:before="320"/>
      </w:pPr>
      <w:r>
        <w:rPr>
          <w:rFonts w:ascii="Times New Roman" w:cs="Times New Roman" w:eastAsia="Times New Roman" w:hAnsi="Times New Roman"/>
          <w:b/>
          <w:bCs/>
          <w:sz w:val="26"/>
          <w:szCs w:val="26"/>
        </w:rPr>
        <w:t xml:space="preserve">1. Rationale</w:t>
      </w:r>
    </w:p>
    <w:p>
      <w:pPr>
        <w:spacing w:after="140" w:line="320"/>
      </w:pPr>
      <w:r>
        <w:rPr>
          <w:rFonts w:ascii="Times New Roman" w:cs="Times New Roman" w:eastAsia="Times New Roman" w:hAnsi="Times New Roman"/>
          <w:sz w:val="22"/>
          <w:szCs w:val="22"/>
        </w:rPr>
        <w:t xml:space="preserve">Digital programmes are widely used to reduce occupational burnout, but randomized evidence has been reviewed only within single professions, single therapeutic approaches or broader mental-health outcomes. A scoping review is the appropriate design for describing how this evidence is distributed across occupations, delivery modes and mechanisms, and how the trials are designed and reported. The review follows Arksey and O'Malley, the refinements of Levac and colleagues, the JBI guidance and PRISMA-ScR.</w:t>
      </w:r>
    </w:p>
    <w:p>
      <w:pPr>
        <w:pStyle w:val="Heading1"/>
        <w:spacing w:after="140" w:before="320"/>
      </w:pPr>
      <w:r>
        <w:rPr>
          <w:rFonts w:ascii="Times New Roman" w:cs="Times New Roman" w:eastAsia="Times New Roman" w:hAnsi="Times New Roman"/>
          <w:b/>
          <w:bCs/>
          <w:sz w:val="26"/>
          <w:szCs w:val="26"/>
        </w:rPr>
        <w:t xml:space="preserve">2. Objective and questions</w:t>
      </w:r>
    </w:p>
    <w:p>
      <w:pPr>
        <w:spacing w:after="140" w:line="320"/>
      </w:pPr>
      <w:r>
        <w:rPr>
          <w:rFonts w:ascii="Times New Roman" w:cs="Times New Roman" w:eastAsia="Times New Roman" w:hAnsi="Times New Roman"/>
          <w:sz w:val="22"/>
          <w:szCs w:val="22"/>
        </w:rPr>
        <w:t xml:space="preserve">To identify and characterise randomized controlled trials, as far as the searched sources allow, that evaluated a digitally delivered intervention in a working population and reported occupational burnout as an outcome. Questions:</w:t>
      </w:r>
    </w:p>
    <w:p>
      <w:pPr>
        <w:pStyle w:val="ListParagraph"/>
        <w:numPr>
          <w:ilvl w:val="0"/>
          <w:numId w:val="2"/>
        </w:numPr>
        <w:spacing w:after="80" w:line="300"/>
      </w:pPr>
      <w:r>
        <w:rPr>
          <w:rFonts w:ascii="Times New Roman" w:cs="Times New Roman" w:eastAsia="Times New Roman" w:hAnsi="Times New Roman"/>
          <w:sz w:val="22"/>
          <w:szCs w:val="22"/>
        </w:rPr>
        <w:t xml:space="preserve">In which occupational groups and over what period have these trials been conducted?</w:t>
      </w:r>
    </w:p>
    <w:p>
      <w:pPr>
        <w:pStyle w:val="ListParagraph"/>
        <w:numPr>
          <w:ilvl w:val="0"/>
          <w:numId w:val="2"/>
        </w:numPr>
        <w:spacing w:after="80" w:line="300"/>
      </w:pPr>
      <w:r>
        <w:rPr>
          <w:rFonts w:ascii="Times New Roman" w:cs="Times New Roman" w:eastAsia="Times New Roman" w:hAnsi="Times New Roman"/>
          <w:sz w:val="22"/>
          <w:szCs w:val="22"/>
        </w:rPr>
        <w:t xml:space="preserve">Which delivery modes, intervention approaches and levels of human support have been tested?</w:t>
      </w:r>
    </w:p>
    <w:p>
      <w:pPr>
        <w:pStyle w:val="ListParagraph"/>
        <w:numPr>
          <w:ilvl w:val="0"/>
          <w:numId w:val="2"/>
        </w:numPr>
        <w:spacing w:after="80" w:line="300"/>
      </w:pPr>
      <w:r>
        <w:rPr>
          <w:rFonts w:ascii="Times New Roman" w:cs="Times New Roman" w:eastAsia="Times New Roman" w:hAnsi="Times New Roman"/>
          <w:sz w:val="22"/>
          <w:szCs w:val="22"/>
        </w:rPr>
        <w:t xml:space="preserve">How are the trials designed with respect to comparators, sample size and burnout measurement?</w:t>
      </w:r>
    </w:p>
    <w:p>
      <w:pPr>
        <w:pStyle w:val="ListParagraph"/>
        <w:numPr>
          <w:ilvl w:val="0"/>
          <w:numId w:val="2"/>
        </w:numPr>
        <w:spacing w:after="80" w:line="300"/>
      </w:pPr>
      <w:r>
        <w:rPr>
          <w:rFonts w:ascii="Times New Roman" w:cs="Times New Roman" w:eastAsia="Times New Roman" w:hAnsi="Times New Roman"/>
          <w:sz w:val="22"/>
          <w:szCs w:val="22"/>
        </w:rPr>
        <w:t xml:space="preserve">What proportion of registered and completed trials have published their results?</w:t>
      </w:r>
    </w:p>
    <w:p>
      <w:pPr>
        <w:pStyle w:val="Heading1"/>
        <w:spacing w:after="140" w:before="320"/>
      </w:pPr>
      <w:r>
        <w:rPr>
          <w:rFonts w:ascii="Times New Roman" w:cs="Times New Roman" w:eastAsia="Times New Roman" w:hAnsi="Times New Roman"/>
          <w:b/>
          <w:bCs/>
          <w:sz w:val="26"/>
          <w:szCs w:val="26"/>
        </w:rPr>
        <w:t xml:space="preserve">3. Eligibility criteria</w:t>
      </w:r>
    </w:p>
    <w:p>
      <w:pPr>
        <w:spacing w:after="140" w:line="320"/>
      </w:pPr>
      <w:r>
        <w:rPr>
          <w:rFonts w:ascii="Times New Roman" w:cs="Times New Roman" w:eastAsia="Times New Roman" w:hAnsi="Times New Roman"/>
          <w:sz w:val="22"/>
          <w:szCs w:val="22"/>
        </w:rPr>
        <w:t xml:space="preserve">The population-concept-context framework was operationalised as five criteria applied in a fixed order; the first criterion a report fails is recorded as the reason for 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Criterion</w:t>
            </w:r>
          </w:p>
        </w:tc>
        <w:tc>
          <w:tcPr>
            <w:tcW w:type="dxa" w:w="6926"/>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Definition</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 Report type (REPORT)</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Peer-reviewed primary report of trial results. Unpublished preprints without a peer-reviewed version, protocols, registrations, reviews, commentaries, preprints superseded by a peer-reviewed report and secondary analyses without a randomized comparison of burnout are excluded.</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 Design (DESIGN)</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Randomized allocation with a between-group comparison (individual, cluster, factorial, crossover or stepped-wedge).</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 Population (POP)</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Workers: employed staff, practising professionals and trainees in paid employment such as resident physicians. Workers on sick leave who remain employed are included; students, patients and general-public samples are excluded.</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4. Digital delivery (DIGITAL)</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At least one core intervention component delivered through the web, an app, videoconference, text or instant messaging, a chatbot, virtual reality, a computer or a wearable device. Voice telephone alone, or digital technology used only for assessment, does not qualify.</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5. Outcome (BURNOUT)</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Burnout measured with a burnout instrument or a named burnout subscale and reported as an outcome of the randomized comparison. The aim of the intervention does not matter provided that burnout is reported as an outcome. Trials in which burnout served only as a correlate or risk factor, or was measured only with a general well-being index, are excluded; short and single-item measures presented by the authors as burnout measures are accepted. (Initially, one weight-reduction trial with burnout as a secondary outcome was excluded as unrelated to its aim; this was reversed because it contradicted the scope and the inclusion of other trials.)</w:t>
            </w:r>
          </w:p>
        </w:tc>
      </w:tr>
    </w:tbl>
    <w:p>
      <w:pPr>
        <w:spacing w:after="140" w:line="320"/>
      </w:pPr>
      <w:r>
        <w:rPr>
          <w:rFonts w:ascii="Times New Roman" w:cs="Times New Roman" w:eastAsia="Times New Roman" w:hAnsi="Times New Roman"/>
          <w:sz w:val="22"/>
          <w:szCs w:val="22"/>
        </w:rPr>
        <w:t xml:space="preserve">No restriction by intervention mechanism (psychological, professional training, physical activity, feedback, workflow technology and others are eligible), language, country or publication date. Unit of analysis: the trial; reports sharing a registration or sample are one study.</w:t>
      </w:r>
    </w:p>
    <w:p>
      <w:pPr>
        <w:pStyle w:val="Heading1"/>
        <w:spacing w:after="140" w:before="320"/>
      </w:pPr>
      <w:r>
        <w:rPr>
          <w:rFonts w:ascii="Times New Roman" w:cs="Times New Roman" w:eastAsia="Times New Roman" w:hAnsi="Times New Roman"/>
          <w:b/>
          <w:bCs/>
          <w:sz w:val="26"/>
          <w:szCs w:val="26"/>
        </w:rPr>
        <w:t xml:space="preserve">4. Information sources and search</w:t>
      </w:r>
    </w:p>
    <w:p>
      <w:pPr>
        <w:spacing w:after="140" w:line="320"/>
      </w:pPr>
      <w:r>
        <w:rPr>
          <w:rFonts w:ascii="Times New Roman" w:cs="Times New Roman" w:eastAsia="Times New Roman" w:hAnsi="Times New Roman"/>
          <w:sz w:val="22"/>
          <w:szCs w:val="22"/>
        </w:rPr>
        <w:t xml:space="preserve">Databases: Europe PMC, OpenAlex, ERIC, Web of Science Core Collection and Scopus; ClinicalTrials.gov for registrations. The main search combined four blocks: burnout, digital delivery, a psychological or behavioural intervention term and randomized design. Because the eligibility criteria admit any mechanism, supplementary searches were added (see Section 10). All strings, dates and record counts are in the manuscript (Appendix A) and in data/raw_third_search.json and the screening files. Not searched: PsycINFO, Embase and Cochrane CENTRAL (no access); reference lists and citations were not checked.</w:t>
      </w:r>
    </w:p>
    <w:p>
      <w:pPr>
        <w:pStyle w:val="Heading1"/>
        <w:spacing w:after="140" w:before="320"/>
      </w:pPr>
      <w:r>
        <w:rPr>
          <w:rFonts w:ascii="Times New Roman" w:cs="Times New Roman" w:eastAsia="Times New Roman" w:hAnsi="Times New Roman"/>
          <w:b/>
          <w:bCs/>
          <w:sz w:val="26"/>
          <w:szCs w:val="26"/>
        </w:rPr>
        <w:t xml:space="preserve">5. Selection process</w:t>
      </w:r>
    </w:p>
    <w:p>
      <w:pPr>
        <w:spacing w:after="140" w:line="320"/>
      </w:pPr>
      <w:r>
        <w:rPr>
          <w:rFonts w:ascii="Times New Roman" w:cs="Times New Roman" w:eastAsia="Times New Roman" w:hAnsi="Times New Roman"/>
          <w:sz w:val="22"/>
          <w:szCs w:val="22"/>
        </w:rPr>
        <w:t xml:space="preserve">Records were de-duplicated within and across sources. Title and abstract screening used a rule-based classifier (publication type, protocol wording, burnout, randomization and delivery wording) followed by manual review of every record the classifier did not exclude. Every report passing screening was assessed against the five criteria; the reason for each decision is recorded in data/master_registry.csv, the single accounting ledger. Assessment was based on the abstract unless the full text was consulted, which is recorded per report. Selection was carried out by one reviewer working with an LLM-based agent (Claude, Anthropic) under the author's direction. A second reviewer (the corresponding author) independently assessed a sample of 30 reports blind to the first reviewer's decisions; agreement was summarised with Cohen's kappa and discrepancies were resolved with the full text or the abstract.</w:t>
      </w:r>
    </w:p>
    <w:p>
      <w:pPr>
        <w:pStyle w:val="Heading1"/>
        <w:spacing w:after="140" w:before="320"/>
      </w:pPr>
      <w:r>
        <w:rPr>
          <w:rFonts w:ascii="Times New Roman" w:cs="Times New Roman" w:eastAsia="Times New Roman" w:hAnsi="Times New Roman"/>
          <w:b/>
          <w:bCs/>
          <w:sz w:val="26"/>
          <w:szCs w:val="26"/>
        </w:rPr>
        <w:t xml:space="preserve">6. Data charting</w:t>
      </w:r>
    </w:p>
    <w:p>
      <w:pPr>
        <w:spacing w:after="140" w:line="320"/>
      </w:pPr>
      <w:r>
        <w:rPr>
          <w:rFonts w:ascii="Times New Roman" w:cs="Times New Roman" w:eastAsia="Times New Roman" w:hAnsi="Times New Roman"/>
          <w:sz w:val="22"/>
          <w:szCs w:val="22"/>
        </w:rPr>
        <w:t xml:space="preserve">One value per variable for each trial: occupational group; main delivery mode; intervention approach; mechanism; comparator; human support; burnout instrument (from the abstract or, if not named, from the full text); number of participants (randomized, or analysed where only that is reported); year of the first report. Multicomponent interventions were charted by the component presented as central. The charting data are in data/study_charting.csv. Two variables were coded from the abstract alone and are descriptive, not a quality or risk-of-bias assessment: five reporting indicators (named method of randomization, blinding statement, attrition numbers, trial registration number, stated analysis population; recorded as stated or not stated in the abstract, because an item missing from an abstract does not mean it was not done) and the direction of the burnout result as reported by the authors. Both were checked on a random sample of about 20% of the trials by the second reviewer (data/abstract_coding_verification_sample.csv).</w:t>
      </w:r>
    </w:p>
    <w:p>
      <w:pPr>
        <w:pStyle w:val="Heading1"/>
        <w:spacing w:after="140" w:before="320"/>
      </w:pPr>
      <w:r>
        <w:rPr>
          <w:rFonts w:ascii="Times New Roman" w:cs="Times New Roman" w:eastAsia="Times New Roman" w:hAnsi="Times New Roman"/>
          <w:b/>
          <w:bCs/>
          <w:sz w:val="26"/>
          <w:szCs w:val="26"/>
        </w:rPr>
        <w:t xml:space="preserve">7. Registry linkage</w:t>
      </w:r>
    </w:p>
    <w:p>
      <w:pPr>
        <w:spacing w:after="140" w:line="320"/>
      </w:pPr>
      <w:r>
        <w:rPr>
          <w:rFonts w:ascii="Times New Roman" w:cs="Times New Roman" w:eastAsia="Times New Roman" w:hAnsi="Times New Roman"/>
          <w:sz w:val="22"/>
          <w:szCs w:val="22"/>
        </w:rPr>
        <w:t xml:space="preserve">Completed interventional registrations in ClinicalTrials.gov with burnout as a condition and a digital term were linked to publications through the registration record and a search of Europe PMC for the registration number. For randomized registrations completed by the end of 2023, results were classified as reported in an included trial, reported outside the scope of the review, or not located.</w:t>
      </w:r>
    </w:p>
    <w:p>
      <w:pPr>
        <w:pStyle w:val="Heading1"/>
        <w:spacing w:after="140" w:before="320"/>
      </w:pPr>
      <w:r>
        <w:rPr>
          <w:rFonts w:ascii="Times New Roman" w:cs="Times New Roman" w:eastAsia="Times New Roman" w:hAnsi="Times New Roman"/>
          <w:b/>
          <w:bCs/>
          <w:sz w:val="26"/>
          <w:szCs w:val="26"/>
        </w:rPr>
        <w:t xml:space="preserve">8. Synthesis</w:t>
      </w:r>
    </w:p>
    <w:p>
      <w:pPr>
        <w:spacing w:after="140" w:line="320"/>
      </w:pPr>
      <w:r>
        <w:rPr>
          <w:rFonts w:ascii="Times New Roman" w:cs="Times New Roman" w:eastAsia="Times New Roman" w:hAnsi="Times New Roman"/>
          <w:sz w:val="22"/>
          <w:szCs w:val="22"/>
        </w:rPr>
        <w:t xml:space="preserve">Counts and percentages of trial characteristics, development over time in three periods (up to 2019, 2020-2022, 2023 onwards) and an evidence map of occupational group by intervention approach. Consistent with the purpose of a scoping review, risk of bias was not assessed and effect sizes were not synthesised.</w:t>
      </w:r>
    </w:p>
    <w:p>
      <w:pPr>
        <w:pStyle w:val="Heading1"/>
        <w:spacing w:after="140" w:before="320"/>
      </w:pPr>
      <w:r>
        <w:rPr>
          <w:rFonts w:ascii="Times New Roman" w:cs="Times New Roman" w:eastAsia="Times New Roman" w:hAnsi="Times New Roman"/>
          <w:b/>
          <w:bCs/>
          <w:sz w:val="26"/>
          <w:szCs w:val="26"/>
        </w:rPr>
        <w:t xml:space="preserve">9. Data management and reproducibility</w:t>
      </w:r>
    </w:p>
    <w:p>
      <w:pPr>
        <w:spacing w:after="140" w:line="320"/>
      </w:pPr>
      <w:r>
        <w:rPr>
          <w:rFonts w:ascii="Times New Roman" w:cs="Times New Roman" w:eastAsia="Times New Roman" w:hAnsi="Times New Roman"/>
          <w:sz w:val="22"/>
          <w:szCs w:val="22"/>
        </w:rPr>
        <w:t xml:space="preserve">Data, code and manuscript are public at https://github.com/fyodora2/5R. Abstracts from Web of Science and Scopus are not redistributed because of the databases' terms of use. Full-text articles are not redistributed.</w:t>
      </w:r>
    </w:p>
    <w:p>
      <w:pPr>
        <w:pStyle w:val="Heading1"/>
        <w:spacing w:after="140" w:before="320"/>
      </w:pPr>
      <w:r>
        <w:rPr>
          <w:rFonts w:ascii="Times New Roman" w:cs="Times New Roman" w:eastAsia="Times New Roman" w:hAnsi="Times New Roman"/>
          <w:b/>
          <w:bCs/>
          <w:sz w:val="26"/>
          <w:szCs w:val="26"/>
        </w:rPr>
        <w:t xml:space="preserve">10. Deviations and steps added after the work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Step</w:t>
            </w:r>
          </w:p>
        </w:tc>
        <w:tc>
          <w:tcPr>
            <w:tcW w:type="dxa" w:w="6552"/>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What changed and why</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Supplementary searches without the intervention block</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The main search required a psychological or behavioural intervention term, but the eligibility criteria admit any mechanism. The searches were repeated without that block in Europe PMC and OpenAlex (28 Sep 2026) and in Web of Science and Scopus (29 Sep 2026) after the author supplied the exports.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Registry linkage</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Added to examine publication of registered trials and to find reports missed by the databases.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Instrument from the full text</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Added because fewer than half of the abstracts named the burnout instrument; full texts were obtained where possible.</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Third supplementary search</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 review of the trials found showed that the delivery vocabulary lacked virtual, remote, video and audio and that no search used MeSH. On 29 Sep 2026 a PubMed MeSH search and two delivery-term searches in Europe PMC were added. They were not repeated in OpenAlex, ERIC, Web of Science or Scopus.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Reclassification after full texts</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Two reports were changed after full texts were read: a trial that described itself as quasi-experimental but randomized teachers within schools was included, and a report that could not be retrieved initially was obtained, assessed and included. Three exclusions were confirmed.</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Update search with a unified strategy</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After a review of the manuscript, a single search matching the eligibility criteria (burnout AND any digital-delivery term AND randomized design, no intervention block) was run on 18 Oct 2026 in Europe PMC (all years), OpenAlex and PubMed (records published from 1 Sep 2026). It found two further trials. It was not repeated in Web of Science, Scopus or ERIC.</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Abstract-level coding</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Five reporting indicators and the direction of the burnout result were coded from abstracts only (not quality or risk of bias); a random 20% sample was coded independently by the second reviewer and the rules that the comparison exposed were applied to all trials.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Second reviewer sample</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Added to estimate agreement on the eligibility decisions; the sample was balanced by the first reviewer's decision.</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Semantic clustering</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 exploratory text clustering was run and then dropped from the manuscript.</w:t>
            </w:r>
          </w:p>
        </w:tc>
      </w:tr>
    </w:tbl>
    <w:p>
      <w:pPr>
        <w:pStyle w:val="Heading1"/>
        <w:spacing w:after="140" w:before="320"/>
      </w:pPr>
      <w:r>
        <w:rPr>
          <w:rFonts w:ascii="Times New Roman" w:cs="Times New Roman" w:eastAsia="Times New Roman" w:hAnsi="Times New Roman"/>
          <w:b/>
          <w:bCs/>
          <w:sz w:val="26"/>
          <w:szCs w:val="26"/>
        </w:rPr>
        <w:t xml:space="preserve">11. Limitations known at registration</w:t>
      </w:r>
    </w:p>
    <w:p>
      <w:pPr>
        <w:spacing w:after="140" w:line="320"/>
      </w:pPr>
      <w:r>
        <w:rPr>
          <w:rFonts w:ascii="Times New Roman" w:cs="Times New Roman" w:eastAsia="Times New Roman" w:hAnsi="Times New Roman"/>
          <w:sz w:val="22"/>
          <w:szCs w:val="22"/>
        </w:rPr>
        <w:t xml:space="preserve">Single reviewer with an AI agent and a second-reviewer check on a sample only; assessment mainly on abstracts; PsycINFO, Embase and CENTRAL not searched; no citation chasing; searches added in stages, each of which found trials the previous one had missed, so further eligible trials probably remain; the registry check covers ClinicalTrials.gov only; the protocol was not registered in advance.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2026-10-18T09:43:04.483Z</dcterms:created>
  <dcterms:modified xsi:type="dcterms:W3CDTF">2026-10-18T09:43:04.483Z</dcterms:modified>
</cp:coreProperties>
</file>

<file path=docProps/custom.xml><?xml version="1.0" encoding="utf-8"?>
<Properties xmlns="http://schemas.openxmlformats.org/officeDocument/2006/custom-properties" xmlns:vt="http://schemas.openxmlformats.org/officeDocument/2006/docPropsVTypes"/>
</file>