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303 words; main text, about 4,500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searches in Europe PMC, OpenAlex, Web of Science and Scopus without the intervention-type block (28-29 September 2026)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3,488 records, 1,891 were screened and 233 reports were assessed. We included 108 reports of 105 trials (25,772 participants; median 119 per trial). 19 trials, 12 of them with non-psychological mechanisms, were found only by the supplementary search. Of all trials, 61.9% were first reported from 2023 onwards. Healthcare workers were studied in 67 trials and teachers or employees of other sectors in 31. Web programmes (45 trials) and smartphone apps (20) predominated, and live online group sessions rose from 2 trials before 2023 to 15 afterwards. Mindfulness was the most frequent approach (21 trials); 21 trials used non-psychological mechanisms such as professional training or workflow automation. Waitlist controls were used in 35 trials overall and in 43% of those reported from 2023 onwards. Only 50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[10], on digitally supported stress and burnout interventions in nurses and physicians [9],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all randomized controlled trials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Where the abstract did not show whether burnout had been measured, the full text was consulted (four reports), and one report was assessed from its registry record and bibliographic data. The decision and reason for each of the 233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55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3,488 records. After 1,597 duplicates and non-article records were removed, 1,891 records were screened on title and abstract and 215 reports were sought for full assessment (Figure 1). Three reports from the supplementary search had neither an abstract nor an accessible full text. Of the 212 reports assessed, 105 were excluded: 20 were not primary results reports, 16 were not randomized, 23 did not study a working population, 15 were not digitally delivered and in 31 burnout was not an outcome of the randomized comparison. Through the registry, 28 completed registrations were linked to 30 publications; 9 of these had already been assessed through the databases, and 1 of the remaining 21 was eligible. In total, 108 reports describing 105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19 eligible trials (18.1% of the final set). Of these, 12 evaluated a non-psychological mechanism, including both trials of ambient artificial-intelligence (AI) scribes, and the others used wording that the main search blocks did not capture, such as "psycho-education", written emotional disclosure, well-being text messages, video teleconference or virtual death cafes.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105 trials; each is listed in Appendix C. Together they randomized 25,772 participants, based on the 97 trials that reported a sample size. The median trial randomized 119 participants (interquartile range 70 to 252; range 11 to 2,182). Of these, 38 randomized fewer than 100 participants and 13 fewer than 50, while 11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 (61.9%)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(18.1%)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 (42.9%)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(20.0%)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(20.0%)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 (80.0%)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(41.0%)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 (55.2%)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Well-Being Index (used to assess burnout)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65 in 2023 to September 2026, so that 61.9% of the evidence is less than four years old. The composition changed along with the volume. Healthcare workers accounted for 4 of 16 trials before 2020 but for 18 of 24 in 2020-2022 and 45 of 65 from 2023, which suggests that the pandemic shifted the attention of the field towards hospital staff. Live online group sessions, absent before 2020, appeared in 2 trials in 2020-2022 and in 15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randomized was 101 before 2020, 101 in 2020-2022 and 135 from 2023. What changed was the spread: 9 of the 11 trials that randomized 500 or more participants were reported from 2023 onwards (0 before 2020 and 2 in 2020-2022), but small studies also multiplied. At least 22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12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105).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67 (63.8%) trials: 36 with mixed or other healthcare staff, 19 with physicians or physician trainees and 12 with nurses. A further 7 trials studied mental-health and social-care professionals. Teachers and education staff were studied in 11 trials, and employees of other sectors or mixed occupational samples in 20. Taken together, workers outside health and social care contributed 29.5%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20.0%)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(8 of 19 trials), namely professional training, workflow technology, practical support and physical activity. Cognitive-behavioural or stress-management programmes were the most common approach among teachers (3 of 11).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19 trials), and they were the only group in which AI scribes were tested. Smartphone apps were concentrated in mixed healthcare samples (12 of 36 trials), whereas 8 of the 11 teacher trials used web programmes. Live online group sessions were used in 4 of 12 nurse trials and 3 of 7 trials with mental-health and social-care professionals, but in only 7 of 36 mixed healthcare trials. Waitlist controls were most common in mixed healthcare samples (15 of 36) and among employees of other sectors (8 of 20), while trials with physicians more often compared the intervention with usual practice (11 of 19).</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105).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21 trials (20.0%). These were professional training (7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12 of these 21 trials (57.1%) were found only by the supplementary search. Non-psychological trials were more often compared with usual practice (14 of 21) and rarely with a waitlist (2), and physicians were the largest group among them (8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(33.3%) trials, an active or attention control in 26 (24.8%), usual practice or no intervention in 27 (25.7%), and a head-to-head comparison of two digital variants in 6 (5.7%); the comparator could not be determined from the abstract in 11 trials. Waitlist controls became much more frequent in recent trials: 17.5% of trials reported before 2023 used one (7 of 40), compared with 43.1% of those reported from 2023 onwards (28 of 65). The share of actively controlled trials moved in the opposite direction, from 37.5% before 2020 to 18.5% from 2023 (Table 4).</w:t>
      </w:r>
    </w:p>
    <w:p>
      <w:pPr>
        <w:spacing w:after="160" w:line="400"/>
        <w:jc w:val="both"/>
      </w:pPr>
      <w:r>
        <w:rPr>
          <w:rFonts w:ascii="Times New Roman" w:cs="Times New Roman" w:eastAsia="Times New Roman" w:hAnsi="Times New Roman"/>
          <w:sz w:val="24"/>
          <w:szCs w:val="24"/>
        </w:rPr>
        <w:t xml:space="preserve">Self-guided or automated interventions (47; 44.8%) and human-supported interventions (43; 41.0%) were about equally common, but support was closely tied to delivery mode. All 17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50 (47.6%) abstracts named the instrument used. For the 55 trials whose abstracts did not, we identified the instrument from the full text (Section 2.5): 54 could be identified and 1 could not, because the available copy of the article was incomplete. Across abstract and full text, the Maslach Burnout Inventory or one of its adaptations was the most frequently used instrument (58 trials, 55.2%), followed by the Copenhagen Burnout Inventory (12), the Oldenburg Burnout Inventory (9) and the burnout scale of the Professional Fulfillment Index (6). A further 10 instruments were each used in one to five trials, and several trials used shortened versions, such as a two-item or five-item form of the emotional-exhaustion subscale. The proportion of abstracts naming the instrument was 18.8% before 2020 and around half in later periods (50.0% and 53.8%).</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47.6</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105 randomized trials of digitally delivered interventions that reported burnout in working populations. Four features describe the evidence. First, it is recent: about three in five trials were first reported from 2023 onwards, and the field changed after 2020 in who was studied and how interventions were delivered. Second, it is concentrated in healthcare, which accounts for 63.8% of trials, while teachers and all other sectors together contribute 29.5%. Third, most trials test psychological programmes delivered to individual workers. Interventions that change training, work processes or practical conditions are a small and partly hidden part of the literature: 12 of 21 were retrieved only when the intervention-type terms were removed from the search. Fourth, design and reporting leave room for improvement. Waitlist controls are common and were used in more than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45 of 65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[9], or were limited to nurses [10]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31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more than four in five trials here (80.0%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were published in informatics rather than occupational-health journals and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a third of the trials and in more than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13 trials with fewer than 50 participants and the 22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55.2%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and it suggests that the published evidence may overstate benefit.</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and there was no independent second reviewer; the screening error was estimated from a random sample rather than from agreement between reviewers.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 used a broader but still incomplete vocabulary, and one eligible report was recovered only through the registry. Some eligible trials, especially from sectors outside health care, have probably been missed. Three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105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233 reports assessed for eligibility (147 from the main search, 65 from the supplementary searches and 21 registry-linked publications) with the decision and reason for each. The file study_charting.csv contains the charting data for the 105 trials, supplementary_screening.csv and wos_scopus_supplementary_screening.csv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10.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125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Satisfying students' psychological needs in the classroom: Benefits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Self-described quasi-experimental study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burnout not compared by arm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platform used only to book in-person fitness activities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8febac118e6e58f50af597edc64f63eacda6626.png"/><Relationship Id="rId9" Type="http://schemas.openxmlformats.org/officeDocument/2006/relationships/image" Target="media/2d88973b73eeca0ed08f1b088bc44d1a4238bcf4.png"/><Relationship Id="rId10" Type="http://schemas.openxmlformats.org/officeDocument/2006/relationships/image" Target="media/8f79a4d0debcc473b59dcb030a209031379ddc8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2026-09-29T12:25:02.765Z</dcterms:created>
  <dcterms:modified xsi:type="dcterms:W3CDTF">2026-09-29T12:25:02.766Z</dcterms:modified>
</cp:coreProperties>
</file>

<file path=docProps/custom.xml><?xml version="1.0" encoding="utf-8"?>
<Properties xmlns="http://schemas.openxmlformats.org/officeDocument/2006/custom-properties" xmlns:vt="http://schemas.openxmlformats.org/officeDocument/2006/docPropsVTypes"/>
</file>