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Times New Roman" w:cs="Times New Roman" w:eastAsia="Times New Roman" w:hAnsi="Times New Roman"/>
          <w:i/>
          <w:iCs/>
          <w:sz w:val="22"/>
          <w:szCs w:val="22"/>
        </w:rPr>
        <w:t xml:space="preserve">Scoping review</w:t>
      </w:r>
    </w:p>
    <w:p>
      <w:pPr>
        <w:spacing w:after="480"/>
      </w:pPr>
      <w:r>
        <w:rPr>
          <w:rFonts w:ascii="Times New Roman" w:cs="Times New Roman" w:eastAsia="Times New Roman" w:hAnsi="Times New Roman"/>
          <w:b/>
          <w:bCs/>
          <w:sz w:val="32"/>
          <w:szCs w:val="32"/>
        </w:rPr>
        <w:t xml:space="preserve">Randomized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Author:</w:t>
      </w:r>
      <w:r>
        <w:rPr>
          <w:rFonts w:ascii="Times New Roman" w:cs="Times New Roman" w:eastAsia="Times New Roman" w:hAnsi="Times New Roman"/>
          <w:sz w:val="24"/>
          <w:szCs w:val="24"/>
        </w:rPr>
        <w:t xml:space="preserve"> [Name], [affiliation]. </w:t>
      </w: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[Name], [postal address]; email: m.reza.qeta@gmail.com.</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Word count:</w:t>
      </w:r>
      <w:r>
        <w:rPr>
          <w:rFonts w:ascii="Times New Roman" w:cs="Times New Roman" w:eastAsia="Times New Roman" w:hAnsi="Times New Roman"/>
          <w:sz w:val="24"/>
          <w:szCs w:val="24"/>
        </w:rPr>
        <w:t xml:space="preserve"> abstract, 303 words; main text, about 4,900 words. </w:t>
      </w:r>
      <w:r>
        <w:rPr>
          <w:rFonts w:ascii="Times New Roman" w:cs="Times New Roman" w:eastAsia="Times New Roman" w:hAnsi="Times New Roman"/>
          <w:b/>
          <w:bCs/>
          <w:sz w:val="24"/>
          <w:szCs w:val="24"/>
        </w:rPr>
        <w:t xml:space="preserve">Tables:</w:t>
      </w:r>
      <w:r>
        <w:rPr>
          <w:rFonts w:ascii="Times New Roman" w:cs="Times New Roman" w:eastAsia="Times New Roman" w:hAnsi="Times New Roman"/>
          <w:sz w:val="24"/>
          <w:szCs w:val="24"/>
        </w:rPr>
        <w:t xml:space="preserve"> 6. </w:t>
      </w:r>
      <w:r>
        <w:rPr>
          <w:rFonts w:ascii="Times New Roman" w:cs="Times New Roman" w:eastAsia="Times New Roman" w:hAnsi="Times New Roman"/>
          <w:b/>
          <w:bCs/>
          <w:sz w:val="24"/>
          <w:szCs w:val="24"/>
        </w:rPr>
        <w:t xml:space="preserve">Figures:</w:t>
      </w:r>
      <w:r>
        <w:rPr>
          <w:rFonts w:ascii="Times New Roman" w:cs="Times New Roman" w:eastAsia="Times New Roman" w:hAnsi="Times New Roman"/>
          <w:sz w:val="24"/>
          <w:szCs w:val="24"/>
        </w:rPr>
        <w:t xml:space="preserve"> 3. </w:t>
      </w:r>
      <w:r>
        <w:rPr>
          <w:rFonts w:ascii="Times New Roman" w:cs="Times New Roman" w:eastAsia="Times New Roman" w:hAnsi="Times New Roman"/>
          <w:b/>
          <w:bCs/>
          <w:sz w:val="24"/>
          <w:szCs w:val="24"/>
        </w:rPr>
        <w:t xml:space="preserve">Supplementary appendices:</w:t>
      </w:r>
      <w:r>
        <w:rPr>
          <w:rFonts w:ascii="Times New Roman" w:cs="Times New Roman" w:eastAsia="Times New Roman" w:hAnsi="Times New Roman"/>
          <w:sz w:val="24"/>
          <w:szCs w:val="24"/>
        </w:rPr>
        <w:t xml:space="preserve"> 5.</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r>
        <w:br w:type="page"/>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Digital programmes are widely used against occupational burnout, but randomized evidence has been reviewed only within single professions or broader mental-health outcomes.</w:t>
      </w:r>
    </w:p>
    <w:p>
      <w:pPr>
        <w:spacing w:after="160" w:line="400"/>
        <w:jc w:val="both"/>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To map randomized trials of any digitally delivered intervention in working populations that reported burnout as an outcome.</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Scoping review reported according to PRISMA-ScR. We searched Europe PMC, OpenAlex, ERIC, Web of Science and Scopus (17-26 September 2026), repeated the searches in Europe PMC, OpenAlex, Web of Science and Scopus without the intervention-type block (28-29 September 2026) so that interventions of any mechanism could be found, and linked ClinicalTrials.gov registrations to their publications. Reports were assessed against five ordered criteria, linked to trials and charted at trial level.</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3,488 records, 1,891 were screened and 234 reports were assessed. We included 110 reports of 107 trials (27,412 participants; median 119 per trial). 20 trials, 13 of them with non-psychological mechanisms, were found only by the supplementary search. Of all trials, 62.6% were first reported from 2023 onwards. Healthcare workers were studied in 67 trials and teachers or employees of other sectors in 33. Web programmes (47 trials) and smartphone apps (20) predominated, and live online group sessions rose from 2 trials before 2023 to 15 afterwards. Mindfulness was the most frequent approach (21 trials); 23 trials used non-psychological mechanisms such as professional training or workflow automation. Waitlist controls were used in 35 trials overall and in 42% of those reported from 2023 onwards. Only 50 abstracts named the burnout instrument. Of 15 randomized registrations completed by 2023, 6 had no locatable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randomized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ICD-11 as an occupational phenomenon rather than a medical condition [1,2]. Prevalence estimates vary widely with the instrument and cut-off used, but in health care they are high enough to be a concern for workforce retention and quality of care [3,4]. Similar concerns have been raised for teachers, social-care staff and employees in many other sectors.</w:t>
      </w:r>
    </w:p>
    <w:p>
      <w:pPr>
        <w:spacing w:after="160" w:line="400"/>
        <w:jc w:val="both"/>
      </w:pPr>
      <w:r>
        <w:rPr>
          <w:rFonts w:ascii="Times New Roman" w:cs="Times New Roman" w:eastAsia="Times New Roman" w:hAnsi="Times New Roman"/>
          <w:sz w:val="24"/>
          <w:szCs w:val="24"/>
        </w:rPr>
        <w:t xml:space="preserve">Interventions against burnout act at the level of the individual, the team or the organisation. Meta-analyses in physicians suggest that both individual-focused and organisation-directed interventions can reduce burnout, with somewhat larger effects for the latter [5,6]. Digital delivery has become common for both kinds of intervention. Web programmes, smartphone apps, videoconference groups, text messages and, more recently, conversational agents and workflow technologies can reach many workers at low marginal cost and fit around shift work. The COVID-19 pandemic accelerated this shift, particularly in hospitals.</w:t>
      </w:r>
    </w:p>
    <w:p>
      <w:pPr>
        <w:spacing w:after="160" w:line="400"/>
        <w:jc w:val="both"/>
      </w:pPr>
      <w:r>
        <w:rPr>
          <w:rFonts w:ascii="Times New Roman" w:cs="Times New Roman" w:eastAsia="Times New Roman" w:hAnsi="Times New Roman"/>
          <w:sz w:val="24"/>
          <w:szCs w:val="24"/>
        </w:rPr>
        <w:t xml:space="preserve">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[9], on digitally supported stress and burnout interventions in nurses and physicians [10],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t>
      </w:r>
    </w:p>
    <w:p>
      <w:pPr>
        <w:spacing w:after="160" w:line="400"/>
        <w:jc w:val="both"/>
      </w:pPr>
      <w:r>
        <w:rPr>
          <w:rFonts w:ascii="Times New Roman" w:cs="Times New Roman" w:eastAsia="Times New Roman" w:hAnsi="Times New Roman"/>
          <w:sz w:val="24"/>
          <w:szCs w:val="24"/>
        </w:rPr>
        <w:t xml:space="preserve">A scoping review is the appropriate method for this kind of mapping question [12-14]. We aimed to identify and characterise all randomized controlled trials that evaluated a digitally delivered intervention in a working population and reported burnout as an outcome. We asked four questions: (1) in which occupational groups and over what period have these trials been conducted; (2) which delivery modes, intervention approaches and levels of human support have been tested; (3) how are the trials designed with respect to comparators, sample size and burnout measurement; and (4) what proportion of registered and completed trials have published their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The review followed the framework of Arksey and O'Malley with the refinements of Levac and colleagues and the JBI guidance [12-14]. It is reported according to PRISMA-ScR [15]; the flow diagram follows the PRISMA 2020 template [16]. The completed PRISMA-ScR checklist is provided in Appendix E. The protocol was not registered in advance.</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Eligibility was defined with the population-concept-context framework and operationalised as five criteria (Table 1). The criteria were applied in a fixed order, and the first criterion a report failed was recorded as the reason for exclusion. We did not restrict eligibility by the mechanism of the intervention: a digital programme of professional training, physical activity, feedback or workflow support was eligible in the same way as a psychological programme, provided that burnout was reported as an outcome of the randomized comparison. Mechanism was instead charted as a study characteristic. No language or date limits were applied.</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Eligibility criteria, applied in the order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Operational definition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Report type (REPORT)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Primary report of trial results. Protocols, registrations, reviews, commentaries, preprints superseded by a peer-reviewed report, and secondary analyses without a randomized comparison of burnout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Design (DESIGN)</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Randomized allocation with a between-group comparison: individual, cluster, factorial, crossover or stepped-wedge designs.</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 Population (POP)</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Workers: employed staff, practising professionals and trainees in paid employment such as resident physicians. Samples of students, patients or the general public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Concept: digital delivery (DIGITAL)</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 least one core intervention component delivered through the web, an app, videoconference, text or instant messaging, a chatbot, virtual reality, a computer or a wearable device. Voice telephone alone, or digital technology used only for assessment, did not qualify.</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 Outcome (BURNOUT)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Context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Any country and any work setting; no restriction on publication date.</w:t>
            </w:r>
          </w:p>
        </w:tc>
      </w:tr>
      <w:tr>
        <w:tc>
          <w:tcPr>
            <w:tcW w:type="dxa" w:w="2621"/>
            <w:tcBorders>
              <w:top w:val="single" w:color="808080" w:sz="4"/>
              <w:left w:val="none" w:color="FFFFFF" w:sz="0"/>
              <w:bottom w:val="none" w:color="FFFFFF" w:sz="0"/>
              <w:right w:val="none" w:color="FFFFFF" w:sz="0"/>
            </w:tcBorders>
          </w:tcPr>
          <w:p/>
        </w:tc>
        <w:tc>
          <w:tcPr>
            <w:tcW w:type="dxa" w:w="6739"/>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2.3 Information sources and search strategy</w:t>
      </w:r>
    </w:p>
    <w:p>
      <w:pPr>
        <w:spacing w:after="160" w:line="400"/>
        <w:jc w:val="both"/>
      </w:pPr>
      <w:r>
        <w:rPr>
          <w:rFonts w:ascii="Times New Roman" w:cs="Times New Roman" w:eastAsia="Times New Roman" w:hAnsi="Times New Roman"/>
          <w:sz w:val="24"/>
          <w:szCs w:val="24"/>
        </w:rPr>
        <w:t xml:space="preserve">The main search combined four concept blocks with AND: burnout, digital delivery, psychological or behavioural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t>
      </w:r>
    </w:p>
    <w:p>
      <w:pPr>
        <w:spacing w:after="160" w:line="400"/>
        <w:jc w:val="both"/>
      </w:pPr>
      <w:r>
        <w:rPr>
          <w:rFonts w:ascii="Times New Roman" w:cs="Times New Roman" w:eastAsia="Times New Roman" w:hAnsi="Times New Roman"/>
          <w:sz w:val="24"/>
          <w:szCs w:val="24"/>
        </w:rPr>
        <w: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webinars and activity trackers) and randomized design. In Europe PMC and OpenAlex it excluded records already captured by the main digital and intervention blocks; in Web of Science and Scopus the results were exported in full with abstracts and de-duplicated against all earlier records.</w:t>
      </w:r>
    </w:p>
    <w:p>
      <w:pPr>
        <w:spacing w:after="160" w:line="400"/>
        <w:jc w:val="both"/>
      </w:pPr>
      <w:r>
        <w:rPr>
          <w:rFonts w:ascii="Times New Roman" w:cs="Times New Roman" w:eastAsia="Times New Roman" w:hAnsi="Times New Roman"/>
          <w:sz w:val="24"/>
          <w:szCs w:val="24"/>
        </w:rPr>
        <w: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summarises the sources and the flow of records from each.</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Information sources, search dates and flow of records by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1217"/>
        <w:gridCol w:w="1310"/>
        <w:gridCol w:w="1123"/>
        <w:gridCol w:w="1217"/>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Source</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Search date</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Records identified</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Unique records screened</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assessed</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included</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search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(no intervention block)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Other methods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ClinicalTrials.gov registry linkage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registrations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3,488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234</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c>
          <w:tcPr>
            <w:tcW w:type="dxa" w:w="3182"/>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Duplicates were removed within and across sources before screening; each unique record is attributed to the source from which it was first retrieved. Supplementary-search records that duplicated records of the main search were removed before screening.</w:t>
      </w:r>
    </w:p>
    <w:p>
      <w:pPr>
        <w:pStyle w:val="Heading2"/>
        <w:spacing w:after="120" w:before="240"/>
      </w:pPr>
      <w:r>
        <w:rPr>
          <w:rFonts w:ascii="Times New Roman" w:cs="Times New Roman" w:eastAsia="Times New Roman" w:hAnsi="Times New Roman"/>
          <w:b/>
          <w:bCs/>
          <w:i/>
          <w:iCs/>
          <w:sz w:val="24"/>
          <w:szCs w:val="24"/>
        </w:rPr>
        <w:t xml:space="preserve">2.4 Selection of sources of evidence</w:t>
      </w:r>
    </w:p>
    <w:p>
      <w:pPr>
        <w:spacing w:after="160" w:line="400"/>
        <w:jc w:val="both"/>
      </w:pPr>
      <w:r>
        <w:rPr>
          <w:rFonts w:ascii="Times New Roman" w:cs="Times New Roman" w:eastAsia="Times New Roman" w:hAnsi="Times New Roman"/>
          <w:sz w:val="24"/>
          <w:szCs w:val="24"/>
        </w:rPr>
        <w:t xml:space="preserve">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The full text was consulted for 10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234 assessed reports are listed in Appendix B and in the file master_registry.csv, which serves as the single accounting ledger for the review.</w:t>
      </w:r>
    </w:p>
    <w:p>
      <w:pPr>
        <w:spacing w:after="160" w:line="400"/>
        <w:jc w:val="both"/>
      </w:pPr>
      <w:r>
        <w:rPr>
          <w:rFonts w:ascii="Times New Roman" w:cs="Times New Roman" w:eastAsia="Times New Roman" w:hAnsi="Times New Roman"/>
          <w:sz w:val="24"/>
          <w:szCs w:val="24"/>
        </w:rPr>
        <w:t xml:space="preserve">Reports that shared a trial registration number, or that described the same sample, were linked to one study. The unit of analysis is therefore the trial; reports are counted only in the flow diagram.</w:t>
      </w:r>
    </w:p>
    <w:p>
      <w:pPr>
        <w:spacing w:after="160" w:line="400"/>
        <w:jc w:val="both"/>
      </w:pPr>
      <w:r>
        <w:rPr>
          <w:rFonts w:ascii="Times New Roman" w:cs="Times New Roman" w:eastAsia="Times New Roman" w:hAnsi="Times New Roman"/>
          <w:sz w:val="24"/>
          <w:szCs w:val="24"/>
        </w:rPr>
        <w:t xml:space="preserve">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t>
      </w:r>
    </w:p>
    <w:p>
      <w:pPr>
        <w:spacing w:after="160" w:line="400"/>
        <w:jc w:val="both"/>
      </w:pPr>
      <w:r>
        <w:rPr>
          <w:rFonts w:ascii="Times New Roman" w:cs="Times New Roman" w:eastAsia="Times New Roman" w:hAnsi="Times New Roman"/>
          <w:sz w:val="24"/>
          <w:szCs w:val="24"/>
        </w:rPr>
        <w:t xml:space="preserve">To check the eligibility decisions themselves, the corresponding author independently assessed a sample of 30 of the assessed reports, balanced by the first reviewer's decision (15 included and 15 excluded), blind to the first reviewer's decisions, by applying the five criteria in order to the title and abstract. Agreement on inclusion versus exclusion was summarised as the percentage of 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The reviewers' answers are provided in second_review_sample.csv.</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(randomized, or analysed where only that was reported); and the year of the first report. Multicomponent interventions were charted by the component that the authors presented as central. Interventions that combined two psychological approaches in equal measure were charted as "other psychological". The charting form and the data for every trial are provided in study_charting.csv. For the 57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One article could not be resolved because the available copy was incomplete. The verification table is provided in instrument_fulltext_verification.csv.</w:t>
      </w:r>
    </w:p>
    <w:p>
      <w:pPr>
        <w:pStyle w:val="Heading2"/>
        <w:spacing w:after="120" w:before="240"/>
      </w:pPr>
      <w:r>
        <w:rPr>
          <w:rFonts w:ascii="Times New Roman" w:cs="Times New Roman" w:eastAsia="Times New Roman" w:hAnsi="Times New Roman"/>
          <w:b/>
          <w:bCs/>
          <w:i/>
          <w:iCs/>
          <w:sz w:val="24"/>
          <w:szCs w:val="24"/>
        </w:rPr>
        <w:t xml:space="preserve">2.6 Registry linkage</w:t>
      </w:r>
    </w:p>
    <w:p>
      <w:pPr>
        <w:spacing w:after="160" w:line="400"/>
        <w:jc w:val="both"/>
      </w:pPr>
      <w:r>
        <w:rPr>
          <w:rFonts w:ascii="Times New Roman" w:cs="Times New Roman" w:eastAsia="Times New Roman" w:hAnsi="Times New Roman"/>
          <w:sz w:val="24"/>
          <w:szCs w:val="24"/>
        </w:rPr>
        <w:t xml:space="preserve">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t>
      </w:r>
    </w:p>
    <w:p>
      <w:pPr>
        <w:pStyle w:val="Heading2"/>
        <w:spacing w:after="120" w:before="240"/>
      </w:pPr>
      <w:r>
        <w:rPr>
          <w:rFonts w:ascii="Times New Roman" w:cs="Times New Roman" w:eastAsia="Times New Roman" w:hAnsi="Times New Roman"/>
          <w:b/>
          <w:bCs/>
          <w:i/>
          <w:iCs/>
          <w:sz w:val="24"/>
          <w:szCs w:val="24"/>
        </w:rPr>
        <w:t xml:space="preserve">2.7 Synthesis</w:t>
      </w:r>
    </w:p>
    <w:p>
      <w:pPr>
        <w:spacing w:after="160" w:line="400"/>
        <w:jc w:val="both"/>
      </w:pPr>
      <w:r>
        <w:rPr>
          <w:rFonts w:ascii="Times New Roman" w:cs="Times New Roman" w:eastAsia="Times New Roman" w:hAnsi="Times New Roman"/>
          <w:sz w:val="24"/>
          <w:szCs w:val="24"/>
        </w:rPr>
        <w:t xml:space="preserve">We summarised trial characteristics as counts and percentages. Development over time was described by the year of the first report of each trial and grouped into three periods: 2004-2019, 2020-2022 (the main pandemic years) and 2023-2026. The evidence map cross-tabulates occupational group against intervention approach. In line with the purpose of a scoping review, we did not assess risk of bias and did not synthesise effect sizes.</w:t>
      </w:r>
    </w:p>
    <w:p>
      <w:pPr>
        <w:pStyle w:val="Heading2"/>
        <w:spacing w:after="120" w:before="240"/>
      </w:pPr>
      <w:r>
        <w:rPr>
          <w:rFonts w:ascii="Times New Roman" w:cs="Times New Roman" w:eastAsia="Times New Roman" w:hAnsi="Times New Roman"/>
          <w:b/>
          <w:bCs/>
          <w:i/>
          <w:iCs/>
          <w:sz w:val="24"/>
          <w:szCs w:val="24"/>
        </w:rPr>
        <w:t xml:space="preserve">2.8 Use of artificial-intelligence tools</w:t>
      </w:r>
    </w:p>
    <w:p>
      <w:pPr>
        <w:spacing w:after="160" w:line="400"/>
        <w:jc w:val="both"/>
      </w:pPr>
      <w:r>
        <w:rPr>
          <w:rFonts w:ascii="Times New Roman" w:cs="Times New Roman" w:eastAsia="Times New Roman" w:hAnsi="Times New Roman"/>
          <w:sz w:val="24"/>
          <w:szCs w:val="24"/>
        </w:rPr>
        <w:t xml:space="preserve">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main and supplementary searches identified 3,488 records. After 1,597 duplicates and non-article records were removed, 1,891 records were screened on title and abstract and 215 reports were sought for full assessment (Figure 1). Three reports from the supplementary search had neither an abstract nor an accessible full text when they were sought; the full text of one was supplied later, and it was assessed and included, so two reports remained not retrieved. Of the 213 reports assessed, 104 were excluded: 20 were not primary results reports, 15 were not randomized, 23 did not study a working population, 15 were not digitally delivered and in 31 burnout was not an outcome of the randomized comparison. Through the registry, 28 completed registrations were linked to 30 publications; 9 of these had already been assessed through the databases, and 1 of the remaining 21 was eligible. In total, 110 reports describing 107 randomized trials were included. One trial was described in three reports and one in two.</w:t>
      </w:r>
    </w:p>
    <w:p>
      <w:pPr>
        <w:spacing w:after="160" w:line="400"/>
        <w:jc w:val="both"/>
      </w:pPr>
      <w:r>
        <w:rPr>
          <w:rFonts w:ascii="Times New Roman" w:cs="Times New Roman" w:eastAsia="Times New Roman" w:hAnsi="Times New Roman"/>
          <w:sz w:val="24"/>
          <w:szCs w:val="24"/>
        </w:rPr>
        <w:t xml:space="preserve">The two additional routes found eligible trials that the main search had missed. The supplementary search yielded 20 eligible trials (18.7% of the final set). Of these, 13 evaluated a non-psychological mechanism, including both trials of ambient artificial-intelligence (AI) scribes, and the others used wording that the main search blocks did not capture, such as "psycho-education", written emotional disclosure, well-being text messages, video teleconference or virtual death cafes.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t>
      </w:r>
    </w:p>
    <w:p>
      <w:pPr>
        <w:spacing w:after="160" w:line="400"/>
        <w:jc w:val="both"/>
      </w:pPr>
      <w:r>
        <w:rPr>
          <w:rFonts w:ascii="Times New Roman" w:cs="Times New Roman" w:eastAsia="Times New Roman" w:hAnsi="Times New Roman"/>
          <w:sz w:val="24"/>
          <w:szCs w:val="24"/>
        </w:rPr>
        <w: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randomized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exclusion of R169 is the most debatable of the six. The sixth report, R090, was confirmed as included because its abstract describes a ten-week online programme. The reason for exclusion of one protocol (R012) also differed between the reviewers, although both excluded it.</w:t>
      </w:r>
    </w:p>
    <w:p>
      <w:pPr>
        <w:keepNext/>
        <w:spacing w:after="80" w:before="200"/>
        <w:jc w:val="center"/>
      </w:pPr>
      <w:r>
        <w:drawing>
          <wp:inline distT="0" distB="0" distL="0" distR="0">
            <wp:extent cx="533400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The database column combines the main search and the supplementary search without the intervention-type block. Reports are the unit of counting up to inclusion; the final box also gives the number of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3 summarises the 107 trials; each is listed in Appendix C. Together they enrolled 27,412 participants, based on the 99 trials that reported a sample size (the number randomized, or the number analysed where only that was reported). The median trial enrolled 119 participants (interquartile range 69 to 252; range 11 to 2,182). Of these, 39 randomized fewer than 100 participants and 14 fewer than 50, while 12 randomized 500 or more. Sample size differed by delivery mode: live online group programmes, which need a facilitator for every group, had a median of 82 participants, compared with 190 for smartphone apps and 279 for messaging interventions.</w:t>
      </w:r>
    </w:p>
    <w:p>
      <w:pPr>
        <w:keepNext/>
        <w:spacing w:after="100" w:before="24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Characteristics of the included trials (n = 107)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September)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 (62.6%)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 (33.6%)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other sectors or mixed occupations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(18.7%)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(12.1%)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 (43.9%)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(18.7%)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(15.9%)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 (21.5%)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(19.6%)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(12.1%)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 (78.5%)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Workplace or practical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 (32.7%)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(27.1%)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(24.3%)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 (43.9%)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 (41.1%)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(abstract or full text)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59 (55.1%)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 (9.3%)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Burnout Assessment Tool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Turkish adaptation of a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Utrecht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Scale of Work Engagement and Burnout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Well-Being Index (used to assess burnout)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Japanese Burnout Scale (Kubo)</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determined (full text incomplete)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3.3 Development over time</w:t>
      </w:r>
    </w:p>
    <w:p>
      <w:pPr>
        <w:spacing w:after="160" w:line="400"/>
        <w:jc w:val="both"/>
      </w:pPr>
      <w:r>
        <w:rPr>
          <w:rFonts w:ascii="Times New Roman" w:cs="Times New Roman" w:eastAsia="Times New Roman" w:hAnsi="Times New Roman"/>
          <w:sz w:val="24"/>
          <w:szCs w:val="24"/>
        </w:rPr>
        <w:t xml:space="preserve">The first eligible trial was reported in 2004. Up to 2019 no more than five trials appeared in any year, and 16 trials in total were reported by the end of 2019 (Figure 2). The number then rose steeply: 24 trials were first reported in 2020-2022 and 67 in 2023 to September 2026, so that 62.6% of the evidence is less than four years old. The composition changed along with the volume. Healthcare workers accounted for 4 of 16 trials before 2020 but for 18 of 24 in 2020-2022 and 45 of 67 from 2023, which suggests that the pandemic shifted the attention of the field towards hospital staff. Live online group sessions, absent before 2020, appeared in 2 trials in 2020-2022 and in 15 trials from 2023. Smartphone apps went from 2 to 4 and then 14 trials over the same periods. Web programmes remained the single most common mode in every period.</w:t>
      </w:r>
    </w:p>
    <w:p>
      <w:pPr>
        <w:spacing w:after="160" w:line="400"/>
        <w:jc w:val="both"/>
      </w:pPr>
      <w:r>
        <w:rPr>
          <w:rFonts w:ascii="Times New Roman" w:cs="Times New Roman" w:eastAsia="Times New Roman" w:hAnsi="Times New Roman"/>
          <w:sz w:val="24"/>
          <w:szCs w:val="24"/>
        </w:rPr>
        <w:t xml:space="preserve">Typical sample size rose only modestly with the volume of trials. The median number of participants enrolled was 101 before 2020, 101 in 2020-2022 and 135 from 2023. What changed was the spread: 10 of the 12 trials that randomized 500 or more participants were reported from 2023 onwards (0 before 2020 and 2 in 2020-2022), but small studies also multiplied. At least 22 trials (16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(5, 4 and 14 trials, respectively), so their small number is not only a recent phenomenon.</w:t>
      </w:r>
    </w:p>
    <w:p>
      <w:pPr>
        <w:keepNext/>
        <w:spacing w:after="80" w:before="200"/>
        <w:jc w:val="center"/>
      </w:pPr>
      <w:r>
        <w:drawing>
          <wp:inline distT="0" distB="0" distL="0" distR="0">
            <wp:extent cx="5715000" cy="2886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107). Data for 2026 cover January to September.</w:t>
      </w:r>
    </w:p>
    <w:p>
      <w:pPr>
        <w:pStyle w:val="Heading2"/>
        <w:spacing w:after="120" w:before="240"/>
      </w:pPr>
      <w:r>
        <w:rPr>
          <w:rFonts w:ascii="Times New Roman" w:cs="Times New Roman" w:eastAsia="Times New Roman" w:hAnsi="Times New Roman"/>
          <w:b/>
          <w:bCs/>
          <w:i/>
          <w:iCs/>
          <w:sz w:val="24"/>
          <w:szCs w:val="24"/>
        </w:rPr>
        <w:t xml:space="preserve">3.4 Occupational groups and intervention approaches</w:t>
      </w:r>
    </w:p>
    <w:p>
      <w:pPr>
        <w:spacing w:after="160" w:line="400"/>
        <w:jc w:val="both"/>
      </w:pPr>
      <w:r>
        <w:rPr>
          <w:rFonts w:ascii="Times New Roman" w:cs="Times New Roman" w:eastAsia="Times New Roman" w:hAnsi="Times New Roman"/>
          <w:sz w:val="24"/>
          <w:szCs w:val="24"/>
        </w:rPr>
        <w:t xml:space="preserve">Healthcare workers were the participants in 67 (62.6%) trials: 36 with mixed or other healthcare staff, 19 with physicians or physician trainees and 12 with nurses. A further 7 trials studied mental-health and social-care professionals. Teachers and education staff were studied in 13 trials, and employees of other sectors or mixed occupational samples in 20. Taken together, workers outside health and social care contributed 30.8% of the trials, and no sector other than education was represented by more than a few trials (Figure 3).</w:t>
      </w:r>
    </w:p>
    <w:p>
      <w:pPr>
        <w:spacing w:after="160" w:line="400"/>
        <w:jc w:val="both"/>
      </w:pPr>
      <w:r>
        <w:rPr>
          <w:rFonts w:ascii="Times New Roman" w:cs="Times New Roman" w:eastAsia="Times New Roman" w:hAnsi="Times New Roman"/>
          <w:sz w:val="24"/>
          <w:szCs w:val="24"/>
        </w:rPr>
        <w:t xml:space="preserve">Mindfulness or meditation was the most frequent approach overall (21; 19.6%) and, together with the heterogeneous "other psychological" category, the only approach found in every occupational group. Its use was concentrated in mixed healthcare samples and among physicians. The approaches differed between groups in ways that follow the professional context. All three coaching trials were online group-coaching programmes for physicians or physician trainees. The largest single category among physicians was non-psychological (8 of 19 trials), namely professional training, workflow technology, practical support and physical activity. Among teachers, non-psychological programmes, mainly online professional training (4 of 13), and cognitive-behavioural or stress-management programmes (3 of 13) were the most common approaches. Acceptance and commitment therapy, compassion-based and positive-psychology programmes were each tested in fewer than ten trials, mainly in healthcare staff, so the evidence for these approaches rests on few trials in any single occupation.</w:t>
      </w:r>
    </w:p>
    <w:p>
      <w:pPr>
        <w:spacing w:after="160" w:line="400"/>
        <w:jc w:val="both"/>
      </w:pPr>
      <w:r>
        <w:rPr>
          <w:rFonts w:ascii="Times New Roman" w:cs="Times New Roman" w:eastAsia="Times New Roman" w:hAnsi="Times New Roman"/>
          <w:sz w:val="24"/>
          <w:szCs w:val="24"/>
        </w:rPr>
        <w:t xml:space="preserve">Delivery and comparators also differed between occupational groups. Physicians and physician trainees were the group most often offered blended programmes that combined online material with in-person sessions (7 of 19 trials), and they were the only group in which AI scribes were tested. Smartphone apps were concentrated in mixed healthcare samples (12 of 36 trials), whereas 10 of the 13 teacher trials used web programmes. Live online group sessions were used in 4 of 12 nurse trials and 3 of 7 trials with mental-health and social-care professionals, but in only 7 of 36 mixed healthcare trials. Waitlist controls were most common in mixed healthcare samples (15 of 36) and among employees of other sectors (8 of 20), while trials with physicians more often compared the intervention with usual practice (11 of 19).</w:t>
      </w:r>
    </w:p>
    <w:p>
      <w:pPr>
        <w:keepNext/>
        <w:spacing w:after="80" w:before="200"/>
        <w:jc w:val="center"/>
      </w:pPr>
      <w:r>
        <w:drawing>
          <wp:inline distT="0" distB="0" distL="0" distR="0">
            <wp:extent cx="5715000" cy="2800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0035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number of trials by occupational group and main intervention approach (n = 107). Row and column totals are shown in parentheses; a dot marks an empty cell.</w:t>
      </w:r>
    </w:p>
    <w:p>
      <w:pPr>
        <w:pStyle w:val="Heading2"/>
        <w:spacing w:after="120" w:before="240"/>
      </w:pPr>
      <w:r>
        <w:rPr>
          <w:rFonts w:ascii="Times New Roman" w:cs="Times New Roman" w:eastAsia="Times New Roman" w:hAnsi="Times New Roman"/>
          <w:b/>
          <w:bCs/>
          <w:i/>
          <w:iCs/>
          <w:sz w:val="24"/>
          <w:szCs w:val="24"/>
        </w:rPr>
        <w:t xml:space="preserve">3.5 Interventions with non-psychological mechanisms</w:t>
      </w:r>
    </w:p>
    <w:p>
      <w:pPr>
        <w:spacing w:after="160" w:line="400"/>
        <w:jc w:val="both"/>
      </w:pPr>
      <w:r>
        <w:rPr>
          <w:rFonts w:ascii="Times New Roman" w:cs="Times New Roman" w:eastAsia="Times New Roman" w:hAnsi="Times New Roman"/>
          <w:sz w:val="24"/>
          <w:szCs w:val="24"/>
        </w:rPr>
        <w:t xml:space="preserve">An intervention whose main mechanism was not psychological was evaluated in 23 trials (21.5%). These were professional training (9 trials, for example online communication training for physicians, video-based trauma-informed care training for midwives and an online professional-development course for preschool teachers), physical activity or health behaviour (6), feedback or navigation to services (5, including text-message engagement with linkage to care and a wearable-triggered just-in-time intervention), workflow automation (2) and workplace or practical support (1, a parental-support package for pregnant physicians in training that included virtual perinatal support). The two workflow trials randomized physicians to ambient AI scribes that draft clinical notes from recorded consultations and reported burnout or work exhaustion as secondary outcomes. They are the only trials in the set in which the digital technology changes the work itself rather than the worker's response to it.</w:t>
      </w:r>
    </w:p>
    <w:p>
      <w:pPr>
        <w:spacing w:after="160" w:line="400"/>
        <w:jc w:val="both"/>
      </w:pPr>
      <w:r>
        <w:rPr>
          <w:rFonts w:ascii="Times New Roman" w:cs="Times New Roman" w:eastAsia="Times New Roman" w:hAnsi="Times New Roman"/>
          <w:sz w:val="24"/>
          <w:szCs w:val="24"/>
        </w:rPr>
        <w:t xml:space="preserve">13 of these 23 trials (56.5%) were found only by the supplementary search. Non-psychological trials were more often compared with usual practice (16 of 23) and rarely with a waitlist (2), and physicians were the largest group among them (8 trials).</w:t>
      </w:r>
    </w:p>
    <w:p>
      <w:pPr>
        <w:pStyle w:val="Heading2"/>
        <w:spacing w:after="120" w:before="240"/>
      </w:pPr>
      <w:r>
        <w:rPr>
          <w:rFonts w:ascii="Times New Roman" w:cs="Times New Roman" w:eastAsia="Times New Roman" w:hAnsi="Times New Roman"/>
          <w:b/>
          <w:bCs/>
          <w:i/>
          <w:iCs/>
          <w:sz w:val="24"/>
          <w:szCs w:val="24"/>
        </w:rPr>
        <w:t xml:space="preserve">3.6 Comparators, human support and outcome reporting</w:t>
      </w:r>
    </w:p>
    <w:p>
      <w:pPr>
        <w:spacing w:after="160" w:line="400"/>
        <w:jc w:val="both"/>
      </w:pPr>
      <w:r>
        <w:rPr>
          <w:rFonts w:ascii="Times New Roman" w:cs="Times New Roman" w:eastAsia="Times New Roman" w:hAnsi="Times New Roman"/>
          <w:sz w:val="24"/>
          <w:szCs w:val="24"/>
        </w:rPr>
        <w:t xml:space="preserve">A waitlist or delayed-access control was used in 35 (32.7%) trials, an active or attention control in 26 (24.3%), usual practice or no intervention in 29 (27.1%), and a head-to-head comparison of two digital variants in 6 (5.6%); the comparator could not be determined from the abstract in 11 trials. Waitlist controls became much more frequent in recent trials: 17.5% of trials reported before 2023 used one (7 of 40), compared with 41.8% of those reported from 2023 onwards (28 of 67). The share of actively controlled trials moved in the opposite direction, from 37.5% before 2020 to 17.9% from 2023 (Table 4).</w:t>
      </w:r>
    </w:p>
    <w:p>
      <w:pPr>
        <w:spacing w:after="160" w:line="400"/>
        <w:jc w:val="both"/>
      </w:pPr>
      <w:r>
        <w:rPr>
          <w:rFonts w:ascii="Times New Roman" w:cs="Times New Roman" w:eastAsia="Times New Roman" w:hAnsi="Times New Roman"/>
          <w:sz w:val="24"/>
          <w:szCs w:val="24"/>
        </w:rPr>
        <w:t xml:space="preserve">Self-guided or automated interventions (47; 43.9%) and human-supported interventions (44; 41.1%) were about equally common, but support was closely tied to delivery mode. All 17 live online programmes were facilitated, and 19 of 20 app-based interventions were self-guided. For web programmes the level of support was often not stated in the abstract.</w:t>
      </w:r>
    </w:p>
    <w:p>
      <w:pPr>
        <w:spacing w:after="160" w:line="400"/>
        <w:jc w:val="both"/>
      </w:pPr>
      <w:r>
        <w:rPr>
          <w:rFonts w:ascii="Times New Roman" w:cs="Times New Roman" w:eastAsia="Times New Roman" w:hAnsi="Times New Roman"/>
          <w:sz w:val="24"/>
          <w:szCs w:val="24"/>
        </w:rPr>
        <w:t xml:space="preserve">Burnout was an outcome in every included trial, but only 50 (46.7%) abstracts named the instrument used. For the 57 trials whose abstracts did not, we identified the instrument from the full text (Section 2.5): 56 could be identified and 1 could not, because the available copy of the article was incomplete. Across abstract and full text, the Maslach Burnout Inventory or one of its adaptations was the most frequently used instrument (59 trials, 55.1%), followed by the Copenhagen Burnout Inventory (12), the Oldenburg Burnout Inventory (10) and the burnout scale of the Professional Fulfillment Index (6). A further 10 instruments were each used in one to five trials, and several trials used shortened versions, such as a two-item or five-item form of the emotional-exhaustion subscale. The proportion of abstracts naming the instrument was 18.8% before 2020 and around half in later periods (50.0% and 52.2%).</w:t>
      </w:r>
    </w:p>
    <w:p>
      <w:pPr>
        <w:keepNext/>
        <w:spacing w:after="100" w:before="24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enrolled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62.6</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17.9</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24.3</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41.1</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20.9</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46.7</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3.7 Publication of registered trials</w:t>
      </w:r>
    </w:p>
    <w:p>
      <w:pPr>
        <w:spacing w:after="160" w:line="400"/>
        <w:jc w:val="both"/>
      </w:pPr>
      <w:r>
        <w:rPr>
          <w:rFonts w:ascii="Times New Roman" w:cs="Times New Roman" w:eastAsia="Times New Roman" w:hAnsi="Times New Roman"/>
          <w:sz w:val="24"/>
          <w:szCs w:val="24"/>
        </w:rPr>
        <w:t xml:space="preserve">Of the 28 completed registrations, 19 used randomized allocation and 15 of these had been completed by the end of 2023 (Table 5; Appendix D). For 7 of the 15, a results report was included in this review. Results of 2 others had been published in samples outside the scope of the review, one in a clinical sample recruited on symptom level and one in the general population. For the remaining 6 (40.0%) no results report could be located; one of them had published only a protocol. The 4 randomized registrations completed in 2024 or later were not classified, because too little time has passed for publication.</w:t>
      </w:r>
    </w:p>
    <w:p>
      <w:pPr>
        <w:keepNext/>
        <w:spacing w:after="100" w:before="24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Publication status of randomized registrations completed by the end of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4680"/>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Status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 (%)</w:t>
            </w:r>
          </w:p>
        </w:tc>
        <w:tc>
          <w:tcPr>
            <w:tcW w:type="dxa" w:w="468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Registrations</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report included in this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 (46.7%)</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NCT02603133, NCT03475290, NCT04126564, NCT04393818, NCT04719351, NCT04816708, NCT05280964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published outside the scope of the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(13.3%)</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NCT02540317, NCT05246800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 results report located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 (40.0%)</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NCT03753360, NCT04462484, NCT05085132, NCT05036356, NCT04958941, NCT05779501</w:t>
            </w:r>
          </w:p>
        </w:tc>
      </w:tr>
      <w:tr>
        <w:tc>
          <w:tcPr>
            <w:tcW w:type="dxa" w:w="3182"/>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4680"/>
            <w:tcBorders>
              <w:top w:val="single" w:color="808080" w:sz="4"/>
              <w:left w:val="none" w:color="FFFFFF" w:sz="0"/>
              <w:bottom w:val="none" w:color="FFFFFF" w:sz="0"/>
              <w:right w:val="none" w:color="FFFFFF" w:sz="0"/>
            </w:tcBorders>
          </w:tcPr>
          <w:p/>
        </w:tc>
      </w:tr>
    </w:tbl>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107 randomized trials of digitally delivered interventions that reported burnout in working populations. Four features describe the evidence. First, it is recent: about three in five trials were first reported from 2023 onwards, and the field changed after 2020 in who was studied and how interventions were delivered. Second, it is concentrated in healthcare, which accounts for 62.6% of trials, while teachers and all other sectors together contribute 30.8%. Third, most trials test psychological programmes delivered to individual workers. Interventions that change training, work processes or practical conditions are a small and partly hidden part of the literature: 13 of 23 were retrieved only when the intervention-type terms were removed from the search. Fourth, design and reporting leave room for improvement. Waitlist controls are common and were used in more than two in five of the most recent trials, the typical trial is small, fewer than half of the abstracts name the burnout instrument, and results could not be found for two in five registered trials completed by 2023.</w:t>
      </w:r>
    </w:p>
    <w:p>
      <w:pPr>
        <w:spacing w:after="160" w:line="400"/>
        <w:jc w:val="both"/>
      </w:pPr>
      <w:r>
        <w:rPr>
          <w:rFonts w:ascii="Times New Roman" w:cs="Times New Roman" w:eastAsia="Times New Roman" w:hAnsi="Times New Roman"/>
          <w:sz w:val="24"/>
          <w:szCs w:val="24"/>
        </w:rPr>
        <w:t xml:space="preserve">The concentration in healthcare reflects a change that began in 2020. Before 2020 only 4 of 16 trials studied healthcare workers, whereas 18 of 24 did so in 2020-2022 and 45 of 67 from 2023. Live online group programmes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organisation, when withholding support from staff under pressure was hard to defend and a delayed-access design was the easiest compromise. If so, effects observed during the pandemic may not hold in ordinary working conditions, and confirmatory trials under stable conditions are needed.</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Table 6 compares the scope of this review with related reviews. Previous reviews were limited to one profession and pooled effects [8], covered healthcare workers regardless of delivery mode [7], targeted stress and burnout prevention in nurses and physicians [10], or were limited to nurses [9] or to one therapeutic approach [11]. By restricting design to randomized trials and the outcome to burnout, while admitting any occupation and any mechanism, this review complements them. Its wider scope also shows that the healthcare focus of earlier reviews largely reflects where the trials have been done: even without an occupational restriction, most of the evidence comes from hospitals and health services.</w:t>
      </w:r>
    </w:p>
    <w:p>
      <w:pPr>
        <w:keepNext/>
        <w:spacing w:after="100" w:before="24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Scope of this review compared with related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685"/>
        <w:gridCol w:w="1685"/>
        <w:gridCol w:w="1498"/>
        <w:gridCol w:w="1498"/>
      </w:tblGrid>
      <w:tr>
        <w:trPr>
          <w:tblHeader/>
        </w:trPr>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Review</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Population</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Interventions</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Outcome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 designs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Synthesis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This review</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 occupations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Any digitally delivered intervention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map</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Yang et al., 2026 [8]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Digital health</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and quasi-experimental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Adam et al., 2023 [10]</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 and physicians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Supported by digital applications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Stress; burnout prevention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Not restricted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Scoping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Kunzler et al., 2020 [7]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professionals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Psychological, any delivery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Resilience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Cochrane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Park et al., 2022 [9]</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E-healthcare</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(primary)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Lampinen et al., 2026 [11]</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Employees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Online ACT</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depression, anxiety,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narrative review</w:t>
            </w:r>
          </w:p>
        </w:tc>
      </w:tr>
      <w:tr>
        <w:tc>
          <w:tcPr>
            <w:tcW w:type="dxa" w:w="1685"/>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4.3 What the evidence map shows</w:t>
      </w:r>
    </w:p>
    <w:p>
      <w:pPr>
        <w:spacing w:after="160" w:line="400"/>
        <w:jc w:val="both"/>
      </w:pPr>
      <w:r>
        <w:rPr>
          <w:rFonts w:ascii="Times New Roman" w:cs="Times New Roman" w:eastAsia="Times New Roman" w:hAnsi="Times New Roman"/>
          <w:sz w:val="24"/>
          <w:szCs w:val="24"/>
        </w:rPr>
        <w:t xml:space="preserve">The map shows gaps of two kinds. The first concerns populations. Outside health and social care there are 33 trials, spread across teachers, employees of a few companies and mixed occupational samples. Most trials in the employee group recruited mixed occupational samples or the staff of a single organisation,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t>
      </w:r>
    </w:p>
    <w:p>
      <w:pPr>
        <w:spacing w:after="160" w:line="400"/>
        <w:jc w:val="both"/>
      </w:pPr>
      <w:r>
        <w:rPr>
          <w:rFonts w:ascii="Times New Roman" w:cs="Times New Roman" w:eastAsia="Times New Roman" w:hAnsi="Times New Roman"/>
          <w:sz w:val="24"/>
          <w:szCs w:val="24"/>
        </w:rPr>
        <w:t xml:space="preserve">The second concerns mechanisms. Meta-analytic evidence in physicians suggests that organisation-directed interventions may be at least as effective as those directed at individuals [5,6], yet nearly four in five trials here (78.5% with a psychological mechanism) test programmes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recognised driver of physician burnout [4], directly. The two included scribe trials appeared in an artificial-intelligence journal (NEJM AI) and a clinical-informatics journal (Applied Clinical Informatics) rather than in occupational-health journals, and they do not use psychological terms. Reviews that search only for psychological interventions will miss them, as the main search of this review did.</w:t>
      </w:r>
    </w:p>
    <w:p>
      <w:pPr>
        <w:pStyle w:val="Heading2"/>
        <w:spacing w:after="120" w:before="240"/>
      </w:pPr>
      <w:r>
        <w:rPr>
          <w:rFonts w:ascii="Times New Roman" w:cs="Times New Roman" w:eastAsia="Times New Roman" w:hAnsi="Times New Roman"/>
          <w:b/>
          <w:bCs/>
          <w:i/>
          <w:iCs/>
          <w:sz w:val="24"/>
          <w:szCs w:val="24"/>
        </w:rPr>
        <w:t xml:space="preserve">4.4 Implications for trial design and reporting</w:t>
      </w:r>
    </w:p>
    <w:p>
      <w:pPr>
        <w:spacing w:after="160" w:line="400"/>
        <w:jc w:val="both"/>
      </w:pPr>
      <w:r>
        <w:rPr>
          <w:rFonts w:ascii="Times New Roman" w:cs="Times New Roman" w:eastAsia="Times New Roman" w:hAnsi="Times New Roman"/>
          <w:sz w:val="24"/>
          <w:szCs w:val="24"/>
        </w:rPr>
        <w:t xml:space="preserve">Waitlist controls were used in about a third of the trials and in more than two in five of those reported from 2023.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organisational support, or between two versions of a digital programme would say more about what the intervention adds. The small median sample, the 14 trials with fewer than 50 participants and the 22 trials that describe themselves as pilot or feasibility studies indicate that much of the evidence comes from studies that were not designed to test effectiveness.</w:t>
      </w:r>
    </w:p>
    <w:p>
      <w:pPr>
        <w:spacing w:after="160" w:line="400"/>
        <w:jc w:val="both"/>
      </w:pPr>
      <w:r>
        <w:rPr>
          <w:rFonts w:ascii="Times New Roman" w:cs="Times New Roman" w:eastAsia="Times New Roman" w:hAnsi="Times New Roman"/>
          <w:sz w:val="24"/>
          <w:szCs w:val="24"/>
        </w:rPr>
        <w:t xml:space="preserve">Burnout measurement was reported inconsistently. More than half of the abstracts did not name the instrument. The full texts show that the field is less fragmented than the abstracts suggest, since the Maslach Burnout Inventory and its adaptations account for about 55.1% of trials, but they also show that several instruments with different conceptual bases and many shortened versions are in use [2,19]. Missing instrument names make the trials hard to find and, together with the shortened forms, hard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although this review did not compare effect sizes, so we cannot say whether unpublished trials differ from published ones.</w:t>
      </w:r>
    </w:p>
    <w:p>
      <w:pPr>
        <w:pStyle w:val="Heading2"/>
        <w:spacing w:after="120" w:before="240"/>
      </w:pPr>
      <w:r>
        <w:rPr>
          <w:rFonts w:ascii="Times New Roman" w:cs="Times New Roman" w:eastAsia="Times New Roman" w:hAnsi="Times New Roman"/>
          <w:b/>
          <w:bCs/>
          <w:i/>
          <w:iCs/>
          <w:sz w:val="24"/>
          <w:szCs w:val="24"/>
        </w:rPr>
        <w:t xml:space="preserve">4.5 Strengths and limitations</w:t>
      </w:r>
    </w:p>
    <w:p>
      <w:pPr>
        <w:spacing w:after="160" w:line="400"/>
        <w:jc w:val="both"/>
      </w:pPr>
      <w:r>
        <w:rPr>
          <w:rFonts w:ascii="Times New Roman" w:cs="Times New Roman" w:eastAsia="Times New Roman" w:hAnsi="Times New Roman"/>
          <w:sz w:val="24"/>
          <w:szCs w:val="24"/>
        </w:rPr>
        <w:t xml:space="preserve">The review has several strengths. It searched five databases, including two large open sources, and it tested and corrected its own search strategy by running a supplementary search without the intervention-type block. Every report that passed screening was assessed against explicit criteria with a recorded reason. Reports were linked to trials and the analysis was done at trial level. The trial registry was used both to find missed reports and to examine publication. All data and code are publicly available.</w:t>
      </w:r>
    </w:p>
    <w:p>
      <w:pPr>
        <w:spacing w:after="160" w:line="400"/>
        <w:jc w:val="both"/>
      </w:pPr>
      <w:r>
        <w:rPr>
          <w:rFonts w:ascii="Times New Roman" w:cs="Times New Roman" w:eastAsia="Times New Roman" w:hAnsi="Times New Roman"/>
          <w:sz w:val="24"/>
          <w:szCs w:val="24"/>
        </w:rPr>
        <w:t xml:space="preserve">There are also limitations. Selection and charting were done by a single reviewer with the help of an AI agent. A second reviewer assessed only a sample of 30 reports, and kappa from so few reports is imprecise; the remaining reports were assessed by one reviewer, and the screening error was estimated from a random sample of excluded records. Eligibility and charting relied mainly on abstracts. The burnout instrument was checked in the full text for the trials whose abstracts did not name it, but other features, such as the comparator, the delivery mode and the sample size, may be reported more completely in the full texts than our figures suggest. PsycINFO, Embase and CENTRAL were not searched, and reference lists were not checked; the supplementary search used a broader but still incomplete vocabulary, and one eligible report was recovered only through the registry. Some eligible trials, especially from sectors outside health care, have probably been missed. Two reports could not be retrieved.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Randomized evidence on digital interventions for occupational burnout has grown quickly since 2020 and now comprises 107 trials. The evidence is concentrated in healthcare and in psychological programmes for individual workers. Recent trials rely more often on waitlist controls, many trials are small pilot studies, and the burnout instrument is often not named in the abstract. The next generation of trials should include workers outside healthcare, test interventions that change training and work processes as well as individual coping, use active or usual-practice comparators, and report both the burnout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All data and code are available at https://github.com/fyodora2/5R. The file master_registry.csv lists all 234 reports assessed for eligibility (147 from the main search, 66 from the supplementary searches and 21 registry-linked publications) with the decision and reason for each. The file study_charting.csv contains the charting data for the 107 trials, supplementary_screening.csv and wos_scopus_supplementary_screening.csv contain every record screened in the supplementary searches, and registry_linkage.csv contains the 28 registrations. Abstracts retrieved from Web of Science and Scopus are not redistributed because of the databases' terms of use.</w:t>
      </w:r>
    </w:p>
    <w:p>
      <w:pPr>
        <w:spacing w:after="160" w:line="400"/>
        <w:jc w:val="both"/>
      </w:pPr>
      <w:r>
        <w:rPr>
          <w:rFonts w:ascii="Times New Roman" w:cs="Times New Roman" w:eastAsia="Times New Roman" w:hAnsi="Times New Roman"/>
          <w:b/>
          <w:bCs/>
          <w:sz w:val="24"/>
          <w:szCs w:val="24"/>
        </w:rPr>
        <w:t xml:space="preserve">Use of artificial intelligence:</w:t>
      </w:r>
      <w:r>
        <w:rPr>
          <w:rFonts w:ascii="Times New Roman" w:cs="Times New Roman" w:eastAsia="Times New Roman" w:hAnsi="Times New Roman"/>
          <w:sz w:val="24"/>
          <w:szCs w:val="24"/>
        </w:rPr>
        <w:t xml:space="preserve"> See Section 2.8.</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World Health Organization. Burn-out an "occupational phenomenon": International Classification of Diseases. Geneva: World Health Organization; 2019 May 28.</w:t>
      </w:r>
    </w:p>
    <w:p>
      <w:pPr>
        <w:spacing w:after="100" w:line="300"/>
        <w:ind w:left="440" w:hanging="440"/>
      </w:pPr>
      <w:r>
        <w:rPr>
          <w:rFonts w:ascii="Times New Roman" w:cs="Times New Roman" w:eastAsia="Times New Roman" w:hAnsi="Times New Roman"/>
          <w:sz w:val="22"/>
          <w:szCs w:val="22"/>
        </w:rPr>
        <w:t xml:space="preserve">2.	Maslach C, Leiter MP. Understanding the burnout experience: recent research and its implications for psychiatry. World Psychiatry. 2016;15(2):103-11. doi:10.1002/wps.20311</w:t>
      </w:r>
    </w:p>
    <w:p>
      <w:pPr>
        <w:spacing w:after="100" w:line="300"/>
        <w:ind w:left="440" w:hanging="440"/>
      </w:pPr>
      <w:r>
        <w:rPr>
          <w:rFonts w:ascii="Times New Roman" w:cs="Times New Roman" w:eastAsia="Times New Roman" w:hAnsi="Times New Roman"/>
          <w:sz w:val="22"/>
          <w:szCs w:val="22"/>
        </w:rPr>
        <w:t xml:space="preserve">3.	Rotenstein LS, Torre M, Ramos MA, Rosales RC, Guille C, Sen S, et al. Prevalence of burnout among physicians: a systematic review. JAMA. 2018;320(11):1131-50. doi:10.1001/jama.2018.12777</w:t>
      </w:r>
    </w:p>
    <w:p>
      <w:pPr>
        <w:spacing w:after="100" w:line="300"/>
        <w:ind w:left="440" w:hanging="440"/>
      </w:pPr>
      <w:r>
        <w:rPr>
          <w:rFonts w:ascii="Times New Roman" w:cs="Times New Roman" w:eastAsia="Times New Roman" w:hAnsi="Times New Roman"/>
          <w:sz w:val="22"/>
          <w:szCs w:val="22"/>
        </w:rPr>
        <w:t xml:space="preserve">4.	West CP, Dyrbye LN, Shanafelt TD. Physician burnout: contributors, consequences and solutions. J Intern Med. 2018;283(6):516-29. doi:10.1111/joim.12752</w:t>
      </w:r>
    </w:p>
    <w:p>
      <w:pPr>
        <w:spacing w:after="100" w:line="300"/>
        <w:ind w:left="440" w:hanging="440"/>
      </w:pPr>
      <w:r>
        <w:rPr>
          <w:rFonts w:ascii="Times New Roman" w:cs="Times New Roman" w:eastAsia="Times New Roman" w:hAnsi="Times New Roman"/>
          <w:sz w:val="22"/>
          <w:szCs w:val="22"/>
        </w:rPr>
        <w:t xml:space="preserve">5.	West CP, Dyrbye LN, Erwin PJ, Shanafelt TD. Interventions to prevent and reduce physician burnout: a systematic review and meta-analysis. Lancet. 2016;388(10057):2272-81. doi:10.1016/S0140-6736(16)31279-X</w:t>
      </w:r>
    </w:p>
    <w:p>
      <w:pPr>
        <w:spacing w:after="100" w:line="300"/>
        <w:ind w:left="440" w:hanging="440"/>
      </w:pPr>
      <w:r>
        <w:rPr>
          <w:rFonts w:ascii="Times New Roman" w:cs="Times New Roman" w:eastAsia="Times New Roman" w:hAnsi="Times New Roman"/>
          <w:sz w:val="22"/>
          <w:szCs w:val="22"/>
        </w:rPr>
        <w:t xml:space="preserve">6.	Panagioti M, Panagopoulou E, Bower P, Lewith G, Kontopantelis E, Chew-Graham C, et al. Controlled interventions to reduce burnout in physicians: a systematic review and meta-analysis. JAMA Intern Med. 2017;177(2):195-205. doi:10.1001/jamainternmed.2016.7674</w:t>
      </w:r>
    </w:p>
    <w:p>
      <w:pPr>
        <w:spacing w:after="100" w:line="300"/>
        <w:ind w:left="440" w:hanging="440"/>
      </w:pPr>
      <w:r>
        <w:rPr>
          <w:rFonts w:ascii="Times New Roman" w:cs="Times New Roman" w:eastAsia="Times New Roman" w:hAnsi="Times New Roman"/>
          <w:sz w:val="22"/>
          <w:szCs w:val="22"/>
        </w:rPr>
        <w:t xml:space="preserve">7.	Kunzler AM, Helmreich I, Chmitorz A, König J, Binder H, Wessa M, et al. Psychological interventions to foster resilience in healthcare professionals. Cochrane Database Syst Rev. 2020;7:CD012527. doi:10.1002/14651858.CD012527.pub2</w:t>
      </w:r>
    </w:p>
    <w:p>
      <w:pPr>
        <w:spacing w:after="100" w:line="300"/>
        <w:ind w:left="440" w:hanging="440"/>
      </w:pPr>
      <w:r>
        <w:rPr>
          <w:rFonts w:ascii="Times New Roman" w:cs="Times New Roman" w:eastAsia="Times New Roman" w:hAnsi="Times New Roman"/>
          <w:sz w:val="22"/>
          <w:szCs w:val="22"/>
        </w:rPr>
        <w:t xml:space="preserve">8.	Yang Y, Wen J, Wan H, Yang Q, Guan J, Min L, et al. Digital health interventions for reducing occupational burnout in nurses: a systematic review and meta-analysis. Front Public Health. 2026;14:1879258. doi:10.3389/fpubh.2026.1879258</w:t>
      </w:r>
    </w:p>
    <w:p>
      <w:pPr>
        <w:spacing w:after="100" w:line="300"/>
        <w:ind w:left="440" w:hanging="440"/>
      </w:pPr>
      <w:r>
        <w:rPr>
          <w:rFonts w:ascii="Times New Roman" w:cs="Times New Roman" w:eastAsia="Times New Roman" w:hAnsi="Times New Roman"/>
          <w:sz w:val="22"/>
          <w:szCs w:val="22"/>
        </w:rPr>
        <w:t xml:space="preserve">9.	Park JH, Jung SE, Ha DJ, Lee B, Kim MS, Sim KL, et al. E-healthcare interventions for nurse mental health: a systematic review. Medicine (Baltimore). 2022;101(28):e29125. doi:10.1097/MD.0000000000029125</w:t>
      </w:r>
    </w:p>
    <w:p>
      <w:pPr>
        <w:spacing w:after="100" w:line="300"/>
        <w:ind w:left="440" w:hanging="440"/>
      </w:pPr>
      <w:r>
        <w:rPr>
          <w:rFonts w:ascii="Times New Roman" w:cs="Times New Roman" w:eastAsia="Times New Roman" w:hAnsi="Times New Roman"/>
          <w:sz w:val="22"/>
          <w:szCs w:val="22"/>
        </w:rPr>
        <w:t xml:space="preserve">10.	Adam D, Berschick J, Schiele JK, Bogdanski M, Schröter M, Steinmetz M, et al. Interventions to reduce stress and prevent burnout in healthcare professionals supported by digital applications: a scoping review. Front Public Health. 2023;11:1231266. doi:10.3389/fpubh.2023.1231266</w:t>
      </w:r>
    </w:p>
    <w:p>
      <w:pPr>
        <w:spacing w:after="100" w:line="300"/>
        <w:ind w:left="440" w:hanging="440"/>
      </w:pPr>
      <w:r>
        <w:rPr>
          <w:rFonts w:ascii="Times New Roman" w:cs="Times New Roman" w:eastAsia="Times New Roman" w:hAnsi="Times New Roman"/>
          <w:sz w:val="22"/>
          <w:szCs w:val="22"/>
        </w:rPr>
        <w:t xml:space="preserve">11.	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spacing w:after="100" w:line="300"/>
        <w:ind w:left="440" w:hanging="440"/>
      </w:pPr>
      <w:r>
        <w:rPr>
          <w:rFonts w:ascii="Times New Roman" w:cs="Times New Roman" w:eastAsia="Times New Roman" w:hAnsi="Times New Roman"/>
          <w:sz w:val="22"/>
          <w:szCs w:val="22"/>
        </w:rPr>
        <w:t xml:space="preserve">12.	Arksey H, O'Malley L. Scoping studies: towards a methodological framework. Int J Soc Res Methodol. 2005;8(1):19-32. doi:10.1080/1364557032000119616</w:t>
      </w:r>
    </w:p>
    <w:p>
      <w:pPr>
        <w:spacing w:after="100" w:line="300"/>
        <w:ind w:left="440" w:hanging="440"/>
      </w:pPr>
      <w:r>
        <w:rPr>
          <w:rFonts w:ascii="Times New Roman" w:cs="Times New Roman" w:eastAsia="Times New Roman" w:hAnsi="Times New Roman"/>
          <w:sz w:val="22"/>
          <w:szCs w:val="22"/>
        </w:rPr>
        <w:t xml:space="preserve">13.	Levac D, Colquhoun H, O'Brien KK. Scoping studies: advancing the methodology. Implement Sci. 2010;5:69. doi:10.1186/1748-5908-5-69</w:t>
      </w:r>
    </w:p>
    <w:p>
      <w:pPr>
        <w:spacing w:after="100" w:line="300"/>
        <w:ind w:left="440" w:hanging="440"/>
      </w:pPr>
      <w:r>
        <w:rPr>
          <w:rFonts w:ascii="Times New Roman" w:cs="Times New Roman" w:eastAsia="Times New Roman" w:hAnsi="Times New Roman"/>
          <w:sz w:val="22"/>
          <w:szCs w:val="22"/>
        </w:rPr>
        <w:t xml:space="preserve">14.	Peters MDJ, Godfrey C, McInerney P, Munn Z, Tricco AC, Khalil H. Chapter 11: Scoping reviews. In: Aromataris E, Munn Z, editors. JBI Manual for Evidence Synthesis. Adelaide: JBI; 2020. doi:10.46658/JBIMES-20-12</w:t>
      </w:r>
    </w:p>
    <w:p>
      <w:pPr>
        <w:spacing w:after="100" w:line="300"/>
        <w:ind w:left="440" w:hanging="440"/>
      </w:pPr>
      <w:r>
        <w:rPr>
          <w:rFonts w:ascii="Times New Roman" w:cs="Times New Roman" w:eastAsia="Times New Roman" w:hAnsi="Times New Roman"/>
          <w:sz w:val="22"/>
          <w:szCs w:val="22"/>
        </w:rPr>
        <w:t xml:space="preserve">15.	Tricco AC, Lillie E, Zarin W, O'Brien KK, Colquhoun H, Levac D, et al. PRISMA Extension for Scoping Reviews (PRISMA-ScR): checklist and explanation. Ann Intern Med. 2018;169(7):467-73. doi:10.7326/M18-0850</w:t>
      </w:r>
    </w:p>
    <w:p>
      <w:pPr>
        <w:spacing w:after="100" w:line="300"/>
        <w:ind w:left="440" w:hanging="440"/>
      </w:pPr>
      <w:r>
        <w:rPr>
          <w:rFonts w:ascii="Times New Roman" w:cs="Times New Roman" w:eastAsia="Times New Roman" w:hAnsi="Times New Roman"/>
          <w:sz w:val="22"/>
          <w:szCs w:val="22"/>
        </w:rPr>
        <w:t xml:space="preserve">16.	Page MJ, McKenzie JE, Bossuyt PM, Boutron I, Hoffmann TC, Mulrow CD, et al. The PRISMA 2020 statement: an updated guideline for reporting systematic reviews. BMJ. 2021;372:n71. doi:10.1136/bmj.n71</w:t>
      </w:r>
    </w:p>
    <w:p>
      <w:pPr>
        <w:spacing w:after="100" w:line="300"/>
        <w:ind w:left="440" w:hanging="440"/>
      </w:pPr>
      <w:r>
        <w:rPr>
          <w:rFonts w:ascii="Times New Roman" w:cs="Times New Roman" w:eastAsia="Times New Roman" w:hAnsi="Times New Roman"/>
          <w:sz w:val="22"/>
          <w:szCs w:val="22"/>
        </w:rPr>
        <w:t xml:space="preserve">17.	Clopper CJ, Pearson ES. The use of confidence or fiducial limits illustrated in the case of the binomial. Biometrika. 1934;26(4):404-13. doi:10.1093/biomet/26.4.404</w:t>
      </w:r>
    </w:p>
    <w:p>
      <w:pPr>
        <w:spacing w:after="100" w:line="300"/>
        <w:ind w:left="440" w:hanging="440"/>
      </w:pPr>
      <w:r>
        <w:rPr>
          <w:rFonts w:ascii="Times New Roman" w:cs="Times New Roman" w:eastAsia="Times New Roman" w:hAnsi="Times New Roman"/>
          <w:sz w:val="22"/>
          <w:szCs w:val="22"/>
        </w:rPr>
        <w:t xml:space="preserve">18.	Furukawa TA, Noma H, Caldwell DM, Honyashiki M, Shinohara K, Imai H, et al. Waiting list may be a nocebo condition in psychotherapy trials: a contribution from network meta-analysis. Acta Psychiatr Scand. 2014;130(3):181-92. doi:10.1111/acps.12275</w:t>
      </w:r>
    </w:p>
    <w:p>
      <w:pPr>
        <w:spacing w:after="100" w:line="300"/>
        <w:ind w:left="440" w:hanging="440"/>
      </w:pPr>
      <w:r>
        <w:rPr>
          <w:rFonts w:ascii="Times New Roman" w:cs="Times New Roman" w:eastAsia="Times New Roman" w:hAnsi="Times New Roman"/>
          <w:sz w:val="22"/>
          <w:szCs w:val="22"/>
        </w:rPr>
        <w:t xml:space="preserve">19.	Schaufeli WB, De Witte H, Desart S. Burnout Assessment Tool (BAT): development, validity, and reliability. Int J Environ Res Public Health. 2020;17(24):9495. doi:10.3390/ijerph17249495</w:t>
      </w:r>
    </w:p>
    <w:p>
      <w:pPr>
        <w:spacing w:after="100" w:line="300"/>
        <w:ind w:left="440" w:hanging="440"/>
      </w:pPr>
      <w:r>
        <w:rPr>
          <w:rFonts w:ascii="Times New Roman" w:cs="Times New Roman" w:eastAsia="Times New Roman" w:hAnsi="Times New Roman"/>
          <w:sz w:val="22"/>
          <w:szCs w:val="22"/>
        </w:rPr>
        <w:t xml:space="preserve">20.	Schulz KF, Altman DG, Moher D; CONSORT Group. CONSORT 2010 statement: updated guidelines for reporting parallel group randomised trials. BMJ. 2010;340:c332. doi:10.1136/bmj.c332</w:t>
      </w:r>
    </w:p>
    <w:p>
      <w:pPr>
        <w:spacing w:after="100" w:line="300"/>
        <w:ind w:left="440" w:hanging="440"/>
      </w:pPr>
      <w:r>
        <w:rPr>
          <w:rFonts w:ascii="Times New Roman" w:cs="Times New Roman" w:eastAsia="Times New Roman" w:hAnsi="Times New Roman"/>
          <w:sz w:val="22"/>
          <w:szCs w:val="22"/>
        </w:rPr>
        <w:t xml:space="preserve">21.	Eysenbach G; CONSORT-EHEALTH Group. CONSORT-EHEALTH: improving and standardizing evaluation reports of web-based and mobile health interventions. J Med Internet Res. 2011;13(4):e126. doi:10.2196/jmir.1923</w:t>
      </w:r>
    </w:p>
    <w:p>
      <w:pPr>
        <w:spacing w:after="100" w:line="300"/>
        <w:ind w:left="440" w:hanging="440"/>
      </w:pPr>
      <w:r>
        <w:rPr>
          <w:rFonts w:ascii="Times New Roman" w:cs="Times New Roman" w:eastAsia="Times New Roman" w:hAnsi="Times New Roman"/>
          <w:sz w:val="22"/>
          <w:szCs w:val="22"/>
        </w:rPr>
        <w:t xml:space="preserve">22.	Chen R, Desai NR, Ross JS, Zhang W, Chau KH, Wayda B, et al. Publication and reporting of clinical trial results: cross sectional analysis across academic medical centers. BMJ. 2016;352:i637. doi:10.1136/bmj.i637</w:t>
      </w:r>
    </w:p>
    <w:p>
      <w:r>
        <w:br w:type="page"/>
      </w:r>
    </w:p>
    <w:p>
      <w:pPr>
        <w:pStyle w:val="Heading1"/>
        <w:spacing w:after="180" w:before="360"/>
      </w:pPr>
      <w:r>
        <w:rPr>
          <w:rFonts w:ascii="Times New Roman" w:cs="Times New Roman" w:eastAsia="Times New Roman" w:hAnsi="Times New Roman"/>
          <w:b/>
          <w:bCs/>
          <w:sz w:val="28"/>
          <w:szCs w:val="28"/>
        </w:rPr>
        <w:t xml:space="preserve">Appendix A. Search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685"/>
        <w:gridCol w:w="6084"/>
      </w:tblGrid>
      <w:tr>
        <w:trPr>
          <w:tblHeader/>
        </w:trPr>
        <w:tc>
          <w:tcPr>
            <w:tcW w:type="dxa" w:w="159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Source</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Field and date</w:t>
            </w:r>
          </w:p>
        </w:tc>
        <w:tc>
          <w:tcPr>
            <w:tcW w:type="dxa" w:w="608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Search string</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The same four blocks in OpenAlex Boolean syntax, with truncated terms replaced by their word forms (for example psychological OR psychology; randomized OR randomised).</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ERIC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All fields;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Core Collection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As for Web of Science.</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(main digital block OR extended digital terms as above) AND (randomized OR randomised OR RCT OR "controlled trial" OR "clinical trial") AND NOT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TITLE-ABS-KEY((burnout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TS=((burnout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ClinicalTrials.gov</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API v2;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t>
            </w:r>
          </w:p>
        </w:tc>
      </w:tr>
      <w:tr>
        <w:tc>
          <w:tcPr>
            <w:tcW w:type="dxa" w:w="1591"/>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608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B. Reports excluded at eligibility assessment</w:t>
      </w:r>
    </w:p>
    <w:p>
      <w:pPr>
        <w:spacing w:after="160" w:line="400"/>
        <w:jc w:val="both"/>
      </w:pPr>
      <w:r>
        <w:rPr>
          <w:rFonts w:ascii="Times New Roman" w:cs="Times New Roman" w:eastAsia="Times New Roman" w:hAnsi="Times New Roman"/>
          <w:sz w:val="24"/>
          <w:szCs w:val="24"/>
        </w:rPr>
        <w:t xml:space="preserve">All 124 excluded reports, ordered by the criterion they failed. Main = main database search; Suppl. = supplementary search; Registry = registry-linked publication. Record identifiers match master_registry.csv.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749"/>
        <w:gridCol w:w="562"/>
        <w:gridCol w:w="3463"/>
        <w:gridCol w:w="1498"/>
        <w:gridCol w:w="2434"/>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ID</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Route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Year</w:t>
            </w:r>
          </w:p>
        </w:tc>
        <w:tc>
          <w:tcPr>
            <w:tcW w:type="dxa" w:w="346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Title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Criterion</w:t>
            </w:r>
          </w:p>
        </w:tc>
        <w:tc>
          <w:tcPr>
            <w:tcW w:type="dxa" w:w="243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Reason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(VR) Device with Integrated Biofeedback Sensors…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Alleviating staff stress in care homes for people with dementia: protocol…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(stepped-wedge cluster RCT);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Predictors of dropout in cognitive behavior and interpersonal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predictors of dropout;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Better Together: A Novel Online Physician Group Coaching Program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pre-post analysis of a pilot cohort; no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Midwives: Supporting Health and Well‐Being for Our…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Commentary; not a trial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Guided and Individualized,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in progress (conference abstract, future tense); no results. Completed trial reported separately (included)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Online Mindfulness Training and Work-related Outcomes: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BiWell: Bicocca + Workplace Well-being. An effectiveness analysis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Edu:Social School Study: Promoting well-being and socio-emotional…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Mental Health in Small Business Leaders: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Beyond Nature Videos: Evaluating BioMusic Breaks for Burnt-Out Nonprofit…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Mobile Phone-Based Intervention to Reduce 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(R023)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Greater Resilience Information Toolkit Japanese Version (GRIT-J)</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Impostor syndrome and burnout among American medical students: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survey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12-item Self-Report World Health Organization Disability Assessment…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Measurement-validation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Prevalence of Burnout Among Physicians: A Systematic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Internet-based intervention for job stress and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(NCT03475290)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Validation of the Compassion Scale.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Cost-Effectiveness of Therapist-Guided Internet-Based Cognitive…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Psychological interventions to foster resilience in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(NCT03753360)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Identifying Moral Injury in Healthcare Professionals: The Moral Injury…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mobile-based intervention on mental health in frontline…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(NCT04393818)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Who Benefits Most? A Multisite Study of Coaching and Resident Well-being.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a different coaching study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Ecological momentary intervention to enhance emotion regulation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(NCT04958941)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"We're all going through it": impact of an online group coaching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Qualitative secondary analysis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Demographics in distress: a national study of burnout and well-being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Observational survey cited in the registration (NCT06149156)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 Quality of Life Improvement While Reducing Health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Within-trial economic secondary analysis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Randomized-Clinical Trial of Two Ambient Artificial Intelligence…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(Ambient AI Scribes in Clinical Practice, NEJM AI 2025)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the Internet 'Self-Examination Therapy (SET)'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study to evaluate a digital intervention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Caring for carers: A virtual psychosocial supervision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Collecting User Experience Data from Clinicians Without Increasing…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 synthesis and measurement strategy,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When a pandemic and epidemic collide: Lessons learned about how system…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Lessons-learned report,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Mobile Heart Rate Variability Biofeedback for Work-Related Stress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Feasibility of a Novel Group Intervention to Support…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Reports only one randomized arm (pre-post); no between-group comparison (full text confirms the individual-format arm is reported elsewhere)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mindfulness-based intervention for undergraduate pharmacy…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Quasi-randomized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active occupational stress management on psychosocial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pilot; no control group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mindfulness coaching enhances selective attention in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Waitlist-controlled pilot; random allocation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study of an online brief mindfulness-based intervention to improve…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Anxiety and Burnout: Symptom Correlates and a Prospective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prospective pilot (NCT04137081)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Web-Based Psychotherapy to Treat and Prevent…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Non-randomized controlled trial (NCT05343208)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Mindfulness Training for Burnout Reduction in Physicians:…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 (NCT06145425)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digital therapeutics to improve physician sleep: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implementation pilot (NCT05289596)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an app-based health intervention on somatic symptoms among…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longitudinal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and evaluation of a pain assessment app and novel…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Multiple-baseline design; units randomized to app feature sets; MBI analysed only as an association with website use, not compared by arm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a tailored, combined intervention with mind-body elements…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Contributing to Burnout and Well-Being in Physical Therapist…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study of 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an Internet-Delivered Cognitive Behavioral Therapy-Based Sleep…</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RESTORE: An online Acceptance and Commitment Therapy…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2024 National Nursing Workforce Survey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National workforce survey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multiple-baseline design evaluation of the feasibility of a brief…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design with three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of hot debriefing in intensive care units through in-situ…</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Controlled before-and-after study, not randomized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App-Delivered Mindfulness Meditation on Functional…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assistant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an App-Delivered Psychological Flexibility Skill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group-focused rational emotive behavior coaching for management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 They're not just little doctors! Impact of an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Optimizing the Work of Learning for Flourishing: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Online Program Integrating Mindfulness and Stretching Exercises:…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health-sciences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a Single-Session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psychology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alternative terminology for depression on help-seeking…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online panel (vignette experiment)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Evidence-Based Resilience Intervention for Nursing Students: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Intervention Increases Empathy, Resilience, and Work Engagement…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Brief Intervention Program on Burnout among Medical Students…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Happier Healers: Randomized Controlled Trial of Mobile Mindfulness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the effects of a mindfulness mobile application on student…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Pharmacy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web-based self-help intervention for symptoms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sample recruited through mass media; employment not an inclusion criterion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Cognitive Behavioral Therapy for Chronic Stress: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Clinical sample recruited on symptom level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Nonguided Mindfulness App on Perceived Stress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General-population sample (NCT05246800)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Delivering Biopsychosocial Health Care Within Routine Care: Spotlight-AQ…</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randomized; clinician burnout not a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rehabilitation for individuals with chronic pain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People on long-term sick leave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Ally – a conversational AI–based mobile app for stress prevention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 adult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How to Design Serendipity for Burnout Mitigation? A Serendipity-Oriented…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Users of an online dating platform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distance laughter therapy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Nature Sports Program on Burnout Among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evaluation of remote monitoring for implantable cardiac devices:…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cardiac devices; economic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mixed-methods study of provider perspectives on My Birth Control: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and providers evaluating a decision tool; not a burnout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Hashtag burnout? A control experiment investigating how political…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experiment on news reactions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Positive Psychological Intervention to Reduce Work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Residential workshop plus voice-telephone coaching; no digital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need-based care on formal caregivers' wellbeing in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Care-delivery model in nursing homes; only outcome questionnaires were digital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Mindfulness-Based Intervention for Teachers: a Study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 digital delivery reported (keyword match came from publisher boilerplate 'online version')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medical, surgical and psychiatric residents].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MBSR course; only questionnaires administered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for workers with chronic illness: Evaluating an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Voice-telephone coaching; only surveys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Professional Coaching Intervention on the Well-being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delivered by voice telephone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ClassPass Memberships to Improve Well-Being Among Psychiatry Residents: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Commercial fitness platform used through a mobile app to book mostly in-person classes and gym visits; no digitally delivered intervention content reported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Prescribed and Self-Selected Music Interventions on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delivery not described; wearables used for assessment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in the emergency department: Randomized controlled trial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training; app and wearable used only to monitor practice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Stress Reduction and Burnout Prevention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health-resort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stretching program on anxiety levels of workers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stretching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Montessori Impacts on Long-term Care Staff: Results of a Stepped-Wedge…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Montessori training; online surveys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multisite feasibility randomized clinical trial of mindfulness-based…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mindfulness training; burnout only in the background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Telephone coaching for the prevention of depression in farmers: Results…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multimodal stress-prevention program supplemented by telephone-coaching…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12-day programme with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Authentic Connections Groups: A Pilot Test of an Intervention Aimed at…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Group sessions; digital delivery not stated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combined nature-based and audio-based virtual mindfulness…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perceived stress,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Should Mindfulness for Health Care Workers Go Virtual?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anxiety ratings, heart-rate variability;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Waitlist-Controlled Trial of a Virtual Reality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professional commitment, resilience, coping;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Four-Week Online Compassion and Gratitude Training Programme to Enhance…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emotional intelligence;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as a Mediator in a Web-Based Intervention (MINDxYOU)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stress, anxiety, depression, somatization, process variables;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Risk of Secondary Traumatic Stress in Treating Traumatized Military…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analysed as a risk factor, not as an intervention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Investigating the impact of the RENEW program on enhancing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psychological distress;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Reducing nurses' stress: A randomized controlled trial of a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nursing stress and related measures;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Nurse leader well-being: Optimizing sleep with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sleep, insomnia, resilience;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investigating digital resilience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work engagement, intention to leave;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Among Healthcare Staff: A Randomized Controlled Trial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perceived 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mindfulness-based stress reduction on ICU nurses' resilience…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tailored online mindfulness intervention for junior doctors: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mindfulness, stress, self-compassion, occupational stress, engagement;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Head start staff well-being: early impact results from a cluster…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full text not openly accessible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the Online Sport-Specific Mindfulemotions Program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(mindfulness, self-compassion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a Digital Mindful Self-Compassion Intervention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composite only; burnout subscale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Online Mindfulness Training to Improve Well-Being in K-12…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well-being, mindfulness skills;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Mental and physical training with meditation and aerobic exercise…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ProQOL burnout subscale administered but not analysed or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Design and Implementation of a Brief Digital Mindfulness and Compassion…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self-compassion, mindfulness, EEG;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Loving-Kindness Meditation on Compassion Fatigue of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inventory only;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Precision targeting of teacher burnout using network-informed ecological…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dimensions used only as nodes of an EMA network index</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Randomized Controlled Trial of a Web-Based Intervention to Disseminate…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guideline familiarity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an ambient digital scribe on typing and note quality: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typing workload and note quality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serious game to enhance empathy for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empathy and personal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WeChat-based 'three good things' on turnover intention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turnover intention and coping style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WeChat-based "Three Good Things" positive psychotherapy for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job performance and self-efficacy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during work breaks to reduce fatigue of intensive 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 anxiety and fatigue during breaks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Adaptive Neurostimulation Methods in Correcting Posttraumatic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stress-state indicators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Just-in-Time Teaching (JiTT) Screencasts: A Randomized Controlled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clinical confidence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well-being during COVID-19: results from a randomized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well-being, happiness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Applying A/B Testing to Clinical Decision Support: Rapid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A/B testing of clinical decision-support alerts; outcomes are alert metrics</w:t>
            </w:r>
          </w:p>
        </w:tc>
      </w:tr>
      <w:tr>
        <w:tc>
          <w:tcPr>
            <w:tcW w:type="dxa" w:w="655"/>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c>
          <w:tcPr>
            <w:tcW w:type="dxa" w:w="3463"/>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243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C. Included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749"/>
        <w:gridCol w:w="468"/>
        <w:gridCol w:w="2808"/>
        <w:gridCol w:w="936"/>
        <w:gridCol w:w="749"/>
        <w:gridCol w:w="1123"/>
        <w:gridCol w:w="655"/>
        <w:gridCol w:w="655"/>
        <w:gridCol w:w="655"/>
      </w:tblGrid>
      <w:tr>
        <w:trPr>
          <w:tblHeader/>
        </w:trPr>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Reports</w:t>
            </w:r>
          </w:p>
        </w:tc>
        <w:tc>
          <w:tcPr>
            <w:tcW w:type="dxa" w:w="46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Year</w:t>
            </w:r>
          </w:p>
        </w:tc>
        <w:tc>
          <w:tcPr>
            <w:tcW w:type="dxa" w:w="280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Occupation</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Delivery</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Approach or mechanism</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Comparator</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Burnout measure</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and acceptability of a culturally adapted psychological first aid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Digital Mental Health Screening Alone and With the Online MINDBODYSTRONG…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mHealth aided 12-week meditation and breath intervention on change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 Care Workers' Need for Headspace: Findings From a Multisite Definitive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efficacy of a positive emotion regulation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Intervention for the Reduction of Compassion Fatigue and Burnout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Minimal Individual or Group Enhancement in an eHealth Program on Mental…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preliminary efficacy of a mental health self-management…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an Internet-Based Acceptance and Commitment Therapy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Hybrid Delivery of Mindfulness Meditation and Perceived Stress in Pediatric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mindfulness- and compassion-based online intervention for physician…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employees' work-related well-being and physical health through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Among Health Care Workers: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Alleviating Nurse Burnout With an Artificial Intelligence-Selected Mobile Cognitive…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Harness your best self! Testing the feasibility and efficacy of a novel strengths-based…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Mobile Phone-Based Intervention to Reduce Mental Health Problems in Health 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 R091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Web-Based Mindfulness Stress Management Program in a Corporate Call Center: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Web-Based Stress Management Intervention for Beginning Teachers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chatbot in improving the mental wellbeing of health workers in Malawi…</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Chatbot</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Emotional Freedom Techniques on nurses' stress, anxiety, and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Turkish Burnout Scale†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brief psychological intervention to reduce distress in healthcare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Exploring the feasibility of a web-based positive psychology program among…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Inner Engineering Online (IEO) Program on Reducing Stress for Information…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Mobile-Delivered Exercise and Yoga Programs on Depressive Symptom…</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job crafting as a digital health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Work-Focused Versus Generic Internet-Based Interventions for Employees With…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Developing Self-Compassion in Healthcare Professionals Utilising a Brief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health interventions for occupational burnout in healthcare professionals: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Resource-Based Internet Intervention (Med-Stress) to Improve Well-Being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Workplace Intervention Program With Web-Based Online and Offline…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Novel Online Group-Coaching Program to Reduce Burnout in Female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Feasibility Study to Evaluate the Online Delivery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trial comparing two models of web-based training in cognitive-behavioral…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Self-paced acceptance and commitment training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'Dear Doctor': a randomised controlled trial of a text message intervention to reduce…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Sudarshan Kriya Yoga Breathing and a Meditation Program for Burnout Among Physicians: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an Online Group-Coaching Program on Ambulatory Faculty Physician Well-Being: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stress management for distressed managers: results from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Smartphone App to Reduce Burnout in the Emergency Department: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Well-Being Group Coaching Program for Women Physician Trainees: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Selective Prevention of Depression in Workers Using a Smartphone App: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mobile mindfulness on emergency department work stress: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AI-Assisted Tailored Intervention for Nurse Burnout: A Three-Group Randomized Controlled…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 R080, R136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the "WISER" intervention to reduce healthcare worker…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emotion-focused training for helping professionals.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Intervention for job burnout reduction among a sample of Nigerian lecturers.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Meditation to Target Employee Stress: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Personalised yoga for burnout and traumatic stress in junior doctors.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preliminary comparison of the efficacy of online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Mindfulness-Based Cognitive Therapy (MBCT) Intervention to Improve Resilience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an Online Positive Psychology Intervention among Healthcare…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Social Work and Self-Care with Social Work Professionals: Replication…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study of an online intervention to promote job satisfaction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Satisfying students' psychological needs in the classroom: Benefits of an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expressive writing as a tool for alleviating burnout and enhancing wellbeing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online content-focused coaching on reducing the risk of professional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an online four-session loving-kindness and compassion meditation training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AIZEN Digital Meditation Intervention for Caregiver Burnout in Taiwan—A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Healing the healers: A pilot randomised controlled trial to assess the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an internet-based problem-solving training for teachers: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the effectiveness of two mobile cognitive behavioral interventions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and Mechanisms of a Web- and Mobile-Based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randomised trial of Mindfulness-based Social Work and Self-Care with social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the mobile application Holidaily in reducing work-related rumination…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Learning how to recover from stress: Results from an internet-based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Mindfulness for Psychological Distress and Burnout among Frontline COVID-19…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an online stress intervention on burnout and teacher efficacy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an eHealth Intervention to Reduce Sickness Absence Frequency Among Employees…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UBOS†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online support program for nurses with COVID-19 patients on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vs. face-to-face laughter yoga to support nurses' well-being: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Self-care for teachers-evaluation of the effects of a prevention and health-promoting…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Investigating a brief intervention to instill a self-compassionate perspective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intrusive memories after trauma via an imagery-competing task intervention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SWEBO†</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trial of personalized psychological feedback from a longitudinal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Does a phone-based meditation application improve mental wellness in emergency medicine…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12 Weeks of At-Home, Application-Based Exercise on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288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 self-compassion training reduces stress and burnout symptoms among practicing…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Engagement Strategy and Health Care Worker Mental Health: A Randomized Clinical…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 Applications: Can They Serve as a Stress, Anxiety, and Burnout Reduction…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helpers' stress: Effectiveness of a web-based intervention for professionals working…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Well-Being Outcomes of Health Care Workers after a 5-Hour Continuing Education…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Prevention and Mobile Mindfulness: Evaluation of an App-Based Health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Optimizing Intervention Components of a Preventive Stress Management mHealth…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Pragmatic Parental Support to Mitigate Burnout Among Pregnant and Postpartum Trainees: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workplace or practical support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trauma-informed care video training program for midwives: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Ambient AI Scribes in Clinical Practice: A Randomized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Feasibility and Impact of an Asynchronous Interprofessional Well-Being Course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Influence of Artificial Intelligence Scribes on Clinician Experience and Efficiency…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Mitigating the stress of transition: An exploration of the effects and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Serial Anthropometric Measurements and Motivational Text Messages on Weight…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Online Physician Training Can Improve Patient Experience and Physician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‘Interapy’ Burn-out: Prävention und Behandlung von Burn-out über das Internet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Preschool teachers’ self-efficacy, burnout, and stress in online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 it Too Optimistic to Assume Light Touch Interventions can Improve Educational…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Symptoms among Millennial Teachers in India: The Efficacy of the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Cellphone text messages that disclose secondary emotions reduce burnout in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Japanese Burnout Scale†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 Biosensor Monitoring, Machine Learning–Based Burnout Risk Prediction,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acceptance and commitment training program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tele-yoga on burnout, mental health and immune markers of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STOPTHEBURN: A Randomized Controlled Trial of Death Cafés for Burnout Prevention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Smartwatch Use and Physician Well-Being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Increasing oncologists' skills in eliciting and responding to emotional cues: Evaluation…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training and financial incentives for teachers: Evidence from Bangladesh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1598</w:t>
            </w:r>
          </w:p>
        </w:tc>
      </w:tr>
      <w:tr>
        <w:tc>
          <w:tcPr>
            <w:tcW w:type="dxa" w:w="562"/>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468"/>
            <w:tcBorders>
              <w:top w:val="single" w:color="808080" w:sz="4"/>
              <w:left w:val="none" w:color="FFFFFF" w:sz="0"/>
              <w:bottom w:val="none" w:color="FFFFFF" w:sz="0"/>
              <w:right w:val="none" w:color="FFFFFF" w:sz="0"/>
            </w:tcBorders>
          </w:tcPr>
          <w:p/>
        </w:tc>
        <w:tc>
          <w:tcPr>
            <w:tcW w:type="dxa" w:w="2808"/>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Burnout measure: instrument named in the abstract, or, marked †, identified from the full text (— not determined). n: participants randomized or, where only that was reported, analysed (NR, not reported). DOIs and full titles are given in study_charting.csv.</w:t>
      </w:r>
    </w:p>
    <w:p>
      <w:r>
        <w:br w:type="page"/>
      </w:r>
    </w:p>
    <w:p>
      <w:pPr>
        <w:pStyle w:val="Heading1"/>
        <w:spacing w:after="180" w:before="360"/>
      </w:pPr>
      <w:r>
        <w:rPr>
          <w:rFonts w:ascii="Times New Roman" w:cs="Times New Roman" w:eastAsia="Times New Roman" w:hAnsi="Times New Roman"/>
          <w:b/>
          <w:bCs/>
          <w:sz w:val="28"/>
          <w:szCs w:val="28"/>
        </w:rPr>
        <w:t xml:space="preserve">Appendix D. Completed registrations on ClinicalTrials.gov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527"/>
        <w:gridCol w:w="936"/>
        <w:gridCol w:w="842"/>
        <w:gridCol w:w="655"/>
        <w:gridCol w:w="1498"/>
        <w:gridCol w:w="1872"/>
      </w:tblGrid>
      <w:tr>
        <w:trPr>
          <w:tblHeader/>
        </w:trPr>
        <w:tc>
          <w:tcPr>
            <w:tcW w:type="dxa" w:w="103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Allocation</w:t>
            </w:r>
          </w:p>
        </w:tc>
        <w:tc>
          <w:tcPr>
            <w:tcW w:type="dxa" w:w="84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Completion</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Enrolled</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Status</w:t>
            </w:r>
          </w:p>
        </w:tc>
        <w:tc>
          <w:tcPr>
            <w:tcW w:type="dxa" w:w="187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Note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NCT04897165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in Employees and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2016-12-19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(10.1007/s10484-024-09671-0; R007) without randomized allocation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NCT02540317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Cognitive Behavior Therapy for Stress Disorders: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2017-10-01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(10.1159/000490742) in a clinical sample recruited on chronic stress, not on occupation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NCT04137081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Unwinding Physician Anxiety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2018-08-28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NCT05246800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 Mindfulness Application on Perceived Stess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(10.2196/32123) in a non-clinical general-population sample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Mindfulness Program for Stress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Web-based Implementation for the Science of Enhancing Resilience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2650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 (R076; R080; R136)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Intervention for Occupational Stress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 (R045)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Inner Engineering Online (IEO) Intervention for a Specific Company…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2020-06-07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 (R038)</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Phone Based Intervention to Protect Mental Health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2020-08-24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 (R023)</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a Mobile Application to Reduce Work-related 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2021-06-14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 (R146)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Self-directed Mobile Mindfulness Intervention to Address Distress…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 (R125)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NCT04462484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Self-care Training Program (MAGO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NCT05343208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Online Therapy to Prevent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2022-04-04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NCT05085132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Efficacy Trial of the MindFi App for Stress, Well-being,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2022-05-31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NCT05289596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Sleep Well: Digital Insomnia Treatment Program For Physicians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NCT05036356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Reduction and Engagement App-based Trial of Headspace…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2022-08-05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NCT05474807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2022-12-27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Better Together: an Online Physician Coaching Program for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 (R047)</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NCT04958941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CUIDA-TE, an APP for the Emotional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Protocol published (10.1186/s12888-022-03800-x); no results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2023-08-15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NCT06376825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Efficacy and Acceptability of an Internet-Based Self-Help…</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NCT05998161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the Effectiveness of a Digital Therapeutic (Reviga)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NCT06190353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Development, Acceptability and Preliminary Efficacy of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2024-08-11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NCT06145425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Testing an Evidence-Based Program for Clinician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NCT06149156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Resident Well-being and Performance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2024-12-01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NCT07457801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CARE Study for Paramedics in Singapore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2025-06-30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NCT07474766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Counseling Community for Burnout Prevention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2025-09-05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NCT05274529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Personal Technology Driven Workplace Wellbeing…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2026-09-01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842"/>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872"/>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E. PRISMA-ScR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t>
            </w:r>
          </w:p>
        </w:tc>
        <w:tc>
          <w:tcPr>
            <w:tcW w:type="dxa" w:w="486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374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Reported in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 page</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Structured summary</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Abstract</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Rationale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Objectives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 final paragraph</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Protocol and registration</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Eligibility criteria</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2.2, Table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Information sources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Table 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Search</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A</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charting process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2.5 and 2.8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items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of individual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3.1, Figure 1, Appendix B</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Characteristics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3.2, Table 3, Appendix 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within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of individual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C; study_charting.csv</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3.3-3.7, Figures 2-3, Tables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Summary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Limitations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Conclusions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Funding</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Declarations</w:t>
            </w:r>
          </w:p>
        </w:tc>
      </w:tr>
      <w:tr>
        <w:tc>
          <w:tcPr>
            <w:tcW w:type="dxa" w:w="749"/>
            <w:tcBorders>
              <w:top w:val="single" w:color="808080" w:sz="4"/>
              <w:left w:val="none" w:color="FFFFFF" w:sz="0"/>
              <w:bottom w:val="none" w:color="FFFFFF" w:sz="0"/>
              <w:right w:val="none" w:color="FFFFFF" w:sz="0"/>
            </w:tcBorders>
          </w:tcPr>
          <w:p/>
        </w:tc>
        <w:tc>
          <w:tcPr>
            <w:tcW w:type="dxa" w:w="4867"/>
            <w:tcBorders>
              <w:top w:val="single" w:color="808080" w:sz="4"/>
              <w:left w:val="none" w:color="FFFFFF" w:sz="0"/>
              <w:bottom w:val="none" w:color="FFFFFF" w:sz="0"/>
              <w:right w:val="none" w:color="FFFFFF" w:sz="0"/>
            </w:tcBorders>
          </w:tcPr>
          <w:p/>
        </w:tc>
        <w:tc>
          <w:tcPr>
            <w:tcW w:type="dxa" w:w="3744"/>
            <w:tcBorders>
              <w:top w:val="single" w:color="808080" w:sz="4"/>
              <w:left w:val="none" w:color="FFFFFF" w:sz="0"/>
              <w:bottom w:val="none" w:color="FFFFFF" w:sz="0"/>
              <w:right w:val="none" w:color="FFFFFF" w:sz="0"/>
            </w:tcBorders>
          </w:tcPr>
          <w:p/>
        </w:tc>
      </w:tr>
    </w:tbl>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992e213c406a2b9e13e2266440211dbd710e013.png"/><Relationship Id="rId9" Type="http://schemas.openxmlformats.org/officeDocument/2006/relationships/image" Target="media/ae84cfcac165707232338cf757e227e434c5f698.png"/><Relationship Id="rId10" Type="http://schemas.openxmlformats.org/officeDocument/2006/relationships/image" Target="media/66bb6349af3505520a7b167ce90f180701d726d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Author</dc:creator>
  <cp:lastModifiedBy>Un-named</cp:lastModifiedBy>
  <cp:revision>1</cp:revision>
  <dcterms:created xsi:type="dcterms:W3CDTF">2026-09-29T13:31:16.308Z</dcterms:created>
  <dcterms:modified xsi:type="dcterms:W3CDTF">2026-09-29T13:31:16.308Z</dcterms:modified>
</cp:coreProperties>
</file>

<file path=docProps/custom.xml><?xml version="1.0" encoding="utf-8"?>
<Properties xmlns="http://schemas.openxmlformats.org/officeDocument/2006/custom-properties" xmlns:vt="http://schemas.openxmlformats.org/officeDocument/2006/docPropsVTypes"/>
</file>