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Times New Roman" w:cs="Times New Roman" w:eastAsia="Times New Roman" w:hAnsi="Times New Roman"/>
          <w:i/>
          <w:iCs/>
          <w:sz w:val="22"/>
          <w:szCs w:val="22"/>
        </w:rPr>
        <w:t xml:space="preserve">Scoping review</w:t>
      </w:r>
    </w:p>
    <w:p>
      <w:pPr>
        <w:spacing w:after="480"/>
      </w:pPr>
      <w:r>
        <w:rPr>
          <w:rFonts w:ascii="Times New Roman" w:cs="Times New Roman" w:eastAsia="Times New Roman" w:hAnsi="Times New Roman"/>
          <w:b/>
          <w:bCs/>
          <w:sz w:val="32"/>
          <w:szCs w:val="32"/>
        </w:rPr>
        <w:t xml:space="preserve">Randomized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Author:</w:t>
      </w:r>
      <w:r>
        <w:rPr>
          <w:rFonts w:ascii="Times New Roman" w:cs="Times New Roman" w:eastAsia="Times New Roman" w:hAnsi="Times New Roman"/>
          <w:sz w:val="24"/>
          <w:szCs w:val="24"/>
        </w:rPr>
        <w:t xml:space="preserve"> [Name], [affiliation]. </w:t>
      </w: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[Name], [postal address]; email: m.reza.qeta@gmail.com.</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Word count:</w:t>
      </w:r>
      <w:r>
        <w:rPr>
          <w:rFonts w:ascii="Times New Roman" w:cs="Times New Roman" w:eastAsia="Times New Roman" w:hAnsi="Times New Roman"/>
          <w:sz w:val="24"/>
          <w:szCs w:val="24"/>
        </w:rPr>
        <w:t xml:space="preserve"> abstract, 295 words; main text, about 6,300 words.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7. </w:t>
      </w: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3. </w:t>
      </w:r>
      <w:r>
        <w:rPr>
          <w:rFonts w:ascii="Times New Roman" w:cs="Times New Roman" w:eastAsia="Times New Roman" w:hAnsi="Times New Roman"/>
          <w:b/>
          <w:bCs/>
          <w:sz w:val="24"/>
          <w:szCs w:val="24"/>
        </w:rPr>
        <w:t xml:space="preserve">Supplementary appendices:</w:t>
      </w:r>
      <w:r>
        <w:rPr>
          <w:rFonts w:ascii="Times New Roman" w:cs="Times New Roman" w:eastAsia="Times New Roman" w:hAnsi="Times New Roman"/>
          <w:sz w:val="24"/>
          <w:szCs w:val="24"/>
        </w:rPr>
        <w:t xml:space="preserve"> 5.</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r>
        <w:br w:type="page"/>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Digital programmes are widely used against occupational burnout, but randomized evidence has been reviewed only within single professions or broader mental-health outcomes.</w:t>
      </w:r>
    </w:p>
    <w:p>
      <w:pPr>
        <w:spacing w:after="160" w:line="400"/>
        <w:jc w:val="both"/>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map randomized trials of any digitally delivered intervention in working populations that reported burnout as an outcome.</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Scoping review reported according to PRISMA-ScR. We searched Europe PMC, OpenAlex, ERIC, Web of Science and Scopus (17-26 September 2026), repeated them without the intervention-type block so that interventions of any mechanism could be found, added a PubMed MeSH search and delivery-term searches after a vocabulary gap appeared (28-29 September 2026), and linked ClinicalTrials.gov registrations to their publications. Reports were assessed against five ordered criteria and charted at trial level.</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4,406 records, 2,397 were screened and 288 reports were assessed. We included 116 reports of 113 trials (26,752 participants; median 114.5 per trial). The supplementary searches alone found 27 trials, 10 of them with non-psychological mechanisms. Of all trials, 64.6% were first reported from 2023 onwards. Healthcare workers were studied in 70 trials and teachers or employees of other sectors in 36. Web programmes (49 trials) and smartphone apps (21) predominated, and live online group sessions rose from 2 trials before 2023 to 21 afterwards. Mindfulness was the most frequent psychological approach (23 trials); 19 trials used non-psychological mechanisms. Waitlist controls were used in 37 trials overall and in 40% of those reported from 2023 onwards. Only 56 abstracts named the burnout instrument. Of 15 randomized registrations completed by 2023, 6 had no locatable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randomized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ICD-11 as an occupational phenomenon rather than a medical condition [1,2]. Prevalence estimates vary widely with the instrument and cut-off used, but in health care they are high enough to be a concern for workforce retention and quality of care [3,4]. Similar concerns have been raised for teachers, social-care staff and employees in many other sectors.</w:t>
      </w:r>
    </w:p>
    <w:p>
      <w:pPr>
        <w:spacing w:after="160" w:line="400"/>
        <w:jc w:val="both"/>
      </w:pPr>
      <w:r>
        <w:rPr>
          <w:rFonts w:ascii="Times New Roman" w:cs="Times New Roman" w:eastAsia="Times New Roman" w:hAnsi="Times New Roman"/>
          <w:sz w:val="24"/>
          <w:szCs w:val="24"/>
        </w:rPr>
        <w:t xml:space="preserve">Interventions against burnout act at the level of the individual, the team or the organisation. Meta-analyses in physicians suggest that both individual-focused and organisation-directed interventions can reduce burnout, with somewhat larger effects for the latter [5,6]. Digital delivery has become common for both kinds of intervention. Web programmes, smartphone apps, videoconference groups, text messages and, more recently, conversational agents and workflow technologies can reach many workers at low marginal cost and fit around shift work. The COVID-19 pandemic accelerated this shift, particularly in hospitals.</w:t>
      </w:r>
    </w:p>
    <w:p>
      <w:pPr>
        <w:spacing w:after="160" w:line="400"/>
        <w:jc w:val="both"/>
      </w:pPr>
      <w:r>
        <w:rPr>
          <w:rFonts w:ascii="Times New Roman" w:cs="Times New Roman" w:eastAsia="Times New Roman" w:hAnsi="Times New Roman"/>
          <w:sz w:val="24"/>
          <w:szCs w:val="24"/>
        </w:rPr>
        <w:t xml:space="preserve">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[9], on digitally supported stress and burnout interventions in nurses and physicians [10],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t>
      </w:r>
    </w:p>
    <w:p>
      <w:pPr>
        <w:spacing w:after="160" w:line="400"/>
        <w:jc w:val="both"/>
      </w:pPr>
      <w:r>
        <w:rPr>
          <w:rFonts w:ascii="Times New Roman" w:cs="Times New Roman" w:eastAsia="Times New Roman" w:hAnsi="Times New Roman"/>
          <w:sz w:val="24"/>
          <w:szCs w:val="24"/>
        </w:rPr>
        <w:t xml:space="preserve">A scoping review is the appropriate method for this kind of mapping question [12-14]. We aimed to identify and characterise the randomized controlled trials, as far as the searched sources allowed, that evaluated a digitally delivered intervention in a working population and reported burnout as an outcome. We asked four questions: (1) in which occupational groups and over what period have these trials been conducted; (2) which delivery modes, intervention approaches and levels of human support have been tested; (3) how are the trials designed with respect to comparators, sample size and burnout measurement; and (4) what proportion of registered and completed trials have published their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The review followed the framework of Arksey and O'Malley with the refinements of Levac and colleagues and the JBI guidance [12-14]. It is reported according to PRISMA-ScR [15]; the flow diagram follows the PRISMA 2020 template [16]. The completed PRISMA-ScR checklist is provided in Appendix E. The protocol was not registered in advance.</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randomized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Peer-reviewed primary report of trial results. Unpublished preprints without a peer-reviewed version, protocols, registrations, reviews, commentaries, preprints superseded by a peer-reviewed report, and secondary analyses without a randomized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Randomized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Workers on sick leave who remain employed are included; samples of students, patients or the general public are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 Trials in which burnout was measured but was unrelated to the aim of the intervention (for example a weight-loss programme), or was measured only with a general well-being index,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2.3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Reading the trials retrieved by these searches and comparing them with a check of the literature exposed a further gap: the digital-delivery vocabulary of the earlier strings contained "virtual reality" but not "virtual", "remote", "video" or "audio", and none of the searches used the controlled vocabulary of the database that indexes most trials. On 29 September 2026 we therefore ran three further searches. The first searched PubMed for the Medical Subject Heading "Burnout, Professional" combined with randomized-design terms. The second and third searched titles and abstracts in Europe PMC for burnout, randomized-design terms and two lists of additional delivery terms (among them virtual, remote, video, audio, podcast, email, social media, asynchronous, hybrid, blended and self-paced). These searches were de-duplicated against every earlier record, screened with the same rules and assessed against the same criteria. They were not repeated in OpenAlex, ERIC, Web of Science or Scopus. The exact strings are in Appendix A and the retrieved records in raw_third_search.json.</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3 (MeSH and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PubMed (MeSH)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595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4,406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2,397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116</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earlier records were removed before screening.</w:t>
      </w:r>
    </w:p>
    <w:p>
      <w:pPr>
        <w:pStyle w:val="Heading2"/>
        <w:spacing w:after="120" w:before="240"/>
      </w:pPr>
      <w:r>
        <w:rPr>
          <w:rFonts w:ascii="Times New Roman" w:cs="Times New Roman" w:eastAsia="Times New Roman" w:hAnsi="Times New Roman"/>
          <w:b/>
          <w:bCs/>
          <w:i/>
          <w:iCs/>
          <w:sz w:val="24"/>
          <w:szCs w:val="24"/>
        </w:rPr>
        <w:t xml:space="preserve">2.4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The full text was consulted for 14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288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spacing w:after="160" w:line="400"/>
        <w:jc w:val="both"/>
      </w:pPr>
      <w:r>
        <w:rPr>
          <w:rFonts w:ascii="Times New Roman" w:cs="Times New Roman" w:eastAsia="Times New Roman" w:hAnsi="Times New Roman"/>
          <w:sz w:val="24"/>
          <w:szCs w:val="24"/>
        </w:rPr>
        <w: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summarised as the percentage of 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and the second reviewer then confirmed or rejected each proposed resolution. The reviewers' answers are provided in second_review_sample.csv.</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or analysed where only that was reported); and the year of the first report. Multicomponent interventions were charted by the component that the authors presented as central. Interventions that combined two psychological approaches in equal measure were charted as "tailored, combined or other multicomponent". Two groups that were too heterogeneous in the first coding, "other psychological" approaches and "employees in other sectors or mixed occupations", were split afterwards: the new categories and the rules that define them were written down first (taxonomy_d8.md) and every trial of both groups was recoded with the same rules in a fixed order (recoding_d8.csv). The charting form and the data for every trial are provided in study_charting.csv. For the 57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Three trials could not be resolved: one available copy was incomplete, one trial used momentary-assessment items without a named instrument, and one full text was not obtained. The verification table is provided in instrument_fulltext_verification.csv.</w:t>
      </w:r>
    </w:p>
    <w:p>
      <w:pPr>
        <w:spacing w:after="160" w:line="400"/>
        <w:jc w:val="both"/>
      </w:pPr>
      <w:r>
        <w:rPr>
          <w:rFonts w:ascii="Times New Roman" w:cs="Times New Roman" w:eastAsia="Times New Roman" w:hAnsi="Times New Roman"/>
          <w:sz w:val="24"/>
          <w:szCs w:val="24"/>
        </w:rPr>
        <w:t xml:space="preserve">Two further variables were coded from the abstracts only, in order to describe how the trials were reported rather than how well they were conducted. The first was the presence of five reporting indicators: a named method of random sequence generation or allocation, a statement about blinding or masking, numbers of attrition or completion, a trial registration number, and a stated analysis population (intention-to-treat or per-protocol). They were extracted with fixed text-matching rules (abstract_indicators.py) and are recorded as "stated" or "not stated in the abstract". A missing indicator does not show that the procedure was not carried out; abstracts are short and journals differ in the space they allow, and the indicators are therefore not a measure of study quality or of risk of bias. The second variable was the direction of the burnout result as reported in the abstract, which the first reviewer coded by reading the abstract into six categories: favours the intervention, mixed, no difference between groups, all arms improved without a difference between arms, unfavourable to the intervention, or no burnout result stated. It records what the authors reported and is not an effect estimate. Both codings were checked on a random sample of 23 studies (about 20%, drawn with a fixed random seed) that the second reviewer coded independently, blind to the first coder's codes. Two coding rules were fixed: a randomization method counts only if it is named (the word "randomized" alone does not), and a direction of "favours the intervention" requires a benefit on the total burnout score or on every burnout dimension reported, so that a benefit on a single subscale, subgroup, arm or time point is coded as mixed. For one trial, for which no abstract could be retrieved, the indicators were read from its registry synopsis. The sample, both reviewers' codes and the final codes are provided in abstract_coding_verification_sample.csv.</w:t>
      </w:r>
    </w:p>
    <w:p>
      <w:pPr>
        <w:pStyle w:val="Heading2"/>
        <w:spacing w:after="120" w:before="240"/>
      </w:pPr>
      <w:r>
        <w:rPr>
          <w:rFonts w:ascii="Times New Roman" w:cs="Times New Roman" w:eastAsia="Times New Roman" w:hAnsi="Times New Roman"/>
          <w:b/>
          <w:bCs/>
          <w:i/>
          <w:iCs/>
          <w:sz w:val="24"/>
          <w:szCs w:val="24"/>
        </w:rPr>
        <w:t xml:space="preserve">2.6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t>
      </w:r>
    </w:p>
    <w:p>
      <w:pPr>
        <w:pStyle w:val="Heading2"/>
        <w:spacing w:after="120" w:before="240"/>
      </w:pPr>
      <w:r>
        <w:rPr>
          <w:rFonts w:ascii="Times New Roman" w:cs="Times New Roman" w:eastAsia="Times New Roman" w:hAnsi="Times New Roman"/>
          <w:b/>
          <w:bCs/>
          <w:i/>
          <w:iCs/>
          <w:sz w:val="24"/>
          <w:szCs w:val="24"/>
        </w:rPr>
        <w:t xml:space="preserve">2.7 Synthesis</w:t>
      </w:r>
    </w:p>
    <w:p>
      <w:pPr>
        <w:spacing w:after="160" w:line="400"/>
        <w:jc w:val="both"/>
      </w:pPr>
      <w:r>
        <w:rPr>
          <w:rFonts w:ascii="Times New Roman" w:cs="Times New Roman" w:eastAsia="Times New Roman" w:hAnsi="Times New Roman"/>
          <w:sz w:val="24"/>
          <w:szCs w:val="24"/>
        </w:rPr>
        <w:t xml:space="preserve">We summarised trial characteristics as counts and percentages. Development over time was described by the year of the first report of each trial and grouped into three periods: 2004-2019, 2020-2022 (the main pandemic years) and 2023-2026. The evidence map cross-tabulates occupational group against intervention approach. In line with the purpose of a scoping review, we did not assess risk of bias and did not synthesise effect sizes.</w:t>
      </w:r>
    </w:p>
    <w:p>
      <w:pPr>
        <w:pStyle w:val="Heading2"/>
        <w:spacing w:after="120" w:before="240"/>
      </w:pPr>
      <w:r>
        <w:rPr>
          <w:rFonts w:ascii="Times New Roman" w:cs="Times New Roman" w:eastAsia="Times New Roman" w:hAnsi="Times New Roman"/>
          <w:b/>
          <w:bCs/>
          <w:i/>
          <w:iCs/>
          <w:sz w:val="24"/>
          <w:szCs w:val="24"/>
        </w:rPr>
        <w:t xml:space="preserve">2.8 Use of artificial-intelligence tools</w:t>
      </w:r>
    </w:p>
    <w:p>
      <w:pPr>
        <w:spacing w:after="160" w:line="400"/>
        <w:jc w:val="both"/>
      </w:pPr>
      <w:r>
        <w:rPr>
          <w:rFonts w:ascii="Times New Roman" w:cs="Times New Roman" w:eastAsia="Times New Roman" w:hAnsi="Times New Roman"/>
          <w:sz w:val="24"/>
          <w:szCs w:val="24"/>
        </w:rPr>
        <w:t xml:space="preserve">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main and supplementary searches identified 4,406 records. After 2,009 duplicates and non-article records were removed, 2,397 records were screened on title and abstract and 267 reports were sought for full assessment (Figure 1). Three reports from the first supplementary search had neither an abstract nor an accessible full text when they were sought; the full texts were supplied later by the corresponding author, and two were assessed and excluded and one included, so no report remained not retrieved. Of the 267 reports assessed, 152 were excluded: 24 were not primary results reports, 21 were not randomized, 38 did not study a working population, 32 were not digitally delivered and in 37 burnout was not an outcome of the randomized comparison. Through the registry, 28 completed registrations were linked to 30 publications; 9 of these had already been assessed through the databases, and 1 of the remaining 21 was eligible. In total, 116 reports describing 113 randomized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searches yielded 27 eligible trials (23.9% of the final set), 8 of them from the third search. Of these, 10 evaluated a non-psychological mechanism, including the ambient artificial-intelligence (AI) scribe trials, and the others used wording that the main search blocks did not capture, such as "psycho-education", written emotional disclosure, well-being text messages, video teleconference or virtual death cafes. The third search added trials of virtual coaching, virtual meditation and mindfulness programmes and a second ambient-scribe trial, which the earlier strings had missed because they did not contain the word "virtual".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t>
      </w:r>
    </w:p>
    <w:p>
      <w:pPr>
        <w:spacing w:after="160" w:line="400"/>
        <w:jc w:val="both"/>
      </w:pPr>
      <w:r>
        <w:rPr>
          <w:rFonts w:ascii="Times New Roman" w:cs="Times New Roman" w:eastAsia="Times New Roman" w:hAnsi="Times New Roman"/>
          <w:sz w:val="24"/>
          <w:szCs w:val="24"/>
        </w:rPr>
        <w: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randomized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second reviewer accepted the resolution of each of these, including the exclusion of R169, the most debatable of the six, on the criterion of digital delivery. The sixth report, R090, was confirmed as included because its abstract describes a ten-week online programme and the second reviewer agreed that it meets the digital criterion. The reason for exclusion of one protocol (R012) also differed between the reviewers, although both excluded it.</w:t>
      </w:r>
    </w:p>
    <w:p>
      <w:pPr>
        <w:keepNext/>
        <w:spacing w:after="80" w:before="200"/>
        <w:jc w:val="center"/>
      </w:pPr>
      <w:r>
        <w:drawing>
          <wp:inline distT="0" distB="0" distL="0" distR="0">
            <wp:extent cx="533400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The database column combines the main search and the three supplementary searches. Reports are the unit of counting up to inclusion; the final box also gives the number of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3 summarises the 113 trials; each is listed in Appendix C. Together they enrolled 26,752 participants, based on the 104 trials that reported a sample size (the number randomized, or the number analysed where only that was reported). The median trial enrolled 114.5 participants (interquartile range 69 to 238; range 11 to 2,182). Of these, 44 randomized fewer than 100 participants and 14 fewer than 50, while 11 randomized 500 or more. Sample size differed by delivery mode: live online group programmes, which need a facilitator for every group, had a median of 82 participants, compared with 190 for smartphone apps and 179.5 for messaging interventions.</w:t>
      </w:r>
    </w:p>
    <w:p>
      <w:pPr>
        <w:keepNext/>
        <w:spacing w:after="100" w:before="24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Characteristics of the included trials (n = 113)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(14.2%)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29 September)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73 (64.6%)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 (30.1%)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 (19.5%)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(13.3%)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(12.4%)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Workers selected for a health condition or risk</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Mixed-occupation workers recruited across employers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a named occupation, industry or enterprise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(43.4%)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(20.4%)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(20.4%)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(16.8%)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Stress recovery and coping skills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Tailored, combined or other multicomponent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Emotion regulation and emotion-focused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Creative and experiential group formats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Job crafting and work-role redesign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 (83.2%)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 (32.7%)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 (26.5%)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(23.9%)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(9.7%)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 (42.5%)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 (42.5%)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(53.1%)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(8.8%)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Geldard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 or not obtained)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3.3 Development over time</w:t>
      </w:r>
    </w:p>
    <w:p>
      <w:pPr>
        <w:spacing w:after="160" w:line="400"/>
        <w:jc w:val="both"/>
      </w:pPr>
      <w:r>
        <w:rPr>
          <w:rFonts w:ascii="Times New Roman" w:cs="Times New Roman" w:eastAsia="Times New Roman" w:hAnsi="Times New Roman"/>
          <w:sz w:val="24"/>
          <w:szCs w:val="24"/>
        </w:rPr>
        <w:t xml:space="preserve">The first eligible trial was reported in 2004. Up to 2019 no more than five trials appeared in any year, and 16 trials in total were reported by the end of 2019 (Figure 2). The number then rose steeply: 24 trials were first reported in 2020-2022 and 73 from 1 January 2023 to 29 September 2026, so that 64.6% of the evidence is less than four years old. The composition changed along with the volume. Healthcare workers accounted for 4 of 16 trials before 2020 but for 17 of 24 in 2020-2022 and 49 of 73 from 2023, which suggests that the pandemic shifted the attention of the field towards hospital staff. Live online group sessions, absent before 2020, appeared in 2 trials in 2020-2022 and in 21 trials from 2023. Smartphone apps went from 2 to 4 and then 15 trials over the same periods. Web programmes remained the single most common mode in every period.</w:t>
      </w:r>
    </w:p>
    <w:p>
      <w:pPr>
        <w:spacing w:after="160" w:line="400"/>
        <w:jc w:val="both"/>
      </w:pPr>
      <w:r>
        <w:rPr>
          <w:rFonts w:ascii="Times New Roman" w:cs="Times New Roman" w:eastAsia="Times New Roman" w:hAnsi="Times New Roman"/>
          <w:sz w:val="24"/>
          <w:szCs w:val="24"/>
        </w:rPr>
        <w:t xml:space="preserve">Typical sample size rose only modestly with the volume of trials. The median number of participants enrolled was 101 before 2020, 101 in 2020-2022 and 121 from 2023. What changed was the spread: 9 of the 11 trials that randomized 500 or more participants were reported from 2023 onwards (0 before 2020 and 2 in 2020-2022), but small studies also multiplied. At least 21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(3, 4 and 12 trials, respectively), so their small number is not only a recent phenomenon.</w:t>
      </w:r>
    </w:p>
    <w:p>
      <w:pPr>
        <w:keepNext/>
        <w:spacing w:after="80" w:before="200"/>
        <w:jc w:val="center"/>
      </w:pPr>
      <w:r>
        <w:drawing>
          <wp:inline distT="0" distB="0" distL="0" distR="0">
            <wp:extent cx="5715000"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113). Data for 2026 cover 1 January to 29 September 2026, the date on which the last search was run.</w:t>
      </w:r>
    </w:p>
    <w:p>
      <w:pPr>
        <w:pStyle w:val="Heading2"/>
        <w:spacing w:after="120" w:before="240"/>
      </w:pPr>
      <w:r>
        <w:rPr>
          <w:rFonts w:ascii="Times New Roman" w:cs="Times New Roman" w:eastAsia="Times New Roman" w:hAnsi="Times New Roman"/>
          <w:b/>
          <w:bCs/>
          <w:i/>
          <w:iCs/>
          <w:sz w:val="24"/>
          <w:szCs w:val="24"/>
        </w:rPr>
        <w:t xml:space="preserve">3.4 Occupational groups and intervention approaches</w:t>
      </w:r>
    </w:p>
    <w:p>
      <w:pPr>
        <w:spacing w:after="160" w:line="400"/>
        <w:jc w:val="both"/>
      </w:pPr>
      <w:r>
        <w:rPr>
          <w:rFonts w:ascii="Times New Roman" w:cs="Times New Roman" w:eastAsia="Times New Roman" w:hAnsi="Times New Roman"/>
          <w:sz w:val="24"/>
          <w:szCs w:val="24"/>
        </w:rPr>
        <w:t xml:space="preserve">Healthcare workers were the participants in 70 (61.9%) trials: 34 with mixed or other healthcare staff, 22 with physicians or physician trainees and 14 with nurses. A further 7 trials studied mental-health and social-care professionals and 15 studied teachers and education staff. The remaining 21 trials studied employees in three kinds of sample: 9 selected for a health condition or risk (stress-related disorders, elevated stress, sick leave, frequent sickness absence or obesity), 5 from a named occupation, industry or enterprise (a call centre, information technology, veterinary teams) and 7 mixed-occupation workers recruited across employers. Taken together, workers outside health and social care contributed 31.9% of the trials, and no sector other than education was represented by more than a few trials (Figure 3).</w:t>
      </w:r>
    </w:p>
    <w:p>
      <w:pPr>
        <w:spacing w:after="160" w:line="400"/>
        <w:jc w:val="both"/>
      </w:pPr>
      <w:r>
        <w:rPr>
          <w:rFonts w:ascii="Times New Roman" w:cs="Times New Roman" w:eastAsia="Times New Roman" w:hAnsi="Times New Roman"/>
          <w:sz w:val="24"/>
          <w:szCs w:val="24"/>
        </w:rPr>
        <w:t xml:space="preserve">Mindfulness or meditation was the most frequent single psychological approach (23; 20.4%; the pooled group of non-psychological mechanisms was larger, with 19 trials) and it was found in 7 of the 8 occupational groups. The 20 trials that first fell into the heterogeneous "other psychological" category were recoded with explicit rules (Section 2.5) into five approaches: stress recovery and coping skills (6), tailored, combined or other multicomponent programmes (6), emotion regulation (4), creative and experiential group formats (3) and job crafting (1). The use of mindfulness was concentrated in mixed healthcare samples and among physicians. The approaches differed between groups in ways that follow the professional context. All 6 coaching trials were online programmes, one-to-one or in small groups, for physicians or physician trainees. The largest single category among physicians was non-psychological (7 of 22 trials), namely professional training, workflow technology, practical support and physical activity. Among teachers, non-psychological programmes, mainly online professional training (4 of 15), and cognitive-behavioural or stress-management programmes (3 of 15) were the most common approaches. Acceptance and commitment therapy, compassion-based and positive-psychology programmes were each tested in fewer than ten trials, mainly in healthcare staff, so the evidence for these approaches rests on few trials in any single occupation.</w:t>
      </w:r>
    </w:p>
    <w:p>
      <w:pPr>
        <w:spacing w:after="160" w:line="400"/>
        <w:jc w:val="both"/>
      </w:pPr>
      <w:r>
        <w:rPr>
          <w:rFonts w:ascii="Times New Roman" w:cs="Times New Roman" w:eastAsia="Times New Roman" w:hAnsi="Times New Roman"/>
          <w:sz w:val="24"/>
          <w:szCs w:val="24"/>
        </w:rPr>
        <w:t xml:space="preserve">Delivery and comparators also differed between occupational groups. Physicians and physician trainees were the group most often offered blended programmes that combined online material with in-person sessions (5 of 22 trials), and they were the only group in which AI scribes were tested. Smartphone apps were concentrated in mixed healthcare samples (12 of 34 trials), whereas 10 of the 15 teacher trials used web programmes. Live online group sessions were used in 4 of 14 nurse trials and 3 of 7 trials with mental-health and social-care professionals, but in only 7 of 34 mixed healthcare trials. Waitlist controls were most common in mixed healthcare samples (15 of 34) and among the employee samples that were not drawn from a health profession (9 of 21), while trials with physicians more often compared the intervention with usual practice (9 of 22).</w:t>
      </w:r>
    </w:p>
    <w:p>
      <w:pPr>
        <w:keepNext/>
        <w:spacing w:after="80" w:before="200"/>
        <w:jc w:val="center"/>
      </w:pPr>
      <w:r>
        <w:drawing>
          <wp:inline distT="0" distB="0" distL="0" distR="0">
            <wp:extent cx="5715000" cy="2428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288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number of trials by occupational group and main intervention approach (n = 113). Row and column totals are shown in parentheses; a dot marks an empty cell.</w:t>
      </w:r>
    </w:p>
    <w:p>
      <w:pPr>
        <w:pStyle w:val="Heading2"/>
        <w:spacing w:after="120" w:before="240"/>
      </w:pPr>
      <w:r>
        <w:rPr>
          <w:rFonts w:ascii="Times New Roman" w:cs="Times New Roman" w:eastAsia="Times New Roman" w:hAnsi="Times New Roman"/>
          <w:b/>
          <w:bCs/>
          <w:i/>
          <w:iCs/>
          <w:sz w:val="24"/>
          <w:szCs w:val="24"/>
        </w:rPr>
        <w:t xml:space="preserve">3.5 Interventions with non-psychological mechanisms</w:t>
      </w:r>
    </w:p>
    <w:p>
      <w:pPr>
        <w:spacing w:after="160" w:line="400"/>
        <w:jc w:val="both"/>
      </w:pPr>
      <w:r>
        <w:rPr>
          <w:rFonts w:ascii="Times New Roman" w:cs="Times New Roman" w:eastAsia="Times New Roman" w:hAnsi="Times New Roman"/>
          <w:sz w:val="24"/>
          <w:szCs w:val="24"/>
        </w:rPr>
        <w:t xml:space="preserve">An intervention whose main mechanism was not psychological was evaluated in 19 trials (16.8%). These were professional training (8 trials, for example online communication training for physicians, video-based trauma-informed care training for midwives and an online professional-development course for preschool teachers), physical activity or health behaviour (5), feedback or navigation to services (3, including text-message engagement with linkage to care and a wearable-triggered just-in-time intervention), workflow automation (3). The 3 workflow trials randomized physicians to ambient AI scribes that draft clinical notes from recorded consultations, one of them comparing two scribe products in a crossover design, and reported burnout or work exhaustion as outcomes. They are the only trials in the set in which the digital technology changes the work itself rather than the worker's response to it.</w:t>
      </w:r>
    </w:p>
    <w:p>
      <w:pPr>
        <w:spacing w:after="160" w:line="400"/>
        <w:jc w:val="both"/>
      </w:pPr>
      <w:r>
        <w:rPr>
          <w:rFonts w:ascii="Times New Roman" w:cs="Times New Roman" w:eastAsia="Times New Roman" w:hAnsi="Times New Roman"/>
          <w:sz w:val="24"/>
          <w:szCs w:val="24"/>
        </w:rPr>
        <w:t xml:space="preserve">Of these 19 trials, 10 (52.6%) were found only by the supplementary searches. Non-psychological trials were more often compared with usual practice (12 of 19) and rarely with a waitlist (2), and physicians were the largest group among them (7 trials).</w:t>
      </w:r>
    </w:p>
    <w:p>
      <w:pPr>
        <w:pStyle w:val="Heading2"/>
        <w:spacing w:after="120" w:before="240"/>
      </w:pPr>
      <w:r>
        <w:rPr>
          <w:rFonts w:ascii="Times New Roman" w:cs="Times New Roman" w:eastAsia="Times New Roman" w:hAnsi="Times New Roman"/>
          <w:b/>
          <w:bCs/>
          <w:i/>
          <w:iCs/>
          <w:sz w:val="24"/>
          <w:szCs w:val="24"/>
        </w:rPr>
        <w:t xml:space="preserve">3.6 Comparators, human support and outcome reporting</w:t>
      </w:r>
    </w:p>
    <w:p>
      <w:pPr>
        <w:spacing w:after="160" w:line="400"/>
        <w:jc w:val="both"/>
      </w:pPr>
      <w:r>
        <w:rPr>
          <w:rFonts w:ascii="Times New Roman" w:cs="Times New Roman" w:eastAsia="Times New Roman" w:hAnsi="Times New Roman"/>
          <w:sz w:val="24"/>
          <w:szCs w:val="24"/>
        </w:rPr>
        <w:t xml:space="preserve">A waitlist or delayed-access control was used in 37 (32.7%) trials, an active or attention control in 30 (26.5%), usual practice or no intervention in 27 (23.9%), and a head-to-head comparison of two digital variants in 8 (7.1%); the comparator could not be determined from the abstract in 11 trials. Waitlist controls became much more frequent in recent trials: 20.0% of trials reported before 2023 used one (8 of 40), compared with 39.7% of those reported from 2023 onwards (29 of 73). The share of actively controlled trials moved in the opposite direction, from 31.3% before 2020 to 23.3% from 2023 (Table 4).</w:t>
      </w:r>
    </w:p>
    <w:p>
      <w:pPr>
        <w:spacing w:after="160" w:line="400"/>
        <w:jc w:val="both"/>
      </w:pPr>
      <w:r>
        <w:rPr>
          <w:rFonts w:ascii="Times New Roman" w:cs="Times New Roman" w:eastAsia="Times New Roman" w:hAnsi="Times New Roman"/>
          <w:sz w:val="24"/>
          <w:szCs w:val="24"/>
        </w:rPr>
        <w:t xml:space="preserve">Self-guided or automated interventions (48; 42.5%) and human-supported interventions (48; 42.5%) were about equally common, but support was closely tied to delivery mode. All 22 live online programmes for which support was stated were facilitated (1 did not state it), and 20 of 21 app-based interventions were self-guided. For web programmes the level of support was often not stated in the abstract.</w:t>
      </w:r>
    </w:p>
    <w:p>
      <w:pPr>
        <w:spacing w:after="160" w:line="400"/>
        <w:jc w:val="both"/>
      </w:pPr>
      <w:r>
        <w:rPr>
          <w:rFonts w:ascii="Times New Roman" w:cs="Times New Roman" w:eastAsia="Times New Roman" w:hAnsi="Times New Roman"/>
          <w:sz w:val="24"/>
          <w:szCs w:val="24"/>
        </w:rPr>
        <w:t xml:space="preserve">Burnout was an outcome in every included trial, but only 56 (49.6%) abstracts named the instrument used. For the 57 trials whose abstracts did not, we identified the instrument from the full text (Section 2.5): 54 could be identified and 3 could not: one available copy was incomplete, one trial measured burnout dimensions with momentary-assessment items and named no instrument, and for one the full text was not obtained. Across abstract and full text, the Maslach Burnout Inventory or one of its adaptations was the most frequently used instrument (60 trials, 53.1%), followed by the Copenhagen Burnout Inventory (13), the Oldenburg Burnout Inventory (10) and the burnout scale of the Professional Fulfillment Index (7). A further 10 instruments were each used in one to five trials, and several trials used shortened versions, such as a two-item or five-item form of the emotional-exhaustion subscale. The proportion of abstracts naming the instrument was 25.0% before 2020 and around half in later periods (50.0% and 54.8%).</w:t>
      </w:r>
    </w:p>
    <w:p>
      <w:pPr>
        <w:keepNext/>
        <w:spacing w:after="100" w:before="24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113</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enrolled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3.7 Reporting indicators and direction of the burnout result in the abstracts</w:t>
      </w:r>
    </w:p>
    <w:p>
      <w:pPr>
        <w:spacing w:after="160" w:line="400"/>
        <w:jc w:val="both"/>
      </w:pPr>
      <w:r>
        <w:rPr>
          <w:rFonts w:ascii="Times New Roman" w:cs="Times New Roman" w:eastAsia="Times New Roman" w:hAnsi="Times New Roman"/>
          <w:sz w:val="24"/>
          <w:szCs w:val="24"/>
        </w:rPr>
        <w:t xml:space="preserve">Reporting indicators were sparse in the abstracts (Table 5). A trial registration was given in 30 (26.5%) abstracts, attrition or completion numbers in 31 (27.4%), an analysis population in 17 (15.0%), blinding in 12 (10.6%) and a method of randomization in 7 (6.2%). Because these are abstract-level indicators, they show what readers of the abstract can see and not what the trialists did.</w:t>
      </w:r>
    </w:p>
    <w:p>
      <w:pPr>
        <w:spacing w:after="160" w:line="400"/>
        <w:jc w:val="both"/>
      </w:pPr>
      <w:r>
        <w:rPr>
          <w:rFonts w:ascii="Times New Roman" w:cs="Times New Roman" w:eastAsia="Times New Roman" w:hAnsi="Times New Roman"/>
          <w:sz w:val="24"/>
          <w:szCs w:val="24"/>
        </w:rPr>
        <w:t xml:space="preserve">In 48 (42.5%) trials the abstract reported a burnout result that favoured the intervention (Table 5). No difference between groups was reported in 19 (16.8%) and improvement in all arms without a difference between arms in 3 (2.7%); the result was mixed, that is limited to one subscale, subgroup, arm or time point, in 27 (23.9%), and unfavourable in 2 (1.8%). In 14 (12.4%) the abstract named burnout as an outcome but stated no result for it. These codes describe how results were reported. Because positive results are more likely to be reported in an abstract, they cannot be read as the proportion of trials that worked. On the verification sample of 23 studies, the second reviewer's direction code was the same as the first coder's for 17 (74%; Cohen's kappa 0.62), and the two reviewers agreed on 110 of 115 indicator judgements (96%). The 11 differences were checked against the abstracts and in every case the second reviewer's judgement was adopted. Four of the six direction differences concerned a benefit reported for a single subscale or a single time point, which the first coder had counted as favouring the intervention; one concerned an exploratory subgroup effect that the first coder had counted as no difference, and one an effect that was significant only in the adjusted analysis, which the first coder had counted as mixed. Of the five indicator differences, three concerned attrition or analysed numbers, one a registration number that had been detected wrongly and one stratified randomization. The two rules that these differences exposed were then applied to all 113 trials, and every indicator was re-read against its abstract, so the frequencies in Table 5 are those after the comparison, whereas the agreement figures describe the first-pass coding.</w:t>
      </w:r>
    </w:p>
    <w:p>
      <w:pPr>
        <w:keepNext/>
        <w:spacing w:after="100" w:before="24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Reporting indicators and direction of the burnout result, coded from the abstracts (n = 113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Method of random sequence generation or allocation named,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Blinding or masking mentioned,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Attrition, completion or analysed numbers reported,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 (27.4%)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 registration or registry number given,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 (26.5%)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Analysis population stated (intention-to-treat or per-protocol),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better with the intervention than with the 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 (42.5%)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Mixed: one subscale, subgroup, arm or time point only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(23.9%)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No difference between groups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(16.8%)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All arms improved, no difference between arms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result unfavourable to the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result not stated in the abstract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(12.4%)</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Indicators were extracted from the abstract only; "not stated" means not stated in the abstract. The direction codes describe what the authors reported and are not effect estimates.</w:t>
      </w:r>
    </w:p>
    <w:p>
      <w:pPr>
        <w:pStyle w:val="Heading2"/>
        <w:spacing w:after="120" w:before="240"/>
      </w:pPr>
      <w:r>
        <w:rPr>
          <w:rFonts w:ascii="Times New Roman" w:cs="Times New Roman" w:eastAsia="Times New Roman" w:hAnsi="Times New Roman"/>
          <w:b/>
          <w:bCs/>
          <w:i/>
          <w:iCs/>
          <w:sz w:val="24"/>
          <w:szCs w:val="24"/>
        </w:rPr>
        <w:t xml:space="preserve">3.8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randomized allocation and 15 of these had been completed by the end of 2023 (Table 6; Appendix D). For 7 of the 15, a results report was included in this review. Results of 2 others had been published in samples outside the scope of the review, one in a clinical sample recruited on symptom level and one in the general population. For the remaining 6 (40.0%) no results report could be located; one of them had published only a protocol. The 4 randomized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Publication status of randomized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 (46.7%)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NCT02603133, NCT03475290, NCT04126564, NCT04393818, NCT04719351, NCT04816708, NCT05280964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 (40.0%)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NCT04462484, NCT05085132, NCT05036356, NCT04958941, NCT05779501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113 randomized trials of digitally delivered interventions that reported burnout in working populations. Four features describe the evidence. First, it is recent: about two in three trials were first reported from 2023 onwards, and the field changed after 2020 in who was studied and how interventions were delivered. Second, it is concentrated in healthcare, which accounts for 61.9% of trials, while teachers and all other sectors together contribute 31.9%. Third, most trials test psychological programmes delivered to individual workers. Interventions that change training, work processes or practical conditions are a small and partly hidden part of the literature: 10 of 19 were found only by the supplementary searches, which removed the intervention-type terms or added delivery terms. Fourth, design and reporting leave room for improvement. Waitlist controls are common and were used in nearly two in five of the most recent trials, the typical trial is small, fewer than half of the abstracts name the burnout instrument, and results could not be found for two in five registered trials completed by 2023.</w:t>
      </w:r>
    </w:p>
    <w:p>
      <w:pPr>
        <w:spacing w:after="160" w:line="400"/>
        <w:jc w:val="both"/>
      </w:pPr>
      <w:r>
        <w:rPr>
          <w:rFonts w:ascii="Times New Roman" w:cs="Times New Roman" w:eastAsia="Times New Roman" w:hAnsi="Times New Roman"/>
          <w:sz w:val="24"/>
          <w:szCs w:val="24"/>
        </w:rPr>
        <w:t xml:space="preserve">The concentration in healthcare reflects a change that began in 2020. Before 2020 only 4 of 16 trials studied healthcare workers, whereas 17 of 24 did so in 2020-2022 and 49 of 73 from 2023. Live online group programmes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organisation, when withholding support from staff under pressure was hard to defend and a delayed-access design was the easiest compromise. If so, effects observed during the pandemic may not hold in ordinary working conditions, and confirmatory trials under stable conditions are needed.</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Table 7 compares the scope of this review with related reviews. Previous reviews were limited to one profession and pooled effects [8], covered healthcare workers regardless of delivery mode [7], targeted stress and burnout prevention in nurses and physicians [10], or were limited to nurses [9] or to one therapeutic approach [11]. By restricting design to randomized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[10]</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[9]</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[11]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4.3 What the evidence map shows</w:t>
      </w:r>
    </w:p>
    <w:p>
      <w:pPr>
        <w:spacing w:after="160" w:line="400"/>
        <w:jc w:val="both"/>
      </w:pPr>
      <w:r>
        <w:rPr>
          <w:rFonts w:ascii="Times New Roman" w:cs="Times New Roman" w:eastAsia="Times New Roman" w:hAnsi="Times New Roman"/>
          <w:sz w:val="24"/>
          <w:szCs w:val="24"/>
        </w:rPr>
        <w:t xml:space="preserve">The map shows gaps of two kinds. The first concerns populations. Outside health and social care there are 36 trials, spread across teachers and three kinds of employee sample (workers selected for a health condition or risk, staff of a named occupation, industry or enterprise, and mixed-occupation workers). Most of the employee trials recruited workers selected for a health condition or mixed occupational samples,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t>
      </w:r>
    </w:p>
    <w:p>
      <w:pPr>
        <w:spacing w:after="160" w:line="400"/>
        <w:jc w:val="both"/>
      </w:pPr>
      <w:r>
        <w:rPr>
          <w:rFonts w:ascii="Times New Roman" w:cs="Times New Roman" w:eastAsia="Times New Roman" w:hAnsi="Times New Roman"/>
          <w:sz w:val="24"/>
          <w:szCs w:val="24"/>
        </w:rPr>
        <w:t xml:space="preserve">The second concerns mechanisms. Meta-analytic evidence in physicians suggests that organisation-directed interventions may be at least as effective as those directed at individuals [5,6], yet nearly four in five trials here (83.2% with a psychological mechanism) test programmes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recognised driver of physician burnout [4], directly. The 3 included scribe trials appeared in an artificial-intelligence journal (NEJM AI) and clinical-informatics journals (Applied Clinical Informatics and the Journal of the American Medical Informatics Association) rather than in occupational-health journals, and they do not use psychological terms. Reviews that search only for psychological interventions will miss them, as the main search of this review did.</w:t>
      </w:r>
    </w:p>
    <w:p>
      <w:pPr>
        <w:pStyle w:val="Heading2"/>
        <w:spacing w:after="120" w:before="240"/>
      </w:pPr>
      <w:r>
        <w:rPr>
          <w:rFonts w:ascii="Times New Roman" w:cs="Times New Roman" w:eastAsia="Times New Roman" w:hAnsi="Times New Roman"/>
          <w:b/>
          <w:bCs/>
          <w:i/>
          <w:iCs/>
          <w:sz w:val="24"/>
          <w:szCs w:val="24"/>
        </w:rPr>
        <w:t xml:space="preserve">4.4 Implications for trial design and reporting</w:t>
      </w:r>
    </w:p>
    <w:p>
      <w:pPr>
        <w:spacing w:after="160" w:line="400"/>
        <w:jc w:val="both"/>
      </w:pPr>
      <w:r>
        <w:rPr>
          <w:rFonts w:ascii="Times New Roman" w:cs="Times New Roman" w:eastAsia="Times New Roman" w:hAnsi="Times New Roman"/>
          <w:sz w:val="24"/>
          <w:szCs w:val="24"/>
        </w:rPr>
        <w:t xml:space="preserve">Waitlist controls were used in about three in ten of the trials and in nearly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organisational support, or between two versions of a digital programme would say more about what the intervention adds. The small median sample, the 14 trials with fewer than 50 participants and the 21 trials that describe themselves as pilot or feasibility studies indicate that much of the evidence comes from studies that were not designed to test effectiveness.</w:t>
      </w:r>
    </w:p>
    <w:p>
      <w:pPr>
        <w:spacing w:after="160" w:line="400"/>
        <w:jc w:val="both"/>
      </w:pPr>
      <w:r>
        <w:rPr>
          <w:rFonts w:ascii="Times New Roman" w:cs="Times New Roman" w:eastAsia="Times New Roman" w:hAnsi="Times New Roman"/>
          <w:sz w:val="24"/>
          <w:szCs w:val="24"/>
        </w:rPr>
        <w:t xml:space="preserve">Burnout measurement was reported inconsistently. More than half of the abstracts did not name the instrument. The full texts show that the field is less fragmented than the abstracts suggest, since the Maslach Burnout Inventory and its adaptations account for about 53.1%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although this review did not compare effect sizes, so we cannot say whether unpublished trials differ from published ones.</w:t>
      </w:r>
    </w:p>
    <w:p>
      <w:pPr>
        <w:spacing w:after="160" w:line="400"/>
        <w:jc w:val="both"/>
      </w:pPr>
      <w:r>
        <w:rPr>
          <w:rFonts w:ascii="Times New Roman" w:cs="Times New Roman" w:eastAsia="Times New Roman" w:hAnsi="Times New Roman"/>
          <w:sz w:val="24"/>
          <w:szCs w:val="24"/>
        </w:rPr>
        <w:t xml:space="preserve">Abstract-level reporting was thin in a different way. A registration number, attrition numbers, the analysis population and a blinding statement each appeared in fewer than a third of the abstracts, and a named randomization method in about one in twenty (Table 5). This says little about how the trials were conducted, since abstracts are short, but readers, editors and reviewers of later syntheses first see the abstract, and CONSORT asks for a structured summary of design, methods and results [20]. The direction of the burnout result was reported as favouring the intervention in fewer than half of the abstracts, and in a further quarter it was limited to one subscale, subgroup, arm or time point; because these codes describe how results were presented and not their size or validity, they are not evidence of effectiveness, which only a systematic review with an assessment of risk of bias can address.</w:t>
      </w:r>
    </w:p>
    <w:p>
      <w:pPr>
        <w:pStyle w:val="Heading2"/>
        <w:spacing w:after="120" w:before="240"/>
      </w:pPr>
      <w:r>
        <w:rPr>
          <w:rFonts w:ascii="Times New Roman" w:cs="Times New Roman" w:eastAsia="Times New Roman" w:hAnsi="Times New Roman"/>
          <w:b/>
          <w:bCs/>
          <w:i/>
          <w:iCs/>
          <w:sz w:val="24"/>
          <w:szCs w:val="24"/>
        </w:rPr>
        <w:t xml:space="preserve">4.5 Strengths and limitations</w:t>
      </w:r>
    </w:p>
    <w:p>
      <w:pPr>
        <w:spacing w:after="160" w:line="400"/>
        <w:jc w:val="both"/>
      </w:pPr>
      <w:r>
        <w:rPr>
          <w:rFonts w:ascii="Times New Roman" w:cs="Times New Roman" w:eastAsia="Times New Roman" w:hAnsi="Times New Roman"/>
          <w:sz w:val="24"/>
          <w:szCs w:val="24"/>
        </w:rPr>
        <w:t xml:space="preserve">The review has several strengths. It searched five databases, including two large open sources, and it tested and corrected its own search strategy by running supplementary searches without the intervention-type block and with additional delivery terms and controlled vocabulary. Every report that passed screening was assessed against explicit criteria with a recorded reason. Reports were linked to trials and the analysis was done at trial level. The trial registry was used both to find missed reports and to examine publication. All data and code are publicly available.</w:t>
      </w:r>
    </w:p>
    <w:p>
      <w:pPr>
        <w:spacing w:after="160" w:line="400"/>
        <w:jc w:val="both"/>
      </w:pPr>
      <w:r>
        <w:rPr>
          <w:rFonts w:ascii="Times New Roman" w:cs="Times New Roman" w:eastAsia="Times New Roman" w:hAnsi="Times New Roman"/>
          <w:sz w:val="24"/>
          <w:szCs w:val="24"/>
        </w:rPr>
        <w:t xml:space="preserve">There are also limitations. Selection and charting were done by a single reviewer with the help of an AI agent. A second reviewer assessed only a sample of 30 reports, and kappa from so few reports is imprecise; the remaining reports were assessed by one reviewer, and the screening error was estimated from a random sample of excluded records. Eligibility and charting relied mainly on abstracts. The reporting indicators and the direction of the burnout result were read from the abstracts alone and checked on a sample of about one fifth; a missing indicator does not show that the procedure was omitted, and the direction codes are neither effect estimates nor a risk-of-bias assessment.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searches used a broader but still incomplete vocabulary, the third search covered only PubMed and Europe PMC, and each search added trials that the previous one had missed, so further eligible trials probably remain, particularly in Web of Science, Scopus and databases that we did not search. One eligible report was recovered only through the registry. Some eligible trials, especially from sectors outside health care, have probably been missed.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Randomized evidence on digital interventions for occupational burnout has grown quickly since 2020 and now comprises 113 trials. The evidence is concentrated in healthcare and in psychological programmes for individual workers. Recent trials rely more often on waitlist controls, many trials are small pilot studies, and the burnout instrument is often not named in the abstract. The next generation of trials should include workers outside healthcare, test interventions that change training and work processes as well as individual coping, use active or usual-practice comparators, and report both the burnout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All data and code are available at https://github.com/fyodora2/5R. The file master_registry.csv lists all 288 reports assessed for eligibility (147 from the main search, 120 from the supplementary searches and 21 registry-linked publications) with the decision and reason for each. The file study_charting.csv contains the charting data for the 113 trials, supplementary_screening.csv, wos_scopus_supplementary_screening.csv and third_search_screening.csv contain every record screened in the supplementary searches, and registry_linkage.csv contains the 28 registrations. Abstracts retrieved from Web of Science and Scopus are not redistributed because of the databases' terms of use.</w:t>
      </w:r>
    </w:p>
    <w:p>
      <w:pPr>
        <w:spacing w:after="160" w:line="400"/>
        <w:jc w:val="both"/>
      </w:pPr>
      <w:r>
        <w:rPr>
          <w:rFonts w:ascii="Times New Roman" w:cs="Times New Roman" w:eastAsia="Times New Roman" w:hAnsi="Times New Roman"/>
          <w:b/>
          <w:bCs/>
          <w:sz w:val="24"/>
          <w:szCs w:val="24"/>
        </w:rPr>
        <w:t xml:space="preserve">Use of artificial intelligence:</w:t>
      </w:r>
      <w:r>
        <w:rPr>
          <w:rFonts w:ascii="Times New Roman" w:cs="Times New Roman" w:eastAsia="Times New Roman" w:hAnsi="Times New Roman"/>
          <w:sz w:val="24"/>
          <w:szCs w:val="24"/>
        </w:rPr>
        <w:t xml:space="preserve"> See Section 2.8.</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World Health Organization. Burn-out an "occupational phenomenon": International Classification of Diseases. Geneva: World Health Organization; 2019 May 28.</w:t>
      </w:r>
    </w:p>
    <w:p>
      <w:pPr>
        <w:spacing w:after="100" w:line="300"/>
        <w:ind w:left="440" w:hanging="440"/>
      </w:pPr>
      <w:r>
        <w:rPr>
          <w:rFonts w:ascii="Times New Roman" w:cs="Times New Roman" w:eastAsia="Times New Roman" w:hAnsi="Times New Roman"/>
          <w:sz w:val="22"/>
          <w:szCs w:val="22"/>
        </w:rPr>
        <w:t xml:space="preserve">2.	Maslach C, Leiter MP. Understanding the burnout experience: recent research and its implications for psychiatry. World Psychiatry. 2016;15(2):103-11. doi:10.1002/wps.20311</w:t>
      </w:r>
    </w:p>
    <w:p>
      <w:pPr>
        <w:spacing w:after="100" w:line="300"/>
        <w:ind w:left="440" w:hanging="440"/>
      </w:pPr>
      <w:r>
        <w:rPr>
          <w:rFonts w:ascii="Times New Roman" w:cs="Times New Roman" w:eastAsia="Times New Roman" w:hAnsi="Times New Roman"/>
          <w:sz w:val="22"/>
          <w:szCs w:val="22"/>
        </w:rPr>
        <w:t xml:space="preserve">3.	Rotenstein LS, Torre M, Ramos MA, Rosales RC, Guille C, Sen S, et al. Prevalence of burnout among physicians: a systematic review. JAMA. 2018;320(11):1131-50. doi:10.1001/jama.2018.12777</w:t>
      </w:r>
    </w:p>
    <w:p>
      <w:pPr>
        <w:spacing w:after="100" w:line="300"/>
        <w:ind w:left="440" w:hanging="440"/>
      </w:pPr>
      <w:r>
        <w:rPr>
          <w:rFonts w:ascii="Times New Roman" w:cs="Times New Roman" w:eastAsia="Times New Roman" w:hAnsi="Times New Roman"/>
          <w:sz w:val="22"/>
          <w:szCs w:val="22"/>
        </w:rPr>
        <w:t xml:space="preserve">4.	West CP, Dyrbye LN, Shanafelt TD. Physician burnout: contributors, consequences and solutions. J Intern Med. 2018;283(6):516-29. doi:10.1111/joim.12752</w:t>
      </w:r>
    </w:p>
    <w:p>
      <w:pPr>
        <w:spacing w:after="100" w:line="300"/>
        <w:ind w:left="440" w:hanging="440"/>
      </w:pPr>
      <w:r>
        <w:rPr>
          <w:rFonts w:ascii="Times New Roman" w:cs="Times New Roman" w:eastAsia="Times New Roman" w:hAnsi="Times New Roman"/>
          <w:sz w:val="22"/>
          <w:szCs w:val="22"/>
        </w:rPr>
        <w:t xml:space="preserve">5.	West CP, Dyrbye LN, Erwin PJ, Shanafelt TD. Interventions to prevent and reduce physician burnout: a systematic review and meta-analysis. Lancet. 2016;388(10057):2272-81. doi:10.1016/S0140-6736(16)31279-X</w:t>
      </w:r>
    </w:p>
    <w:p>
      <w:pPr>
        <w:spacing w:after="100" w:line="300"/>
        <w:ind w:left="440" w:hanging="440"/>
      </w:pPr>
      <w:r>
        <w:rPr>
          <w:rFonts w:ascii="Times New Roman" w:cs="Times New Roman" w:eastAsia="Times New Roman" w:hAnsi="Times New Roman"/>
          <w:sz w:val="22"/>
          <w:szCs w:val="22"/>
        </w:rPr>
        <w:t xml:space="preserve">6.	Panagioti M, Panagopoulou E, Bower P, Lewith G, Kontopantelis E, Chew-Graham C, et al. Controlled interventions to reduce burnout in physicians: a systematic review and meta-analysis. JAMA Intern Med. 2017;177(2):195-205. doi:10.1001/jamainternmed.2016.7674</w:t>
      </w:r>
    </w:p>
    <w:p>
      <w:pPr>
        <w:spacing w:after="100" w:line="300"/>
        <w:ind w:left="440" w:hanging="440"/>
      </w:pPr>
      <w:r>
        <w:rPr>
          <w:rFonts w:ascii="Times New Roman" w:cs="Times New Roman" w:eastAsia="Times New Roman" w:hAnsi="Times New Roman"/>
          <w:sz w:val="22"/>
          <w:szCs w:val="22"/>
        </w:rPr>
        <w:t xml:space="preserve">7.	Kunzler AM, Helmreich I, Chmitorz A, König J, Binder H, Wessa M, et al. Psychological interventions to foster resilience in healthcare professionals. Cochrane Database Syst Rev. 2020;7:CD012527. doi:10.1002/14651858.CD012527.pub2</w:t>
      </w:r>
    </w:p>
    <w:p>
      <w:pPr>
        <w:spacing w:after="100" w:line="300"/>
        <w:ind w:left="440" w:hanging="440"/>
      </w:pPr>
      <w:r>
        <w:rPr>
          <w:rFonts w:ascii="Times New Roman" w:cs="Times New Roman" w:eastAsia="Times New Roman" w:hAnsi="Times New Roman"/>
          <w:sz w:val="22"/>
          <w:szCs w:val="22"/>
        </w:rPr>
        <w:t xml:space="preserve">8.	Yang Y, Wen J, Wan H, Yang Q, Guan J, Min L, et al. Digital health interventions for reducing occupational burnout in nurses: a systematic review and meta-analysis. Front Public Health. 2026;14:1879258. doi:10.3389/fpubh.2026.1879258</w:t>
      </w:r>
    </w:p>
    <w:p>
      <w:pPr>
        <w:spacing w:after="100" w:line="300"/>
        <w:ind w:left="440" w:hanging="440"/>
      </w:pPr>
      <w:r>
        <w:rPr>
          <w:rFonts w:ascii="Times New Roman" w:cs="Times New Roman" w:eastAsia="Times New Roman" w:hAnsi="Times New Roman"/>
          <w:sz w:val="22"/>
          <w:szCs w:val="22"/>
        </w:rPr>
        <w:t xml:space="preserve">9.	Park JH, Jung SE, Ha DJ, Lee B, Kim MS, Sim KL, et al. E-healthcare interventions for nurse mental health: a systematic review. Medicine (Baltimore). 2022;101(28):e29125. doi:10.1097/MD.0000000000029125</w:t>
      </w:r>
    </w:p>
    <w:p>
      <w:pPr>
        <w:spacing w:after="100" w:line="300"/>
        <w:ind w:left="440" w:hanging="440"/>
      </w:pPr>
      <w:r>
        <w:rPr>
          <w:rFonts w:ascii="Times New Roman" w:cs="Times New Roman" w:eastAsia="Times New Roman" w:hAnsi="Times New Roman"/>
          <w:sz w:val="22"/>
          <w:szCs w:val="22"/>
        </w:rPr>
        <w:t xml:space="preserve">10.	Adam D, Berschick J, Schiele JK, Bogdanski M, Schröter M, Steinmetz M, et al. Interventions to reduce stress and prevent burnout in healthcare professionals supported by digital applications: a scoping review. Front Public Health. 2023;11:1231266. doi:10.3389/fpubh.2023.1231266</w:t>
      </w:r>
    </w:p>
    <w:p>
      <w:pPr>
        <w:spacing w:after="100" w:line="300"/>
        <w:ind w:left="440" w:hanging="440"/>
      </w:pPr>
      <w:r>
        <w:rPr>
          <w:rFonts w:ascii="Times New Roman" w:cs="Times New Roman" w:eastAsia="Times New Roman" w:hAnsi="Times New Roman"/>
          <w:sz w:val="22"/>
          <w:szCs w:val="22"/>
        </w:rPr>
        <w:t xml:space="preserve">11.	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300"/>
        <w:ind w:left="440" w:hanging="440"/>
      </w:pPr>
      <w:r>
        <w:rPr>
          <w:rFonts w:ascii="Times New Roman" w:cs="Times New Roman" w:eastAsia="Times New Roman" w:hAnsi="Times New Roman"/>
          <w:sz w:val="22"/>
          <w:szCs w:val="22"/>
        </w:rPr>
        <w:t xml:space="preserve">12.	Arksey H, O'Malley L. Scoping studies: towards a methodological framework. Int J Soc Res Methodol. 2005;8(1):19-32. doi:10.1080/1364557032000119616</w:t>
      </w:r>
    </w:p>
    <w:p>
      <w:pPr>
        <w:spacing w:after="100" w:line="300"/>
        <w:ind w:left="440" w:hanging="440"/>
      </w:pPr>
      <w:r>
        <w:rPr>
          <w:rFonts w:ascii="Times New Roman" w:cs="Times New Roman" w:eastAsia="Times New Roman" w:hAnsi="Times New Roman"/>
          <w:sz w:val="22"/>
          <w:szCs w:val="22"/>
        </w:rPr>
        <w:t xml:space="preserve">13.	Levac D, Colquhoun H, O'Brien KK. Scoping studies: advancing the methodology. Implement Sci. 2010;5:69. doi:10.1186/1748-5908-5-69</w:t>
      </w:r>
    </w:p>
    <w:p>
      <w:pPr>
        <w:spacing w:after="100" w:line="300"/>
        <w:ind w:left="440" w:hanging="440"/>
      </w:pPr>
      <w:r>
        <w:rPr>
          <w:rFonts w:ascii="Times New Roman" w:cs="Times New Roman" w:eastAsia="Times New Roman" w:hAnsi="Times New Roman"/>
          <w:sz w:val="22"/>
          <w:szCs w:val="22"/>
        </w:rPr>
        <w:t xml:space="preserve">14.	Peters MDJ, Godfrey C, McInerney P, Munn Z, Tricco AC, Khalil H. Chapter 11: Scoping reviews. In: Aromataris E, Munn Z, editors. JBI Manual for Evidence Synthesis. Adelaide: JBI; 2020. doi:10.46658/JBIMES-20-12</w:t>
      </w:r>
    </w:p>
    <w:p>
      <w:pPr>
        <w:spacing w:after="100" w:line="300"/>
        <w:ind w:left="440" w:hanging="440"/>
      </w:pPr>
      <w:r>
        <w:rPr>
          <w:rFonts w:ascii="Times New Roman" w:cs="Times New Roman" w:eastAsia="Times New Roman" w:hAnsi="Times New Roman"/>
          <w:sz w:val="22"/>
          <w:szCs w:val="22"/>
        </w:rPr>
        <w:t xml:space="preserve">15.	Tricco AC, Lillie E, Zarin W, O'Brien KK, Colquhoun H, Levac D, et al. PRISMA Extension for Scoping Reviews (PRISMA-ScR): checklist and explanation. Ann Intern Med. 2018;169(7):467-73. doi:10.7326/M18-0850</w:t>
      </w:r>
    </w:p>
    <w:p>
      <w:pPr>
        <w:spacing w:after="100" w:line="300"/>
        <w:ind w:left="440" w:hanging="440"/>
      </w:pPr>
      <w:r>
        <w:rPr>
          <w:rFonts w:ascii="Times New Roman" w:cs="Times New Roman" w:eastAsia="Times New Roman" w:hAnsi="Times New Roman"/>
          <w:sz w:val="22"/>
          <w:szCs w:val="22"/>
        </w:rPr>
        <w:t xml:space="preserve">16.	Page MJ, McKenzie JE, Bossuyt PM, Boutron I, Hoffmann TC, Mulrow CD, et al. The PRISMA 2020 statement: an updated guideline for reporting systematic reviews. BMJ. 2021;372:n71. doi:10.1136/bmj.n71</w:t>
      </w:r>
    </w:p>
    <w:p>
      <w:pPr>
        <w:spacing w:after="100" w:line="300"/>
        <w:ind w:left="440" w:hanging="440"/>
      </w:pPr>
      <w:r>
        <w:rPr>
          <w:rFonts w:ascii="Times New Roman" w:cs="Times New Roman" w:eastAsia="Times New Roman" w:hAnsi="Times New Roman"/>
          <w:sz w:val="22"/>
          <w:szCs w:val="22"/>
        </w:rPr>
        <w:t xml:space="preserve">17.	Clopper CJ, Pearson ES. The use of confidence or fiducial limits illustrated in the case of the binomial. Biometrika. 1934;26(4):404-13. doi:10.1093/biomet/26.4.404</w:t>
      </w:r>
    </w:p>
    <w:p>
      <w:pPr>
        <w:spacing w:after="100" w:line="300"/>
        <w:ind w:left="440" w:hanging="440"/>
      </w:pPr>
      <w:r>
        <w:rPr>
          <w:rFonts w:ascii="Times New Roman" w:cs="Times New Roman" w:eastAsia="Times New Roman" w:hAnsi="Times New Roman"/>
          <w:sz w:val="22"/>
          <w:szCs w:val="22"/>
        </w:rPr>
        <w:t xml:space="preserve">18.	Furukawa TA, Noma H, Caldwell DM, Honyashiki M, Shinohara K, Imai H, et al. Waiting list may be a nocebo condition in psychotherapy trials: a contribution from network meta-analysis. Acta Psychiatr Scand. 2014;130(3):181-92. doi:10.1111/acps.12275</w:t>
      </w:r>
    </w:p>
    <w:p>
      <w:pPr>
        <w:spacing w:after="100" w:line="300"/>
        <w:ind w:left="440" w:hanging="440"/>
      </w:pPr>
      <w:r>
        <w:rPr>
          <w:rFonts w:ascii="Times New Roman" w:cs="Times New Roman" w:eastAsia="Times New Roman" w:hAnsi="Times New Roman"/>
          <w:sz w:val="22"/>
          <w:szCs w:val="22"/>
        </w:rPr>
        <w:t xml:space="preserve">19.	Schaufeli WB, De Witte H, Desart S. Burnout Assessment Tool (BAT): development, validity, and reliability. Int J Environ Res Public Health. 2020;17(24):9495. doi:10.3390/ijerph17249495</w:t>
      </w:r>
    </w:p>
    <w:p>
      <w:pPr>
        <w:spacing w:after="100" w:line="300"/>
        <w:ind w:left="440" w:hanging="440"/>
      </w:pPr>
      <w:r>
        <w:rPr>
          <w:rFonts w:ascii="Times New Roman" w:cs="Times New Roman" w:eastAsia="Times New Roman" w:hAnsi="Times New Roman"/>
          <w:sz w:val="22"/>
          <w:szCs w:val="22"/>
        </w:rPr>
        <w:t xml:space="preserve">20.	Schulz KF, Altman DG, Moher D; CONSORT Group. CONSORT 2010 statement: updated guidelines for reporting parallel group randomised trials. BMJ. 2010;340:c332. doi:10.1136/bmj.c332</w:t>
      </w:r>
    </w:p>
    <w:p>
      <w:pPr>
        <w:spacing w:after="100" w:line="300"/>
        <w:ind w:left="440" w:hanging="440"/>
      </w:pPr>
      <w:r>
        <w:rPr>
          <w:rFonts w:ascii="Times New Roman" w:cs="Times New Roman" w:eastAsia="Times New Roman" w:hAnsi="Times New Roman"/>
          <w:sz w:val="22"/>
          <w:szCs w:val="22"/>
        </w:rPr>
        <w:t xml:space="preserve">21.	Eysenbach G; CONSORT-EHEALTH Group. CONSORT-EHEALTH: improving and standardizing evaluation reports of web-based and mobile health interventions. J Med Internet Res. 2011;13(4):e126. doi:10.2196/jmir.1923</w:t>
      </w:r>
    </w:p>
    <w:p>
      <w:pPr>
        <w:spacing w:after="100" w:line="300"/>
        <w:ind w:left="440" w:hanging="440"/>
      </w:pPr>
      <w:r>
        <w:rPr>
          <w:rFonts w:ascii="Times New Roman" w:cs="Times New Roman" w:eastAsia="Times New Roman" w:hAnsi="Times New Roman"/>
          <w:sz w:val="22"/>
          <w:szCs w:val="22"/>
        </w:rPr>
        <w:t xml:space="preserve">22.	Chen R, Desai NR, Ross JS, Zhang W, Chau KH, Wayda B, et al. Publication and reporting of clinical trial results: cross sectional analysis across academic medical centers. BMJ. 2016;352:i637. doi:10.1136/bmj.i637</w:t>
      </w:r>
    </w:p>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Search string</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The same four blocks in OpenAlex Boolean syntax, with truncated terms replaced by their word forms (for example psychological OR psychology; randomized OR randomised).</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As for Web of Science.</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(main digital block OR extended digital terms as above) AND (randomized OR randomised OR RCT OR "controlled trial" OR "clinical trial") AND NOT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TITLE-ABS-KEY((burnout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TS=((burnout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PubMed (MeSH check)</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MeSH Terms and title/abstract;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Professional"[MeSH Terms] AND (randomized controlled trial[pt] OR randomized[tiab] OR randomised[tiab] OR "randomly assigned"[tiab] OR "randomly allocated"[tiab] OR "random assignment"[tiab] OR "random allocation"[tiab]); 595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(delivery terms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(virtual OR remote OR remotely OR video OR videos OR telecoach* OR teletherapy OR telepsycholog* OR digitally OR podcast OR streaming) AND (randomi* OR "randomly assigned" OR "randomly allocated" OR "random allocation" OR RCT); 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(delivery terms 2)</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(randomi* OR "randomly assigned" OR "randomly allocated" OR "random allocation" OR RCT); 228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172 excluded reports, ordered by the criterion they failed. Main = main database search; Suppl. = supplementary search; Suppl. 3 = third supplementary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Wearable Biosensor Monitoring, Machine Learning–Based Burnout Risk…</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without peer review (only peer-reviewed reports are eligible)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Implementing Virtual Diabetes Group Visits on Staff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analysis of staff within a cluster randomized trial of patient group visits;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Leadership Coaching as an Implementation Strategy to Enhance Adoption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without peer review (only peer-reviewed reports are eligible)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Motivational Interviewing to Coach Teachers in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sequential analysis of coaching sessions;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 (full text confirms the individual-format arm is reported elsewhere)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MBI analysed only as an association with website use, not compared by arm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of the Hopetimize program for pediatric oncology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Gamified Wellness Program is Associated With Reduced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randomized to teams; no control arm or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acceptance and commitment intervention for work-related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experimental design with four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Stress first aid for the harm reduction workforce: pilot test results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with a convenience sample; no randomized comparison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remote scribes on primary care physicians' wellness, EHR…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non-randomized controlled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40. CHAMILY CHALLENGE: THE IMPACT AND EFFICACY OF TEAM-BASED GAMIFICATION…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Conference abstract: residents randomized to four teams in a gamified programme and compared with the previous year; wellness, not burnout, measured; no between-group comparison (full text received)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Heartfulness Meditation on Stress Biomarkers, Burnout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aged 18-24 years with perceived stress;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investigating the efficacy of brief, phone-based,…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Hypnotic tape intervention ameliorates stress: a randomized, control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Volunteers from mixed groups;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building resilience skills among undergraduate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Toward fostering resilience on a large scale: Connecting communities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at risk of stress in a community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clinical trial of cognitive behavioral interventions for social media…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University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Metabolic and Psychological Effects of Mylife CamAPS FX Hybrid…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Adults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AI-Generated Feedback on Dental Student Performance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Dental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Clinical Trial to Improve Adherence…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Adolescents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hospital preparatory education on parents: A randomised…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Parents of hospitalised children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Parent-Child Interaction Therapy-Based Trauma-Focused…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Trauma-exposed children and their parents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Improvement of the management of mental well-being and empathy in Chinese…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Pre-clinic Diabetes Assessment and Mapped Care Planning…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Examining Biofeedback and Structured Napping to Promote…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Tiny Habits&lt;sup&gt;®&lt;/sup&gt; for Gratitude-Implications for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Health professionals and students in an uncontrolled gratitude pilot; burnout not an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randomised trial of a psychosocial intervention for cancer patients…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Cancer patients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Commercial fitness platform used through a mobile app to book mostly in-person classes and gym visits; no digitally delivered intervention content reported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Pragmatic Parental Support to Mitigate Burnout Among Pregnant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Parental support package (smart bassinet, wearable breast pump, faculty mentorship, virtual perinatal support); only the virtual support was digital and it was not the core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Increasing oncologists' skills in eliciting and responding to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Communication-skills training that was mainly in person; four monthly videoconferences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DEEP SELF-REGULATION METHOD: A HYPNOTHERAPEUTICAL AND COACHING APPROACH…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Hypnotherapy and coaching modules; digital delivery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meditation and its impact on nurses' professional quality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Eight-session mindfulness training;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efficacy of an integrated empowerment and narrative nursing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Empowerment education and narrative nursing sessions;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Positive communication for decreasing burnout in intensive-care-unit…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Posters, greetings and message boxes; email nudges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 coloring for stress reduction in nurses working in a Hong…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Mandala colouring; a three-minute instructional video was the only digital element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Acupuncture and Acupressure on Burnout in Health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Acupuncture and acupressure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Humanism and professionalism training for pediatric hematology-oncology…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curriculum in fellowship programmes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role of massage in reducing the risk of burnout in employees of large…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Massage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Improving the workplace reduces physician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Organisational workplace intervention;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enhanced resources on anticipatory stress and adjustment to new…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resource workshop; new information technology was the stressor, not the intervention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Interventions to reduce back pain in rehabilitation hospital nursing staff.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Ergonomic and back-care interventions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occupational health intervention programme for workers at risk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Occupational-physician programme;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Yoga-Based Mind-Body Intervention for Resident…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yoga-based programme; virtual delivery only proposed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 Training Can Make a Difference: Tools to Overcome the Impact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Teacher-training programme; digital delivery not described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effects of a workplace intervention on employees' cortisol awakening…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Workplace work-family intervention;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self-compassion, mindfulness, EEG;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Engagement Strategy and Health Care Worker Mental Health: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was measured with the nine-item Well-Being Index; no direct burnout instrument (decision c17)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Serial Anthropometric Measurements and Motivational Text…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Weight-reduction intervention; burnout was a secondary measure unrelated to the aim of the intervention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adaptive simulation intervention decreases emergency physician…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heart-rate variability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 Satisfaction and Burnout Are Related to Psychiatric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used only as a correlate of antipathy scores, not as an outcome of the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Heartfulness meditation improves loneliness and sleep in physicians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loneliness and sleep</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Comparing two types of perspective taking as strategies for detecting…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accuracy of identifying parents' feelings and clinician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Using Communication Coaching to Teach Palliative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motivational-interviewing behaviours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527"/>
        <w:gridCol w:w="936"/>
        <w:gridCol w:w="749"/>
        <w:gridCol w:w="1123"/>
        <w:gridCol w:w="655"/>
        <w:gridCol w:w="374"/>
        <w:gridCol w:w="655"/>
        <w:gridCol w:w="562"/>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37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Result</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Turkish Burnout Scale†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Job crafting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Satisfying students' psychological needs in the classroom: Benefits of an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UBOS†</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SWEBO†</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Precision targeting of teacher burnout using network-informed ecological momentary…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rehabilitation for individuals with chronic pain and burnout: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Text Messaging for the Improvement of Occupational Health among Nurses in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Geldard</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Japanese Burnout Scale†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training and financial incentives for teachers: Evidence from Bangladesh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ambient scribes: a randomized crossover clinical trial addressing ambient…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Recruitment, retention and recouperation: lessons learned from a study aimed at…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Loving-Kindness Meditation on Job-Related Burnout of Nurses Working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heartfulness meditation practice compared to the gratitude practices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 Program to Address Burnout, Well-being, and Professional Development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R251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 Virtual Professional Development Coaching Program on the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Professional Coaching to Reduce Physician Burnout: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mindfulness-based cognitive behavior therapy intervention on occupational…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374"/>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Result: direction of the burnout result reported in the abstract (F favours the intervention, M mixed, N no difference, B all arms improved, U unfavourable, R not stated); not an effect estimate. Burnout measure: instrument named in the abstract, or, marked †, identified from the full text (— not determined). n: participants randomized or, where only that was reported, analysed (NR, not reported). DOIs and full titles are given in study_charting.csv.</w:t>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Table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Table 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abstract-level reporting indicators only (Sections 2.5 and 3.7)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3,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Table 5 gives abstract-level reporting indicators only</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C; study_charting.csv; effect_direction_abstract.csv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3.3-3.8, Figures 2-3, Tables 4-6</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b657e3fe988e516284ba228117be8ca4fe01756.png"/><Relationship Id="rId9" Type="http://schemas.openxmlformats.org/officeDocument/2006/relationships/image" Target="media/a8faf14135a43abf99ef7b8f6fbc550da5f2c681.png"/><Relationship Id="rId10" Type="http://schemas.openxmlformats.org/officeDocument/2006/relationships/image" Target="media/cae1802a415860b921d53d0b45e307b4b30a8f3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Author</dc:creator>
  <cp:lastModifiedBy>Un-named</cp:lastModifiedBy>
  <cp:revision>1</cp:revision>
  <dcterms:created xsi:type="dcterms:W3CDTF">2026-09-29T15:20:04.412Z</dcterms:created>
  <dcterms:modified xsi:type="dcterms:W3CDTF">2026-09-29T15:20:04.413Z</dcterms:modified>
</cp:coreProperties>
</file>

<file path=docProps/custom.xml><?xml version="1.0" encoding="utf-8"?>
<Properties xmlns="http://schemas.openxmlformats.org/officeDocument/2006/custom-properties" xmlns:vt="http://schemas.openxmlformats.org/officeDocument/2006/docPropsVTypes"/>
</file>