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pPr>
      <w:r>
        <w:rPr>
          <w:rFonts w:ascii="Times New Roman" w:cs="Times New Roman" w:eastAsia="Times New Roman" w:hAnsi="Times New Roman"/>
          <w:i/>
          <w:iCs/>
          <w:sz w:val="22"/>
          <w:szCs w:val="22"/>
        </w:rPr>
        <w:t xml:space="preserve">Scoping review</w:t>
      </w:r>
    </w:p>
    <w:p>
      <w:pPr>
        <w:spacing w:after="480"/>
      </w:pPr>
      <w:r>
        <w:rPr>
          <w:rFonts w:ascii="Times New Roman" w:cs="Times New Roman" w:eastAsia="Times New Roman" w:hAnsi="Times New Roman"/>
          <w:b/>
          <w:bCs/>
          <w:sz w:val="32"/>
          <w:szCs w:val="32"/>
        </w:rPr>
        <w:t xml:space="preserve">Randomized Trials of Digital Interventions Reporting Occupational Burnout Outcomes: A Scoping Review and Evidence Map</w:t>
      </w:r>
    </w:p>
    <w:p>
      <w:pPr>
        <w:spacing w:after="160" w:line="400"/>
        <w:jc w:val="both"/>
      </w:pPr>
      <w:r>
        <w:rPr>
          <w:rFonts w:ascii="Times New Roman" w:cs="Times New Roman" w:eastAsia="Times New Roman" w:hAnsi="Times New Roman"/>
          <w:b/>
          <w:bCs/>
          <w:sz w:val="24"/>
          <w:szCs w:val="24"/>
        </w:rPr>
        <w:t xml:space="preserve">Author:</w:t>
      </w:r>
      <w:r>
        <w:rPr>
          <w:rFonts w:ascii="Times New Roman" w:cs="Times New Roman" w:eastAsia="Times New Roman" w:hAnsi="Times New Roman"/>
          <w:sz w:val="24"/>
          <w:szCs w:val="24"/>
        </w:rPr>
        <w:t xml:space="preserve"> [Name], [affiliation]. </w:t>
      </w:r>
      <w:r>
        <w:rPr>
          <w:rFonts w:ascii="Times New Roman" w:cs="Times New Roman" w:eastAsia="Times New Roman" w:hAnsi="Times New Roman"/>
          <w:b/>
          <w:bCs/>
          <w:sz w:val="24"/>
          <w:szCs w:val="24"/>
        </w:rPr>
        <w:t xml:space="preserve">Corresponding author:</w:t>
      </w:r>
      <w:r>
        <w:rPr>
          <w:rFonts w:ascii="Times New Roman" w:cs="Times New Roman" w:eastAsia="Times New Roman" w:hAnsi="Times New Roman"/>
          <w:sz w:val="24"/>
          <w:szCs w:val="24"/>
        </w:rPr>
        <w:t xml:space="preserve"> [Name], [postal address]; email: m.reza.qeta@gmail.com.</w:t>
      </w:r>
    </w:p>
    <w:p>
      <w:pPr>
        <w:spacing w:after="160" w:line="400"/>
        <w:jc w:val="both"/>
      </w:pPr>
      <w:r>
        <w:rPr>
          <w:rFonts w:ascii="Times New Roman" w:cs="Times New Roman" w:eastAsia="Times New Roman" w:hAnsi="Times New Roman"/>
          <w:b/>
          <w:bCs/>
          <w:sz w:val="24"/>
          <w:szCs w:val="24"/>
        </w:rPr>
        <w:t xml:space="preserve">Running title:</w:t>
      </w:r>
      <w:r>
        <w:rPr>
          <w:rFonts w:ascii="Times New Roman" w:cs="Times New Roman" w:eastAsia="Times New Roman" w:hAnsi="Times New Roman"/>
          <w:sz w:val="24"/>
          <w:szCs w:val="24"/>
        </w:rPr>
        <w:t xml:space="preserve"> Digital interventions and occupational burnout: an evidence map</w:t>
      </w:r>
    </w:p>
    <w:p>
      <w:pPr>
        <w:spacing w:after="160" w:line="400"/>
        <w:jc w:val="both"/>
      </w:pPr>
      <w:r>
        <w:rPr>
          <w:rFonts w:ascii="Times New Roman" w:cs="Times New Roman" w:eastAsia="Times New Roman" w:hAnsi="Times New Roman"/>
          <w:b/>
          <w:bCs/>
          <w:sz w:val="24"/>
          <w:szCs w:val="24"/>
        </w:rPr>
        <w:t xml:space="preserve">Word count:</w:t>
      </w:r>
      <w:r>
        <w:rPr>
          <w:rFonts w:ascii="Times New Roman" w:cs="Times New Roman" w:eastAsia="Times New Roman" w:hAnsi="Times New Roman"/>
          <w:sz w:val="24"/>
          <w:szCs w:val="24"/>
        </w:rPr>
        <w:t xml:space="preserve"> abstract, 297 words; main text, about 5,300 words. </w:t>
      </w:r>
      <w:r>
        <w:rPr>
          <w:rFonts w:ascii="Times New Roman" w:cs="Times New Roman" w:eastAsia="Times New Roman" w:hAnsi="Times New Roman"/>
          <w:b/>
          <w:bCs/>
          <w:sz w:val="24"/>
          <w:szCs w:val="24"/>
        </w:rPr>
        <w:t xml:space="preserve">Tables:</w:t>
      </w:r>
      <w:r>
        <w:rPr>
          <w:rFonts w:ascii="Times New Roman" w:cs="Times New Roman" w:eastAsia="Times New Roman" w:hAnsi="Times New Roman"/>
          <w:sz w:val="24"/>
          <w:szCs w:val="24"/>
        </w:rPr>
        <w:t xml:space="preserve"> 6. </w:t>
      </w:r>
      <w:r>
        <w:rPr>
          <w:rFonts w:ascii="Times New Roman" w:cs="Times New Roman" w:eastAsia="Times New Roman" w:hAnsi="Times New Roman"/>
          <w:b/>
          <w:bCs/>
          <w:sz w:val="24"/>
          <w:szCs w:val="24"/>
        </w:rPr>
        <w:t xml:space="preserve">Figures:</w:t>
      </w:r>
      <w:r>
        <w:rPr>
          <w:rFonts w:ascii="Times New Roman" w:cs="Times New Roman" w:eastAsia="Times New Roman" w:hAnsi="Times New Roman"/>
          <w:sz w:val="24"/>
          <w:szCs w:val="24"/>
        </w:rPr>
        <w:t xml:space="preserve"> 3. </w:t>
      </w:r>
      <w:r>
        <w:rPr>
          <w:rFonts w:ascii="Times New Roman" w:cs="Times New Roman" w:eastAsia="Times New Roman" w:hAnsi="Times New Roman"/>
          <w:b/>
          <w:bCs/>
          <w:sz w:val="24"/>
          <w:szCs w:val="24"/>
        </w:rPr>
        <w:t xml:space="preserve">Supplementary appendices:</w:t>
      </w:r>
      <w:r>
        <w:rPr>
          <w:rFonts w:ascii="Times New Roman" w:cs="Times New Roman" w:eastAsia="Times New Roman" w:hAnsi="Times New Roman"/>
          <w:sz w:val="24"/>
          <w:szCs w:val="24"/>
        </w:rPr>
        <w:t xml:space="preserve"> 5.</w:t>
      </w:r>
    </w:p>
    <w:p>
      <w:pPr>
        <w:spacing w:after="160" w:line="400"/>
        <w:jc w:val="both"/>
      </w:pPr>
      <w:r>
        <w:rPr>
          <w:rFonts w:ascii="Times New Roman" w:cs="Times New Roman" w:eastAsia="Times New Roman" w:hAnsi="Times New Roman"/>
          <w:b/>
          <w:bCs/>
          <w:sz w:val="24"/>
          <w:szCs w:val="24"/>
        </w:rPr>
        <w:t xml:space="preserve">Data and code availability:</w:t>
      </w:r>
      <w:r>
        <w:rPr>
          <w:rFonts w:ascii="Times New Roman" w:cs="Times New Roman" w:eastAsia="Times New Roman" w:hAnsi="Times New Roman"/>
          <w:sz w:val="24"/>
          <w:szCs w:val="24"/>
        </w:rPr>
        <w:t xml:space="preserve"> https://github.com/fyodora2/5R</w:t>
      </w:r>
    </w:p>
    <w:p>
      <w:r>
        <w:br w:type="page"/>
      </w:r>
    </w:p>
    <w:p>
      <w:pPr>
        <w:pStyle w:val="Heading1"/>
        <w:spacing w:after="180" w:before="360"/>
      </w:pPr>
      <w:r>
        <w:rPr>
          <w:rFonts w:ascii="Times New Roman" w:cs="Times New Roman" w:eastAsia="Times New Roman" w:hAnsi="Times New Roman"/>
          <w:b/>
          <w:bCs/>
          <w:sz w:val="28"/>
          <w:szCs w:val="28"/>
        </w:rPr>
        <w:t xml:space="preserve">Abstract</w:t>
      </w:r>
    </w:p>
    <w:p>
      <w:pPr>
        <w:spacing w:after="160" w:line="400"/>
        <w:jc w:val="both"/>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Digital programmes are widely used against occupational burnout, but randomized evidence has been reviewed only within single professions or broader mental-health outcomes.</w:t>
      </w:r>
    </w:p>
    <w:p>
      <w:pPr>
        <w:spacing w:after="160" w:line="400"/>
        <w:jc w:val="both"/>
      </w:pPr>
      <w:r>
        <w:rPr>
          <w:rFonts w:ascii="Times New Roman" w:cs="Times New Roman" w:eastAsia="Times New Roman" w:hAnsi="Times New Roman"/>
          <w:b/>
          <w:bCs/>
          <w:sz w:val="24"/>
          <w:szCs w:val="24"/>
        </w:rPr>
        <w:t xml:space="preserve">Objective:</w:t>
      </w:r>
      <w:r>
        <w:rPr>
          <w:rFonts w:ascii="Times New Roman" w:cs="Times New Roman" w:eastAsia="Times New Roman" w:hAnsi="Times New Roman"/>
          <w:sz w:val="24"/>
          <w:szCs w:val="24"/>
        </w:rPr>
        <w:t xml:space="preserve"> To map randomized trials of any digitally delivered intervention in working populations that reported burnout as an outcome.</w:t>
      </w:r>
    </w:p>
    <w:p>
      <w:pPr>
        <w:spacing w:after="160" w:line="400"/>
        <w:jc w:val="both"/>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Scoping review reported according to PRISMA-ScR. We searched Europe PMC, OpenAlex, ERIC, Web of Science and Scopus (17-26 September 2026), repeated them without the intervention-type block so that interventions of any mechanism could be found, added a PubMed MeSH search and delivery-term searches after a vocabulary gap appeared (28-29 September 2026), and linked ClinicalTrials.gov registrations to their publications. Reports were assessed against five ordered criteria and charted at trial level.</w:t>
      </w:r>
    </w:p>
    <w:p>
      <w:pPr>
        <w:spacing w:after="160" w:line="400"/>
        <w:jc w:val="both"/>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4,406 records, 2,397 were screened and 286 reports were assessed. We included 119 reports of 116 trials (28,356 participants; median 117 per trial). 29 trials, 15 of them with non-psychological mechanisms, were found only by the supplementary searches. Of all trials, 65.5% were first reported from 2023 onwards. Healthcare workers were studied in 75 trials and teachers or employees of other sectors in 34. Web programmes (48 trials) and smartphone apps (20) predominated, and live online group sessions rose from 2 trials before 2023 to 22 afterwards. Mindfulness was the most frequent psychological approach (23 trials); 25 trials used non-psychological mechanisms. Waitlist controls were used in 36 trials overall and in 38% of those reported from 2023 onwards. Only 56 abstracts named the burnout instrument. Of 15 randomized registrations completed by 2023, 6 had no locatable results.</w:t>
      </w:r>
    </w:p>
    <w:p>
      <w:pPr>
        <w:spacing w:after="160" w:line="400"/>
        <w:jc w:val="both"/>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The evidence has grown quickly but is concentrated in healthcare, increasingly waitlist-controlled and inconsistently reported. Actively controlled trials outside healthcare, trials of work-system technologies, explicit reporting of burnout instruments and publication of completed trials are priorities.</w:t>
      </w:r>
    </w:p>
    <w:p>
      <w:pPr>
        <w:spacing w:after="160" w:line="40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occupational burnout; digital health; randomized controlled trial; scoping review; evidence map; occupational health</w:t>
      </w:r>
    </w:p>
    <w:p>
      <w:r>
        <w:br w:type="page"/>
      </w:r>
    </w:p>
    <w:p>
      <w:pPr>
        <w:pStyle w:val="Heading1"/>
        <w:spacing w:after="180" w:before="360"/>
      </w:pPr>
      <w:r>
        <w:rPr>
          <w:rFonts w:ascii="Times New Roman" w:cs="Times New Roman" w:eastAsia="Times New Roman" w:hAnsi="Times New Roman"/>
          <w:b/>
          <w:bCs/>
          <w:sz w:val="28"/>
          <w:szCs w:val="28"/>
        </w:rPr>
        <w:t xml:space="preserve">1. Introduction</w:t>
      </w:r>
    </w:p>
    <w:p>
      <w:pPr>
        <w:spacing w:after="160" w:line="400"/>
        <w:jc w:val="both"/>
      </w:pPr>
      <w:r>
        <w:rPr>
          <w:rFonts w:ascii="Times New Roman" w:cs="Times New Roman" w:eastAsia="Times New Roman" w:hAnsi="Times New Roman"/>
          <w:sz w:val="24"/>
          <w:szCs w:val="24"/>
        </w:rPr>
        <w:t xml:space="preserve">Burnout is a syndrome that results from chronic workplace stress that has not been successfully managed. It is characterised by exhaustion, mental distance from or cynicism about one's job, and reduced professional efficacy, and the World Health Organization classifies it in ICD-11 as an occupational phenomenon rather than a medical condition [1,2]. Prevalence estimates vary widely with the instrument and cut-off used, but in health care they are high enough to be a concern for workforce retention and quality of care [3,4]. Similar concerns have been raised for teachers, social-care staff and employees in many other sectors.</w:t>
      </w:r>
    </w:p>
    <w:p>
      <w:pPr>
        <w:spacing w:after="160" w:line="400"/>
        <w:jc w:val="both"/>
      </w:pPr>
      <w:r>
        <w:rPr>
          <w:rFonts w:ascii="Times New Roman" w:cs="Times New Roman" w:eastAsia="Times New Roman" w:hAnsi="Times New Roman"/>
          <w:sz w:val="24"/>
          <w:szCs w:val="24"/>
        </w:rPr>
        <w:t xml:space="preserve">Interventions against burnout act at the level of the individual, the team or the organisation. Meta-analyses in physicians suggest that both individual-focused and organisation-directed interventions can reduce burnout, with somewhat larger effects for the latter [5,6]. Digital delivery has become common for both kinds of intervention. Web programmes, smartphone apps, videoconference groups, text messages and, more recently, conversational agents and workflow technologies can reach many workers at low marginal cost and fit around shift work. The COVID-19 pandemic accelerated this shift, particularly in hospitals.</w:t>
      </w:r>
    </w:p>
    <w:p>
      <w:pPr>
        <w:spacing w:after="160" w:line="400"/>
        <w:jc w:val="both"/>
      </w:pPr>
      <w:r>
        <w:rPr>
          <w:rFonts w:ascii="Times New Roman" w:cs="Times New Roman" w:eastAsia="Times New Roman" w:hAnsi="Times New Roman"/>
          <w:sz w:val="24"/>
          <w:szCs w:val="24"/>
        </w:rPr>
        <w:t xml:space="preserve">Several reviews have examined parts of this field. A Cochrane review covered psychological resilience interventions in healthcare professionals regardless of delivery mode [7]. Recent reviews have focused on digital interventions for burnout in nurses [8], on e-health interventions for burnout and mental health in nurses [9], on digitally supported stress and burnout interventions in nurses and physicians [10], and on online acceptance and commitment therapy in occupational settings [11]. Each is limited to one or two professions, to one therapeutic approach, or to stress rather than burnout as the target outcome. As a result, it is not known how randomized evidence on digital interventions with burnout outcomes is distributed across occupations, delivery modes and intervention mechanisms, or how the design of these trials has changed.</w:t>
      </w:r>
    </w:p>
    <w:p>
      <w:pPr>
        <w:spacing w:after="160" w:line="400"/>
        <w:jc w:val="both"/>
      </w:pPr>
      <w:r>
        <w:rPr>
          <w:rFonts w:ascii="Times New Roman" w:cs="Times New Roman" w:eastAsia="Times New Roman" w:hAnsi="Times New Roman"/>
          <w:sz w:val="24"/>
          <w:szCs w:val="24"/>
        </w:rPr>
        <w:t xml:space="preserve">A scoping review is the appropriate method for this kind of mapping question [12-14]. We aimed to identify and characterise the randomized controlled trials, as far as the searched sources allowed, that evaluated a digitally delivered intervention in a working population and reported burnout as an outcome. We asked four questions: (1) in which occupational groups and over what period have these trials been conducted; (2) which delivery modes, intervention approaches and levels of human support have been tested; (3) how are the trials designed with respect to comparators, sample size and burnout measurement; and (4) what proportion of registered and completed trials have published their results?</w:t>
      </w:r>
    </w:p>
    <w:p>
      <w:pPr>
        <w:pStyle w:val="Heading1"/>
        <w:spacing w:after="180" w:before="360"/>
      </w:pPr>
      <w:r>
        <w:rPr>
          <w:rFonts w:ascii="Times New Roman" w:cs="Times New Roman" w:eastAsia="Times New Roman" w:hAnsi="Times New Roman"/>
          <w:b/>
          <w:bCs/>
          <w:sz w:val="28"/>
          <w:szCs w:val="28"/>
        </w:rPr>
        <w:t xml:space="preserve">2. Methods</w:t>
      </w:r>
    </w:p>
    <w:p>
      <w:pPr>
        <w:pStyle w:val="Heading2"/>
        <w:spacing w:after="120" w:before="240"/>
      </w:pPr>
      <w:r>
        <w:rPr>
          <w:rFonts w:ascii="Times New Roman" w:cs="Times New Roman" w:eastAsia="Times New Roman" w:hAnsi="Times New Roman"/>
          <w:b/>
          <w:bCs/>
          <w:i/>
          <w:iCs/>
          <w:sz w:val="24"/>
          <w:szCs w:val="24"/>
        </w:rPr>
        <w:t xml:space="preserve">2.1 Design and reporting</w:t>
      </w:r>
    </w:p>
    <w:p>
      <w:pPr>
        <w:spacing w:after="160" w:line="400"/>
        <w:jc w:val="both"/>
      </w:pPr>
      <w:r>
        <w:rPr>
          <w:rFonts w:ascii="Times New Roman" w:cs="Times New Roman" w:eastAsia="Times New Roman" w:hAnsi="Times New Roman"/>
          <w:sz w:val="24"/>
          <w:szCs w:val="24"/>
        </w:rPr>
        <w:t xml:space="preserve">The review followed the framework of Arksey and O'Malley with the refinements of Levac and colleagues and the JBI guidance [12-14]. It is reported according to PRISMA-ScR [15]; the flow diagram follows the PRISMA 2020 template [16]. The completed PRISMA-ScR checklist is provided in Appendix E. The protocol was not registered in advance.</w:t>
      </w:r>
    </w:p>
    <w:p>
      <w:pPr>
        <w:pStyle w:val="Heading2"/>
        <w:spacing w:after="120" w:before="240"/>
      </w:pPr>
      <w:r>
        <w:rPr>
          <w:rFonts w:ascii="Times New Roman" w:cs="Times New Roman" w:eastAsia="Times New Roman" w:hAnsi="Times New Roman"/>
          <w:b/>
          <w:bCs/>
          <w:i/>
          <w:iCs/>
          <w:sz w:val="24"/>
          <w:szCs w:val="24"/>
        </w:rPr>
        <w:t xml:space="preserve">2.2 Eligibility criteria</w:t>
      </w:r>
    </w:p>
    <w:p>
      <w:pPr>
        <w:spacing w:after="160" w:line="400"/>
        <w:jc w:val="both"/>
      </w:pPr>
      <w:r>
        <w:rPr>
          <w:rFonts w:ascii="Times New Roman" w:cs="Times New Roman" w:eastAsia="Times New Roman" w:hAnsi="Times New Roman"/>
          <w:sz w:val="24"/>
          <w:szCs w:val="24"/>
        </w:rPr>
        <w:t xml:space="preserve">Eligibility was defined with the population-concept-context framework and operationalised as five criteria (Table 1). The criteria were applied in a fixed order, and the first criterion a report failed was recorded as the reason for exclusion. We did not restrict eligibility by the mechanism of the intervention: a digital programme of professional training, physical activity, feedback or workflow support was eligible in the same way as a psychological programme, provided that burnout was reported as an outcome of the randomized comparison. Mechanism was instead charted as a study characteristic. No language or date limits were applied.</w:t>
      </w:r>
    </w:p>
    <w:p>
      <w:pPr>
        <w:keepNext/>
        <w:spacing w:after="100" w:before="240"/>
      </w:pPr>
      <w:r>
        <w:rPr>
          <w:rFonts w:ascii="Times New Roman" w:cs="Times New Roman" w:eastAsia="Times New Roman" w:hAnsi="Times New Roman"/>
          <w:b/>
          <w:bCs/>
          <w:sz w:val="24"/>
          <w:szCs w:val="24"/>
        </w:rPr>
        <w:t xml:space="preserve">Table 1.</w:t>
      </w:r>
      <w:r>
        <w:rPr>
          <w:rFonts w:ascii="Times New Roman" w:cs="Times New Roman" w:eastAsia="Times New Roman" w:hAnsi="Times New Roman"/>
          <w:sz w:val="24"/>
          <w:szCs w:val="24"/>
        </w:rPr>
        <w:t xml:space="preserve"> Eligibility criteria, applied in the order shown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6739"/>
      </w:tblGrid>
      <w:tr>
        <w:trPr>
          <w:tblHeader/>
        </w:trPr>
        <w:tc>
          <w:tcPr>
            <w:tcW w:type="dxa" w:w="2621"/>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Criterion</w:t>
            </w:r>
          </w:p>
        </w:tc>
        <w:tc>
          <w:tcPr>
            <w:tcW w:type="dxa" w:w="673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Operational definition</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 Report type (REPORT)</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Primary report of trial results. Protocols, registrations, reviews, commentaries, preprints superseded by a peer-reviewed report, and secondary analyses without a randomized comparison of burnout were excluded.</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 Design (DESIGN)</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Randomized allocation with a between-group comparison: individual, cluster, factorial, crossover or stepped-wedge designs.</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 Population (POP)</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Workers: employed staff, practising professionals and trainees in paid employment such as resident physicians. Samples of students, patients or the general public were excluded.</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 Concept: digital delivery (DIGITAL)</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At least one core intervention component delivered through the web, an app, videoconference, text or instant messaging, a chatbot, virtual reality, a computer or a wearable device. Voice telephone alone, or digital technology used only for assessment, did not qualify.</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 Outcome (BURNOUT)</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Burnout, measured with a burnout instrument or a named burnout subscale (for example the Maslach Burnout Inventory, Copenhagen Burnout Inventory, Oldenburg Burnout Inventory, Shirom-Melamed Burnout Questionnaire, or the burnout scales of the ProQOL or Professional Fulfillment Index), reported as a primary or secondary outcome of the randomized comparison.</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Context</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Any country and any work setting; no restriction on publication date.</w:t>
            </w:r>
          </w:p>
        </w:tc>
      </w:tr>
      <w:tr>
        <w:tc>
          <w:tcPr>
            <w:tcW w:type="dxa" w:w="2621"/>
            <w:tcBorders>
              <w:top w:val="single" w:color="808080" w:sz="4"/>
              <w:left w:val="none" w:color="FFFFFF" w:sz="0"/>
              <w:bottom w:val="none" w:color="FFFFFF" w:sz="0"/>
              <w:right w:val="none" w:color="FFFFFF" w:sz="0"/>
            </w:tcBorders>
          </w:tcPr>
          <w:p/>
        </w:tc>
        <w:tc>
          <w:tcPr>
            <w:tcW w:type="dxa" w:w="6739"/>
            <w:tcBorders>
              <w:top w:val="single" w:color="808080" w:sz="4"/>
              <w:left w:val="none" w:color="FFFFFF" w:sz="0"/>
              <w:bottom w:val="none" w:color="FFFFFF" w:sz="0"/>
              <w:right w:val="none" w:color="FFFFFF" w:sz="0"/>
            </w:tcBorders>
          </w:tcPr>
          <w:p/>
        </w:tc>
      </w:tr>
    </w:tbl>
    <w:p>
      <w:pPr>
        <w:pStyle w:val="Heading2"/>
        <w:spacing w:after="120" w:before="240"/>
      </w:pPr>
      <w:r>
        <w:rPr>
          <w:rFonts w:ascii="Times New Roman" w:cs="Times New Roman" w:eastAsia="Times New Roman" w:hAnsi="Times New Roman"/>
          <w:b/>
          <w:bCs/>
          <w:i/>
          <w:iCs/>
          <w:sz w:val="24"/>
          <w:szCs w:val="24"/>
        </w:rPr>
        <w:t xml:space="preserve">2.3 Information sources and search strategy</w:t>
      </w:r>
    </w:p>
    <w:p>
      <w:pPr>
        <w:spacing w:after="160" w:line="400"/>
        <w:jc w:val="both"/>
      </w:pPr>
      <w:r>
        <w:rPr>
          <w:rFonts w:ascii="Times New Roman" w:cs="Times New Roman" w:eastAsia="Times New Roman" w:hAnsi="Times New Roman"/>
          <w:sz w:val="24"/>
          <w:szCs w:val="24"/>
        </w:rPr>
        <w:t xml:space="preserve">The main search combined four concept blocks with AND: burnout, digital delivery, psychological or behavioural intervention, and randomized design. Europe PMC, OpenAlex and ERIC were searched through their public interfaces on 26 September 2026. Web of Science Core Collection (Topic field) and Scopus (title, abstract and keywords) were searched on 17 September 2026 through institutional access. The exact strings are given in Appendix A. The Scopus interface did not permit a full export, so records were captured from the results pages without abstracts. Abstracts for all 284 unique Scopus records were then retrieved from OpenAlex (201), Crossref (38), ClinicalTrials.gov (1) or the publisher's page or full text (44), so that every record could be screened on title and abstract.</w:t>
      </w:r>
    </w:p>
    <w:p>
      <w:pPr>
        <w:spacing w:after="160" w:line="400"/>
        <w:jc w:val="both"/>
      </w:pPr>
      <w:r>
        <w:rPr>
          <w:rFonts w:ascii="Times New Roman" w:cs="Times New Roman" w:eastAsia="Times New Roman" w:hAnsi="Times New Roman"/>
          <w:sz w:val="24"/>
          <w:szCs w:val="24"/>
        </w:rPr>
        <w:t xml:space="preserve">The main search contained an intervention-type block, whereas the eligibility criteria admitted interventions of any mechanism. To close this gap, we ran a supplementary search without the intervention block: in Europe PMC and OpenAlex on 28 September 2026 and in Web of Science and Scopus on 29 September 2026. It combined burnout, an extended set of digital-delivery terms (adding, among others, wearable devices, text messaging, WhatsApp and WeChat, gamification, webinars and activity trackers) and randomized design. In Europe PMC and OpenAlex it excluded records already captured by the main digital and intervention blocks; in Web of Science and Scopus the results were exported in full with abstracts and de-duplicated against all earlier records.</w:t>
      </w:r>
    </w:p>
    <w:p>
      <w:pPr>
        <w:spacing w:after="160" w:line="400"/>
        <w:jc w:val="both"/>
      </w:pPr>
      <w:r>
        <w:rPr>
          <w:rFonts w:ascii="Times New Roman" w:cs="Times New Roman" w:eastAsia="Times New Roman" w:hAnsi="Times New Roman"/>
          <w:sz w:val="24"/>
          <w:szCs w:val="24"/>
        </w:rPr>
        <w:t xml:space="preserve">Reading the trials retrieved by these searches and comparing them with a check of the literature exposed a further gap: the digital-delivery vocabulary of the earlier strings contained "virtual reality" but not "virtual", "remote", "video" or "audio", and none of the searches used the controlled vocabulary of the database that indexes most trials. On 29 September 2026 we therefore ran three further searches. The first searched PubMed for the Medical Subject Heading "Burnout, Professional" combined with randomized-design terms. The second and third searched titles and abstracts in Europe PMC for burnout, randomized-design terms and two lists of additional delivery terms (among them virtual, remote, video, audio, podcast, email, social media, asynchronous, hybrid, blended and self-paced). These searches were de-duplicated against every earlier record, screened with the same rules and assessed against the same criteria. They were not repeated in OpenAlex, ERIC, Web of Science or Scopus. The exact strings are in Appendix A and the retrieved records in raw_third_search.json.</w:t>
      </w:r>
    </w:p>
    <w:p>
      <w:pPr>
        <w:spacing w:after="160" w:line="400"/>
        <w:jc w:val="both"/>
      </w:pPr>
      <w:r>
        <w:rPr>
          <w:rFonts w:ascii="Times New Roman" w:cs="Times New Roman" w:eastAsia="Times New Roman" w:hAnsi="Times New Roman"/>
          <w:sz w:val="24"/>
          <w:szCs w:val="24"/>
        </w:rPr>
        <w:t xml:space="preserve">ClinicalTrials.gov was searched through its version 2 API on 28 September 2026 for completed interventional registrations with burnout as a condition and at least one digital term in the title or intervention description. Registrations whose titles named students, patients, caregivers, parents or children were set aside. Table 2 summarises the sources and the flow of records from each.</w:t>
      </w:r>
    </w:p>
    <w:p>
      <w:pPr>
        <w:keepNext/>
        <w:spacing w:after="100" w:before="240"/>
      </w:pPr>
      <w:r>
        <w:rPr>
          <w:rFonts w:ascii="Times New Roman" w:cs="Times New Roman" w:eastAsia="Times New Roman" w:hAnsi="Times New Roman"/>
          <w:b/>
          <w:bCs/>
          <w:sz w:val="24"/>
          <w:szCs w:val="24"/>
        </w:rPr>
        <w:t xml:space="preserve">Table 2.</w:t>
      </w:r>
      <w:r>
        <w:rPr>
          <w:rFonts w:ascii="Times New Roman" w:cs="Times New Roman" w:eastAsia="Times New Roman" w:hAnsi="Times New Roman"/>
          <w:sz w:val="24"/>
          <w:szCs w:val="24"/>
        </w:rPr>
        <w:t xml:space="preserve"> Information sources, search dates and flow of records by source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310"/>
        <w:gridCol w:w="1217"/>
        <w:gridCol w:w="1310"/>
        <w:gridCol w:w="1123"/>
        <w:gridCol w:w="1217"/>
      </w:tblGrid>
      <w:tr>
        <w:trPr>
          <w:tblHeader/>
        </w:trPr>
        <w:tc>
          <w:tcPr>
            <w:tcW w:type="dxa" w:w="318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Source</w:t>
            </w:r>
          </w:p>
        </w:tc>
        <w:tc>
          <w:tcPr>
            <w:tcW w:type="dxa" w:w="131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Search date</w:t>
            </w:r>
          </w:p>
        </w:tc>
        <w:tc>
          <w:tcPr>
            <w:tcW w:type="dxa" w:w="1217"/>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Records identified</w:t>
            </w:r>
          </w:p>
        </w:tc>
        <w:tc>
          <w:tcPr>
            <w:tcW w:type="dxa" w:w="131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Unique records screened</w:t>
            </w:r>
          </w:p>
        </w:tc>
        <w:tc>
          <w:tcPr>
            <w:tcW w:type="dxa" w:w="1123"/>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Reports assessed</w:t>
            </w:r>
          </w:p>
        </w:tc>
        <w:tc>
          <w:tcPr>
            <w:tcW w:type="dxa" w:w="1217"/>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Reports included</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Main search</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Europe PMC</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227</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213</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85</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OpenAlex</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716</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315</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ERIC</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Web of Science</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352</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Scopus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382</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Supplementary search (no intervention block)</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Europe PMC</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125</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OpenAlex</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583</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424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Web of Science</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442</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Scopus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653</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215</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Supplementary search 3 (MeSH and delivery terms)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PubMed (MeSH)</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595</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448</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Europe PMC (delivery terms)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323</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58</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Other methods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ClinicalTrials.gov registry linkage</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registrations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Total</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4,406</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2,397</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119</w:t>
            </w:r>
          </w:p>
        </w:tc>
      </w:tr>
      <w:tr>
        <w:tc>
          <w:tcPr>
            <w:tcW w:type="dxa" w:w="3182"/>
            <w:tcBorders>
              <w:top w:val="single" w:color="808080" w:sz="4"/>
              <w:left w:val="none" w:color="FFFFFF" w:sz="0"/>
              <w:bottom w:val="none" w:color="FFFFFF" w:sz="0"/>
              <w:right w:val="none" w:color="FFFFFF" w:sz="0"/>
            </w:tcBorders>
          </w:tcPr>
          <w:p/>
        </w:tc>
        <w:tc>
          <w:tcPr>
            <w:tcW w:type="dxa" w:w="1310"/>
            <w:tcBorders>
              <w:top w:val="single" w:color="808080" w:sz="4"/>
              <w:left w:val="none" w:color="FFFFFF" w:sz="0"/>
              <w:bottom w:val="none" w:color="FFFFFF" w:sz="0"/>
              <w:right w:val="none" w:color="FFFFFF" w:sz="0"/>
            </w:tcBorders>
          </w:tcPr>
          <w:p/>
        </w:tc>
        <w:tc>
          <w:tcPr>
            <w:tcW w:type="dxa" w:w="1217"/>
            <w:tcBorders>
              <w:top w:val="single" w:color="808080" w:sz="4"/>
              <w:left w:val="none" w:color="FFFFFF" w:sz="0"/>
              <w:bottom w:val="none" w:color="FFFFFF" w:sz="0"/>
              <w:right w:val="none" w:color="FFFFFF" w:sz="0"/>
            </w:tcBorders>
          </w:tcPr>
          <w:p/>
        </w:tc>
        <w:tc>
          <w:tcPr>
            <w:tcW w:type="dxa" w:w="1310"/>
            <w:tcBorders>
              <w:top w:val="single" w:color="808080" w:sz="4"/>
              <w:left w:val="none" w:color="FFFFFF" w:sz="0"/>
              <w:bottom w:val="none" w:color="FFFFFF" w:sz="0"/>
              <w:right w:val="none" w:color="FFFFFF" w:sz="0"/>
            </w:tcBorders>
          </w:tcPr>
          <w:p/>
        </w:tc>
        <w:tc>
          <w:tcPr>
            <w:tcW w:type="dxa" w:w="1123"/>
            <w:tcBorders>
              <w:top w:val="single" w:color="808080" w:sz="4"/>
              <w:left w:val="none" w:color="FFFFFF" w:sz="0"/>
              <w:bottom w:val="none" w:color="FFFFFF" w:sz="0"/>
              <w:right w:val="none" w:color="FFFFFF" w:sz="0"/>
            </w:tcBorders>
          </w:tcPr>
          <w:p/>
        </w:tc>
        <w:tc>
          <w:tcPr>
            <w:tcW w:type="dxa" w:w="1217"/>
            <w:tcBorders>
              <w:top w:val="single" w:color="808080" w:sz="4"/>
              <w:left w:val="none" w:color="FFFFFF" w:sz="0"/>
              <w:bottom w:val="none" w:color="FFFFFF" w:sz="0"/>
              <w:right w:val="none" w:color="FFFFFF" w:sz="0"/>
            </w:tcBorders>
          </w:tcPr>
          <w:p/>
        </w:tc>
      </w:tr>
    </w:tbl>
    <w:p>
      <w:pPr>
        <w:spacing w:after="240" w:before="60"/>
      </w:pPr>
      <w:r>
        <w:rPr>
          <w:rFonts w:ascii="Times New Roman" w:cs="Times New Roman" w:eastAsia="Times New Roman" w:hAnsi="Times New Roman"/>
          <w:sz w:val="18"/>
          <w:szCs w:val="18"/>
        </w:rPr>
        <w:t xml:space="preserve">Duplicates were removed within and across sources before screening; each unique record is attributed to the source from which it was first retrieved. Supplementary-search records that duplicated earlier records were removed before screening.</w:t>
      </w:r>
    </w:p>
    <w:p>
      <w:pPr>
        <w:pStyle w:val="Heading2"/>
        <w:spacing w:after="120" w:before="240"/>
      </w:pPr>
      <w:r>
        <w:rPr>
          <w:rFonts w:ascii="Times New Roman" w:cs="Times New Roman" w:eastAsia="Times New Roman" w:hAnsi="Times New Roman"/>
          <w:b/>
          <w:bCs/>
          <w:i/>
          <w:iCs/>
          <w:sz w:val="24"/>
          <w:szCs w:val="24"/>
        </w:rPr>
        <w:t xml:space="preserve">2.4 Selection of sources of evidence</w:t>
      </w:r>
    </w:p>
    <w:p>
      <w:pPr>
        <w:spacing w:after="160" w:line="400"/>
        <w:jc w:val="both"/>
      </w:pPr>
      <w:r>
        <w:rPr>
          <w:rFonts w:ascii="Times New Roman" w:cs="Times New Roman" w:eastAsia="Times New Roman" w:hAnsi="Times New Roman"/>
          <w:sz w:val="24"/>
          <w:szCs w:val="24"/>
        </w:rPr>
        <w:t xml:space="preserve">Title and abstract screening used a rule-based classifier (publication type, study-design wording and occupational terms), followed by manual review of every record that the classifier did not exclude. Every report that passed screening was then assessed in full against the five criteria. The assessment was based on the abstract. The full text was consulted for 11 reports: where the abstract did not show whether burnout had been measured, where its wording (for example a design described as quasi-experimental) conflicted with the allocation described in the article, and for the discrepancies found in the second-reviewer comparison described below. The decision and reason for each of the 286 assessed reports are listed in Appendix B and in the file master_registry.csv, which serves as the single accounting ledger for the review.</w:t>
      </w:r>
    </w:p>
    <w:p>
      <w:pPr>
        <w:spacing w:after="160" w:line="400"/>
        <w:jc w:val="both"/>
      </w:pPr>
      <w:r>
        <w:rPr>
          <w:rFonts w:ascii="Times New Roman" w:cs="Times New Roman" w:eastAsia="Times New Roman" w:hAnsi="Times New Roman"/>
          <w:sz w:val="24"/>
          <w:szCs w:val="24"/>
        </w:rPr>
        <w:t xml:space="preserve">Reports that shared a trial registration number, or that described the same sample, were linked to one study. The unit of analysis is therefore the trial; reports are counted only in the flow diagram.</w:t>
      </w:r>
    </w:p>
    <w:p>
      <w:pPr>
        <w:spacing w:after="160" w:line="400"/>
        <w:jc w:val="both"/>
      </w:pPr>
      <w:r>
        <w:rPr>
          <w:rFonts w:ascii="Times New Roman" w:cs="Times New Roman" w:eastAsia="Times New Roman" w:hAnsi="Times New Roman"/>
          <w:sz w:val="24"/>
          <w:szCs w:val="24"/>
        </w:rPr>
        <w:t xml:space="preserve">We estimated the error rate of the screening step by drawing a stratified random sample of 45 records excluded at screening in the main search (15 from Europe PMC and 10 each from OpenAlex, Web of Science and Scopus, with a fixed seed) and assessing them against the full criteria. The supplementary search and the registry linkage served as two further, independent checks for eligible reports missed by the main search.</w:t>
      </w:r>
    </w:p>
    <w:p>
      <w:pPr>
        <w:spacing w:after="160" w:line="400"/>
        <w:jc w:val="both"/>
      </w:pPr>
      <w:r>
        <w:rPr>
          <w:rFonts w:ascii="Times New Roman" w:cs="Times New Roman" w:eastAsia="Times New Roman" w:hAnsi="Times New Roman"/>
          <w:sz w:val="24"/>
          <w:szCs w:val="24"/>
        </w:rPr>
        <w:t xml:space="preserve">To check the eligibility decisions themselves, the corresponding author independently assessed a sample of 30 of the assessed reports, balanced by the first reviewer's decision (15 included and 15 excluded), blind to the first reviewer's decisions, by applying the five criteria in order to the title and abstract. Agreement on inclusion versus exclusion was summarised as the percentage of agreement and Cohen's kappa. The two reviewers' answers on discrepant reports were compared with the full text where it could be obtained (four reports: three supplied by the corresponding author and one open access) and otherwise with the abstract; a first-reviewer decision was changed only when the full text or the abstract showed that it was wrong, and the second reviewer then confirmed or rejected each proposed resolution. The reviewers' answers are provided in second_review_sample.csv.</w:t>
      </w:r>
    </w:p>
    <w:p>
      <w:pPr>
        <w:pStyle w:val="Heading2"/>
        <w:spacing w:after="120" w:before="240"/>
      </w:pPr>
      <w:r>
        <w:rPr>
          <w:rFonts w:ascii="Times New Roman" w:cs="Times New Roman" w:eastAsia="Times New Roman" w:hAnsi="Times New Roman"/>
          <w:b/>
          <w:bCs/>
          <w:i/>
          <w:iCs/>
          <w:sz w:val="24"/>
          <w:szCs w:val="24"/>
        </w:rPr>
        <w:t xml:space="preserve">2.5 Data charting</w:t>
      </w:r>
    </w:p>
    <w:p>
      <w:pPr>
        <w:spacing w:after="160" w:line="400"/>
        <w:jc w:val="both"/>
      </w:pPr>
      <w:r>
        <w:rPr>
          <w:rFonts w:ascii="Times New Roman" w:cs="Times New Roman" w:eastAsia="Times New Roman" w:hAnsi="Times New Roman"/>
          <w:sz w:val="24"/>
          <w:szCs w:val="24"/>
        </w:rPr>
        <w:t xml:space="preserve">Each trial was charted with one value per variable: occupational group; main delivery mode; intervention approach; mechanism (psychological, professional training, physical activity or health behaviour, feedback or navigation, workflow automation, or workplace or practical support); comparator; human support (self-guided or automated versus human-supported or facilitated); the burnout instrument (from the abstract or, where the abstract did not name it, from the full text); the number of participants (randomized, or analysed where only that was reported); and the year of the first report. Multicomponent interventions were charted by the component that the authors presented as central. Interventions that combined two psychological approaches in equal measure were charted as "other psychological". The charting form and the data for every trial are provided in study_charting.csv. For the 60 trials whose abstracts did not name the burnout instrument, the instrument was taken from the full text. Full texts were obtained from Europe PMC where open access and otherwise retrieved by the author. The extraction was prepared with a separate tool and then checked here: for every article the claimed instrument was searched for in the full text and in the context of a measurement description, and nine passages that the automated check could not settle (for example, articles in Polish, German or Japanese) were read individually. One article could not be resolved because the available copy was incomplete, and full texts were not obtained for three closed-access trials found by the third search. The verification table is provided in instrument_fulltext_verification.csv.</w:t>
      </w:r>
    </w:p>
    <w:p>
      <w:pPr>
        <w:pStyle w:val="Heading2"/>
        <w:spacing w:after="120" w:before="240"/>
      </w:pPr>
      <w:r>
        <w:rPr>
          <w:rFonts w:ascii="Times New Roman" w:cs="Times New Roman" w:eastAsia="Times New Roman" w:hAnsi="Times New Roman"/>
          <w:b/>
          <w:bCs/>
          <w:i/>
          <w:iCs/>
          <w:sz w:val="24"/>
          <w:szCs w:val="24"/>
        </w:rPr>
        <w:t xml:space="preserve">2.6 Registry linkage</w:t>
      </w:r>
    </w:p>
    <w:p>
      <w:pPr>
        <w:spacing w:after="160" w:line="400"/>
        <w:jc w:val="both"/>
      </w:pPr>
      <w:r>
        <w:rPr>
          <w:rFonts w:ascii="Times New Roman" w:cs="Times New Roman" w:eastAsia="Times New Roman" w:hAnsi="Times New Roman"/>
          <w:sz w:val="24"/>
          <w:szCs w:val="24"/>
        </w:rPr>
        <w:t xml:space="preserve">For each completed registration we identified linked publications in two ways: through the references listed in the registration record and through a search of Europe PMC for the registration number. Linked publications that had not already been assessed through the databases were assessed against the same five criteria. For randomized registrations completed by the end of 2023, at least 33 months before the search, we classified results as reported in an included trial, reported outside the scope of the review, or not located.</w:t>
      </w:r>
    </w:p>
    <w:p>
      <w:pPr>
        <w:pStyle w:val="Heading2"/>
        <w:spacing w:after="120" w:before="240"/>
      </w:pPr>
      <w:r>
        <w:rPr>
          <w:rFonts w:ascii="Times New Roman" w:cs="Times New Roman" w:eastAsia="Times New Roman" w:hAnsi="Times New Roman"/>
          <w:b/>
          <w:bCs/>
          <w:i/>
          <w:iCs/>
          <w:sz w:val="24"/>
          <w:szCs w:val="24"/>
        </w:rPr>
        <w:t xml:space="preserve">2.7 Synthesis</w:t>
      </w:r>
    </w:p>
    <w:p>
      <w:pPr>
        <w:spacing w:after="160" w:line="400"/>
        <w:jc w:val="both"/>
      </w:pPr>
      <w:r>
        <w:rPr>
          <w:rFonts w:ascii="Times New Roman" w:cs="Times New Roman" w:eastAsia="Times New Roman" w:hAnsi="Times New Roman"/>
          <w:sz w:val="24"/>
          <w:szCs w:val="24"/>
        </w:rPr>
        <w:t xml:space="preserve">We summarised trial characteristics as counts and percentages. Development over time was described by the year of the first report of each trial and grouped into three periods: 2004-2019, 2020-2022 (the main pandemic years) and 2023-2026. The evidence map cross-tabulates occupational group against intervention approach. In line with the purpose of a scoping review, we did not assess risk of bias and did not synthesise effect sizes.</w:t>
      </w:r>
    </w:p>
    <w:p>
      <w:pPr>
        <w:pStyle w:val="Heading2"/>
        <w:spacing w:after="120" w:before="240"/>
      </w:pPr>
      <w:r>
        <w:rPr>
          <w:rFonts w:ascii="Times New Roman" w:cs="Times New Roman" w:eastAsia="Times New Roman" w:hAnsi="Times New Roman"/>
          <w:b/>
          <w:bCs/>
          <w:i/>
          <w:iCs/>
          <w:sz w:val="24"/>
          <w:szCs w:val="24"/>
        </w:rPr>
        <w:t xml:space="preserve">2.8 Use of artificial-intelligence tools</w:t>
      </w:r>
    </w:p>
    <w:p>
      <w:pPr>
        <w:spacing w:after="160" w:line="400"/>
        <w:jc w:val="both"/>
      </w:pPr>
      <w:r>
        <w:rPr>
          <w:rFonts w:ascii="Times New Roman" w:cs="Times New Roman" w:eastAsia="Times New Roman" w:hAnsi="Times New Roman"/>
          <w:sz w:val="24"/>
          <w:szCs w:val="24"/>
        </w:rPr>
        <w:t xml:space="preserve">Screening, eligibility assessment, data charting, registry linkage and drafting of the manuscript were carried out with the assistance of a large-language-model agent (Claude, Anthropic) working under the direction of the author, who is responsible for the content. Each decision is recorded with its reason, and the code used at each step is published with the data.</w:t>
      </w:r>
    </w:p>
    <w:p>
      <w:pPr>
        <w:pStyle w:val="Heading1"/>
        <w:spacing w:after="180" w:before="360"/>
      </w:pPr>
      <w:r>
        <w:rPr>
          <w:rFonts w:ascii="Times New Roman" w:cs="Times New Roman" w:eastAsia="Times New Roman" w:hAnsi="Times New Roman"/>
          <w:b/>
          <w:bCs/>
          <w:sz w:val="28"/>
          <w:szCs w:val="28"/>
        </w:rPr>
        <w:t xml:space="preserve">3. Results</w:t>
      </w:r>
    </w:p>
    <w:p>
      <w:pPr>
        <w:pStyle w:val="Heading2"/>
        <w:spacing w:after="120" w:before="240"/>
      </w:pPr>
      <w:r>
        <w:rPr>
          <w:rFonts w:ascii="Times New Roman" w:cs="Times New Roman" w:eastAsia="Times New Roman" w:hAnsi="Times New Roman"/>
          <w:b/>
          <w:bCs/>
          <w:i/>
          <w:iCs/>
          <w:sz w:val="24"/>
          <w:szCs w:val="24"/>
        </w:rPr>
        <w:t xml:space="preserve">3.1 Selection of sources of evidence</w:t>
      </w:r>
    </w:p>
    <w:p>
      <w:pPr>
        <w:spacing w:after="160" w:line="400"/>
        <w:jc w:val="both"/>
      </w:pPr>
      <w:r>
        <w:rPr>
          <w:rFonts w:ascii="Times New Roman" w:cs="Times New Roman" w:eastAsia="Times New Roman" w:hAnsi="Times New Roman"/>
          <w:sz w:val="24"/>
          <w:szCs w:val="24"/>
        </w:rPr>
        <w:t xml:space="preserve">The main and supplementary searches identified 4,406 records. After 2,009 duplicates and non-article records were removed, 2,397 records were screened on title and abstract and 267 reports were sought for full assessment (Figure 1). Three reports from the first supplementary search had neither an abstract nor an accessible full text when they were sought; the full text of one was supplied later, and it was assessed and included, so two reports remained not retrieved. Of the 265 reports assessed, 147 were excluded: 22 were not primary results reports, 20 were not randomized, 39 did not study a working population, 30 were not digitally delivered and in 36 burnout was not an outcome of the randomized comparison. Through the registry, 28 completed registrations were linked to 30 publications; 9 of these had already been assessed through the databases, and 1 of the remaining 21 was eligible. In total, 119 reports describing 116 randomized trials were included. One trial was described in three reports and one in two.</w:t>
      </w:r>
    </w:p>
    <w:p>
      <w:pPr>
        <w:spacing w:after="160" w:line="400"/>
        <w:jc w:val="both"/>
      </w:pPr>
      <w:r>
        <w:rPr>
          <w:rFonts w:ascii="Times New Roman" w:cs="Times New Roman" w:eastAsia="Times New Roman" w:hAnsi="Times New Roman"/>
          <w:sz w:val="24"/>
          <w:szCs w:val="24"/>
        </w:rPr>
        <w:t xml:space="preserve">The two additional routes found eligible trials that the main search had missed. The supplementary searches yielded 29 eligible trials (25.0% of the final set), 9 of them from the third search. Of these, 15 evaluated a non-psychological mechanism, including the ambient artificial-intelligence (AI) scribe trials, and the others used wording that the main search blocks did not capture, such as "psycho-education", written emotional disclosure, well-being text messages, video teleconference or virtual death cafes. The third search added trials of virtual coaching, virtual meditation and mindfulness programmes and a second ambient-scribe trial, which the earlier strings had missed because they did not contain the word "virtual". The registry linkage found one further trial, a factorial trial of a stress-management app for healthcare workers, which had been retrieved by the main search but excluded at screening. By contrast, the random sample of 45 records excluded in the main search contained no eligible report (0 of 45; exact 95% confidence interval 0% to 7.9%) [17].</w:t>
      </w:r>
    </w:p>
    <w:p>
      <w:pPr>
        <w:spacing w:after="160" w:line="400"/>
        <w:jc w:val="both"/>
      </w:pPr>
      <w:r>
        <w:rPr>
          <w:rFonts w:ascii="Times New Roman" w:cs="Times New Roman" w:eastAsia="Times New Roman" w:hAnsi="Times New Roman"/>
          <w:sz w:val="24"/>
          <w:szCs w:val="24"/>
        </w:rPr>
        <w:t xml:space="preserve">In the blind comparison of 30 assessed reports, the second reviewer and the first reviewer agreed on inclusion or exclusion for 24 (80%; Cohen's kappa 0.60, 95% confidence interval 0.31 to 0.89), counting the two blended interventions that the second reviewer judged only partly digital as included. If these were counted as excluded, agreement was 22 of 30 (73%; kappa 0.47). The six clear discrepancies (R095, R090, R050, R169, R197, R019) were checked against the full text (R095, R019, R169, R197) or the abstract (R050, R090). One first-reviewer decision was wrong and was reversed: R095 described itself as quasi-experimental but randomized teachers within schools, and it was included. Four exclusions were confirmed: R019 reported only one arm of a two-arm trial, R197 did not compare burnout between arms, R050 studied undergraduate students and did not measure burnout, and R169 offered a fitness-platform membership whose reported activities were classes and gym visits booked through an app, without digitally delivered intervention content. The second reviewer accepted the resolution of each of these, including the exclusion of R169, the most debatable of the six, on the criterion of digital delivery. The sixth report, R090, was confirmed as included because its abstract describes a ten-week online programme and the second reviewer agreed that it meets the digital criterion. The reason for exclusion of one protocol (R012) also differed between the reviewers, although both excluded it.</w:t>
      </w:r>
    </w:p>
    <w:p>
      <w:pPr>
        <w:keepNext/>
        <w:spacing w:after="80" w:before="200"/>
        <w:jc w:val="center"/>
      </w:pPr>
      <w:r>
        <w:drawing>
          <wp:inline distT="0" distB="0" distL="0" distR="0">
            <wp:extent cx="5334000" cy="586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5867400"/>
                    </a:xfrm>
                    <a:prstGeom prst="rect">
                      <a:avLst/>
                    </a:prstGeom>
                  </pic:spPr>
                </pic:pic>
              </a:graphicData>
            </a:graphic>
          </wp:inline>
        </w:drawing>
      </w:r>
    </w:p>
    <w:p>
      <w:pPr>
        <w:spacing w:after="280"/>
      </w:pPr>
      <w:r>
        <w:rPr>
          <w:rFonts w:ascii="Times New Roman" w:cs="Times New Roman" w:eastAsia="Times New Roman" w:hAnsi="Times New Roman"/>
          <w:b/>
          <w:bCs/>
          <w:sz w:val="24"/>
          <w:szCs w:val="24"/>
        </w:rPr>
        <w:t xml:space="preserve">Figure 1.</w:t>
      </w:r>
      <w:r>
        <w:rPr>
          <w:rFonts w:ascii="Times New Roman" w:cs="Times New Roman" w:eastAsia="Times New Roman" w:hAnsi="Times New Roman"/>
          <w:sz w:val="24"/>
          <w:szCs w:val="24"/>
        </w:rPr>
        <w:t xml:space="preserve"> PRISMA 2020 flow diagram. The database column combines the main search and the three supplementary searches. Reports are the unit of counting up to inclusion; the final box also gives the number of trials.</w:t>
      </w:r>
    </w:p>
    <w:p>
      <w:pPr>
        <w:pStyle w:val="Heading2"/>
        <w:spacing w:after="120" w:before="240"/>
      </w:pPr>
      <w:r>
        <w:rPr>
          <w:rFonts w:ascii="Times New Roman" w:cs="Times New Roman" w:eastAsia="Times New Roman" w:hAnsi="Times New Roman"/>
          <w:b/>
          <w:bCs/>
          <w:i/>
          <w:iCs/>
          <w:sz w:val="24"/>
          <w:szCs w:val="24"/>
        </w:rPr>
        <w:t xml:space="preserve">3.2 Characteristics of the included trials</w:t>
      </w:r>
    </w:p>
    <w:p>
      <w:pPr>
        <w:spacing w:after="160" w:line="400"/>
        <w:jc w:val="both"/>
      </w:pPr>
      <w:r>
        <w:rPr>
          <w:rFonts w:ascii="Times New Roman" w:cs="Times New Roman" w:eastAsia="Times New Roman" w:hAnsi="Times New Roman"/>
          <w:sz w:val="24"/>
          <w:szCs w:val="24"/>
        </w:rPr>
        <w:t xml:space="preserve">Table 3 summarises the 116 trials; each is listed in Appendix C. Together they enrolled 28,356 participants, based on the 107 trials that reported a sample size (the number randomized, or the number analysed where only that was reported). The median trial enrolled 117 participants (interquartile range 69 to 238; range 11 to 2,182). Of these, 44 randomized fewer than 100 participants and 15 fewer than 50, while 12 randomized 500 or more. Sample size differed by delivery mode: live online group programmes, which need a facilitator for every group, had a median of 82 participants, compared with 190 for smartphone apps and 279 for messaging interventions.</w:t>
      </w:r>
    </w:p>
    <w:p>
      <w:pPr>
        <w:keepNext/>
        <w:spacing w:after="100" w:before="240"/>
      </w:pPr>
      <w:r>
        <w:rPr>
          <w:rFonts w:ascii="Times New Roman" w:cs="Times New Roman" w:eastAsia="Times New Roman" w:hAnsi="Times New Roman"/>
          <w:b/>
          <w:bCs/>
          <w:sz w:val="24"/>
          <w:szCs w:val="24"/>
        </w:rPr>
        <w:t xml:space="preserve">Table 3.</w:t>
      </w:r>
      <w:r>
        <w:rPr>
          <w:rFonts w:ascii="Times New Roman" w:cs="Times New Roman" w:eastAsia="Times New Roman" w:hAnsi="Times New Roman"/>
          <w:sz w:val="24"/>
          <w:szCs w:val="24"/>
        </w:rPr>
        <w:t xml:space="preserve"> Characteristics of the included trials (n = 116)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39"/>
        <w:gridCol w:w="2621"/>
      </w:tblGrid>
      <w:tr>
        <w:trPr>
          <w:tblHeader/>
        </w:trPr>
        <w:tc>
          <w:tcPr>
            <w:tcW w:type="dxa" w:w="673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Characteristic</w:t>
            </w:r>
          </w:p>
        </w:tc>
        <w:tc>
          <w:tcPr>
            <w:tcW w:type="dxa" w:w="2621"/>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Trials, n (%)</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Year of first report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2004-2019</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 (13.8%)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2020-2022</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 (20.7%)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2023-2026 (to September)</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76 (65.5%)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Occupational group</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Other or mixed healthcare workers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 (32.8%)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Physicians and physician trainees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 (20.7%)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Employees of other sectors or mixed occupations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 (17.2%)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Teachers and education staff</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 (12.1%)</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Nurses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 (11.2%)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Mental-health and social-care professionals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 (6.0%)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Main delivery mode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Web-based program</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48 (41.4%)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Live online sessions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 (20.7%)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Smartphone app</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 (17.2%)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Blended (digital and in-person)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 (9.5%)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Text or instant messaging</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(4.3%)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Wearable or motion-sensing platform</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 (3.4%)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Ambient AI scribe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 (2.6%)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Chatbot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Intervention approach</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Non-psychological mechanism</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 (21.6%)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Mindfulness or meditation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 (19.8%)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Other psychological</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 (15.5%)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Cognitive-behavioural or stress management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 (11.2%)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Psychoeducation or resilience training</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 (9.5%)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Positive psychology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 (7.8%)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Acceptance and commitment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 (5.2%)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Coaching</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 (5.2%)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Compassion-based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(4.3%)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Mechanism</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Psychological</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91 (78.4%)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Professional training</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 (8.6%)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Physical activity or health behaviour</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 (5.2%)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Feedback or navigation to services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(4.3%)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Workflow automation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 (2.6%)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Workplace or practical support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Comparator</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Waitlist or delayed access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36 (31.0%)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Usual practice or no intervention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 (26.7%)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Active or attention control</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 (25.9%)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Not reported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 (9.5%)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Head-to-head digital variants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 (6.9%)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Human support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Human-supported or facilitated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 (43.1%)</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Self-guided or automated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 (42.2%)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Not reported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 (14.7%)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Burnout instrument (abstract or full text)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Maslach Burnout Inventory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63 (54.3%)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Copenhagen Burnout Inventory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 (11.2%)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Oldenburg Burnout Inventory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 (8.6%)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Stanford Professional Fulfillment Index (burnout 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 (5.2%)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Professional Quality of Life Scale (burnout subscale)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(4.3%)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Shirom-Melamed Burnout Questionnaire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(4.3%)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Single-item burnout measure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 (1.7%)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Bergen Burnout Inventory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 (1.7%)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Burnout Assessment Tool</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Turkish adaptation of a burnout 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Utrecht Burnout 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Scale of Work Engagement and Burnout (burnout 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Well-Being Index (used to assess burnout)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Japanese Burnout Scale (Kubo)</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Not determined (full text incomplete or not obtained)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 (3.4%)</w:t>
            </w:r>
          </w:p>
        </w:tc>
      </w:tr>
      <w:tr>
        <w:tc>
          <w:tcPr>
            <w:tcW w:type="dxa" w:w="6739"/>
            <w:tcBorders>
              <w:top w:val="single" w:color="808080" w:sz="4"/>
              <w:left w:val="none" w:color="FFFFFF" w:sz="0"/>
              <w:bottom w:val="none" w:color="FFFFFF" w:sz="0"/>
              <w:right w:val="none" w:color="FFFFFF" w:sz="0"/>
            </w:tcBorders>
          </w:tcPr>
          <w:p/>
        </w:tc>
        <w:tc>
          <w:tcPr>
            <w:tcW w:type="dxa" w:w="2621"/>
            <w:tcBorders>
              <w:top w:val="single" w:color="808080" w:sz="4"/>
              <w:left w:val="none" w:color="FFFFFF" w:sz="0"/>
              <w:bottom w:val="none" w:color="FFFFFF" w:sz="0"/>
              <w:right w:val="none" w:color="FFFFFF" w:sz="0"/>
            </w:tcBorders>
          </w:tcPr>
          <w:p/>
        </w:tc>
      </w:tr>
    </w:tbl>
    <w:p>
      <w:pPr>
        <w:pStyle w:val="Heading2"/>
        <w:spacing w:after="120" w:before="240"/>
      </w:pPr>
      <w:r>
        <w:rPr>
          <w:rFonts w:ascii="Times New Roman" w:cs="Times New Roman" w:eastAsia="Times New Roman" w:hAnsi="Times New Roman"/>
          <w:b/>
          <w:bCs/>
          <w:i/>
          <w:iCs/>
          <w:sz w:val="24"/>
          <w:szCs w:val="24"/>
        </w:rPr>
        <w:t xml:space="preserve">3.3 Development over time</w:t>
      </w:r>
    </w:p>
    <w:p>
      <w:pPr>
        <w:spacing w:after="160" w:line="400"/>
        <w:jc w:val="both"/>
      </w:pPr>
      <w:r>
        <w:rPr>
          <w:rFonts w:ascii="Times New Roman" w:cs="Times New Roman" w:eastAsia="Times New Roman" w:hAnsi="Times New Roman"/>
          <w:sz w:val="24"/>
          <w:szCs w:val="24"/>
        </w:rPr>
        <w:t xml:space="preserve">The first eligible trial was reported in 2004. Up to 2019 no more than five trials appeared in any year, and 16 trials in total were reported by the end of 2019 (Figure 2). The number then rose steeply: 24 trials were first reported in 2020-2022 and 76 in 2023 to September 2026, so that 65.5% of the evidence is less than four years old. The composition changed along with the volume. Healthcare workers accounted for 4 of 16 trials before 2020 but for 18 of 24 in 2020-2022 and 53 of 76 from 2023, which suggests that the pandemic shifted the attention of the field towards hospital staff. Live online group sessions, absent before 2020, appeared in 2 trials in 2020-2022 and in 22 trials from 2023. Smartphone apps went from 2 to 4 and then 14 trials over the same periods. Web programmes remained the single most common mode in every period.</w:t>
      </w:r>
    </w:p>
    <w:p>
      <w:pPr>
        <w:spacing w:after="160" w:line="400"/>
        <w:jc w:val="both"/>
      </w:pPr>
      <w:r>
        <w:rPr>
          <w:rFonts w:ascii="Times New Roman" w:cs="Times New Roman" w:eastAsia="Times New Roman" w:hAnsi="Times New Roman"/>
          <w:sz w:val="24"/>
          <w:szCs w:val="24"/>
        </w:rPr>
        <w:t xml:space="preserve">Typical sample size rose only modestly with the volume of trials. The median number of participants enrolled was 101 before 2020, 101 in 2020-2022 and 125 from 2023. What changed was the spread: 10 of the 12 trials that randomized 500 or more participants were reported from 2023 onwards (0 before 2020 and 2 in 2020-2022), but small studies also multiplied. At least 23 trials (17 of them reported from 2023) described themselves as pilot or feasibility studies in the title or in the abstracts that could be checked; the true number is higher because abstracts from Web of Science and Scopus could not be screened for this term. Trials with non-psychological mechanisms appeared in every period (5, 4 and 16 trials, respectively), so their small number is not only a recent phenomenon.</w:t>
      </w:r>
    </w:p>
    <w:p>
      <w:pPr>
        <w:keepNext/>
        <w:spacing w:after="80" w:before="200"/>
        <w:jc w:val="center"/>
      </w:pPr>
      <w:r>
        <w:drawing>
          <wp:inline distT="0" distB="0" distL="0" distR="0">
            <wp:extent cx="5715000" cy="28860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86075"/>
                    </a:xfrm>
                    <a:prstGeom prst="rect">
                      <a:avLst/>
                    </a:prstGeom>
                  </pic:spPr>
                </pic:pic>
              </a:graphicData>
            </a:graphic>
          </wp:inline>
        </w:drawing>
      </w:r>
    </w:p>
    <w:p>
      <w:pPr>
        <w:spacing w:after="280"/>
      </w:pPr>
      <w:r>
        <w:rPr>
          <w:rFonts w:ascii="Times New Roman" w:cs="Times New Roman" w:eastAsia="Times New Roman" w:hAnsi="Times New Roman"/>
          <w:b/>
          <w:bCs/>
          <w:sz w:val="24"/>
          <w:szCs w:val="24"/>
        </w:rPr>
        <w:t xml:space="preserve">Figure 2.</w:t>
      </w:r>
      <w:r>
        <w:rPr>
          <w:rFonts w:ascii="Times New Roman" w:cs="Times New Roman" w:eastAsia="Times New Roman" w:hAnsi="Times New Roman"/>
          <w:sz w:val="24"/>
          <w:szCs w:val="24"/>
        </w:rPr>
        <w:t xml:space="preserve"> Included trials by year of first report and main delivery mode (n = 116). Data for 2026 cover January to September.</w:t>
      </w:r>
    </w:p>
    <w:p>
      <w:pPr>
        <w:pStyle w:val="Heading2"/>
        <w:spacing w:after="120" w:before="240"/>
      </w:pPr>
      <w:r>
        <w:rPr>
          <w:rFonts w:ascii="Times New Roman" w:cs="Times New Roman" w:eastAsia="Times New Roman" w:hAnsi="Times New Roman"/>
          <w:b/>
          <w:bCs/>
          <w:i/>
          <w:iCs/>
          <w:sz w:val="24"/>
          <w:szCs w:val="24"/>
        </w:rPr>
        <w:t xml:space="preserve">3.4 Occupational groups and intervention approaches</w:t>
      </w:r>
    </w:p>
    <w:p>
      <w:pPr>
        <w:spacing w:after="160" w:line="400"/>
        <w:jc w:val="both"/>
      </w:pPr>
      <w:r>
        <w:rPr>
          <w:rFonts w:ascii="Times New Roman" w:cs="Times New Roman" w:eastAsia="Times New Roman" w:hAnsi="Times New Roman"/>
          <w:sz w:val="24"/>
          <w:szCs w:val="24"/>
        </w:rPr>
        <w:t xml:space="preserve">Healthcare workers were the participants in 75 (64.7%) trials: 38 with mixed or other healthcare staff, 24 with physicians or physician trainees and 13 with nurses. A further 7 trials studied mental-health and social-care professionals. Teachers and education staff were studied in 14 trials, and employees of other sectors or mixed occupational samples in 20. Taken together, workers outside health and social care contributed 29.3% of the trials, and no sector other than education was represented by more than a few trials (Figure 3).</w:t>
      </w:r>
    </w:p>
    <w:p>
      <w:pPr>
        <w:spacing w:after="160" w:line="400"/>
        <w:jc w:val="both"/>
      </w:pPr>
      <w:r>
        <w:rPr>
          <w:rFonts w:ascii="Times New Roman" w:cs="Times New Roman" w:eastAsia="Times New Roman" w:hAnsi="Times New Roman"/>
          <w:sz w:val="24"/>
          <w:szCs w:val="24"/>
        </w:rPr>
        <w:t xml:space="preserve">Mindfulness or meditation was the most frequent single psychological approach (23; 19.8%; the pooled group of non-psychological mechanisms was larger, with 25 trials) and, together with the heterogeneous "other psychological" category, the only approach found in every occupational group. Its use was concentrated in mixed healthcare samples and among physicians. The approaches differed between groups in ways that follow the professional context. All 6 coaching trials were online programmes, one-to-one or in small groups, for physicians or physician trainees. The largest single category among physicians was non-psychological (9 of 24 trials), namely professional training, workflow technology, practical support and physical activity. Among teachers, non-psychological programmes, mainly online professional training (4 of 14), and cognitive-behavioural or stress-management programmes (3 of 14) were the most common approaches. Acceptance and commitment therapy, compassion-based and positive-psychology programmes were each tested in fewer than ten trials, mainly in healthcare staff, so the evidence for these approaches rests on few trials in any single occupation.</w:t>
      </w:r>
    </w:p>
    <w:p>
      <w:pPr>
        <w:spacing w:after="160" w:line="400"/>
        <w:jc w:val="both"/>
      </w:pPr>
      <w:r>
        <w:rPr>
          <w:rFonts w:ascii="Times New Roman" w:cs="Times New Roman" w:eastAsia="Times New Roman" w:hAnsi="Times New Roman"/>
          <w:sz w:val="24"/>
          <w:szCs w:val="24"/>
        </w:rPr>
        <w:t xml:space="preserve">Delivery and comparators also differed between occupational groups. Physicians and physician trainees were the group most often offered blended programmes that combined online material with in-person sessions (7 of 24 trials), and they were the only group in which AI scribes were tested. Smartphone apps were concentrated in mixed healthcare samples (12 of 38 trials), whereas 10 of the 14 teacher trials used web programmes. Live online group sessions were used in 4 of 13 nurse trials and 3 of 7 trials with mental-health and social-care professionals, but in only 9 of 38 mixed healthcare trials. Waitlist controls were most common in mixed healthcare samples (15 of 38) and among employees of other sectors (8 of 20), while trials with physicians more often compared the intervention with usual practice (11 of 24).</w:t>
      </w:r>
    </w:p>
    <w:p>
      <w:pPr>
        <w:keepNext/>
        <w:spacing w:after="80" w:before="200"/>
        <w:jc w:val="center"/>
      </w:pPr>
      <w:r>
        <w:drawing>
          <wp:inline distT="0" distB="0" distL="0" distR="0">
            <wp:extent cx="5715000" cy="28003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00350"/>
                    </a:xfrm>
                    <a:prstGeom prst="rect">
                      <a:avLst/>
                    </a:prstGeom>
                  </pic:spPr>
                </pic:pic>
              </a:graphicData>
            </a:graphic>
          </wp:inline>
        </w:drawing>
      </w:r>
    </w:p>
    <w:p>
      <w:pPr>
        <w:spacing w:after="280"/>
      </w:pPr>
      <w:r>
        <w:rPr>
          <w:rFonts w:ascii="Times New Roman" w:cs="Times New Roman" w:eastAsia="Times New Roman" w:hAnsi="Times New Roman"/>
          <w:b/>
          <w:bCs/>
          <w:sz w:val="24"/>
          <w:szCs w:val="24"/>
        </w:rPr>
        <w:t xml:space="preserve">Figure 3.</w:t>
      </w:r>
      <w:r>
        <w:rPr>
          <w:rFonts w:ascii="Times New Roman" w:cs="Times New Roman" w:eastAsia="Times New Roman" w:hAnsi="Times New Roman"/>
          <w:sz w:val="24"/>
          <w:szCs w:val="24"/>
        </w:rPr>
        <w:t xml:space="preserve"> Evidence map: number of trials by occupational group and main intervention approach (n = 116). Row and column totals are shown in parentheses; a dot marks an empty cell.</w:t>
      </w:r>
    </w:p>
    <w:p>
      <w:pPr>
        <w:pStyle w:val="Heading2"/>
        <w:spacing w:after="120" w:before="240"/>
      </w:pPr>
      <w:r>
        <w:rPr>
          <w:rFonts w:ascii="Times New Roman" w:cs="Times New Roman" w:eastAsia="Times New Roman" w:hAnsi="Times New Roman"/>
          <w:b/>
          <w:bCs/>
          <w:i/>
          <w:iCs/>
          <w:sz w:val="24"/>
          <w:szCs w:val="24"/>
        </w:rPr>
        <w:t xml:space="preserve">3.5 Interventions with non-psychological mechanisms</w:t>
      </w:r>
    </w:p>
    <w:p>
      <w:pPr>
        <w:spacing w:after="160" w:line="400"/>
        <w:jc w:val="both"/>
      </w:pPr>
      <w:r>
        <w:rPr>
          <w:rFonts w:ascii="Times New Roman" w:cs="Times New Roman" w:eastAsia="Times New Roman" w:hAnsi="Times New Roman"/>
          <w:sz w:val="24"/>
          <w:szCs w:val="24"/>
        </w:rPr>
        <w:t xml:space="preserve">An intervention whose main mechanism was not psychological was evaluated in 25 trials (21.6%). These were professional training (10 trials, for example online communication training for physicians, video-based trauma-informed care training for midwives and an online professional-development course for preschool teachers), physical activity or health behaviour (6), feedback or navigation to services (5, including text-message engagement with linkage to care and a wearable-triggered just-in-time intervention), workflow automation (3) and workplace or practical support (1, a parental-support package for pregnant physicians in training that included virtual perinatal support). The 3 workflow trials randomized physicians to ambient AI scribes that draft clinical notes from recorded consultations, one of them comparing two scribe products in a crossover design, and reported burnout or work exhaustion as outcomes. They are the only trials in the set in which the digital technology changes the work itself rather than the worker's response to it.</w:t>
      </w:r>
    </w:p>
    <w:p>
      <w:pPr>
        <w:spacing w:after="160" w:line="400"/>
        <w:jc w:val="both"/>
      </w:pPr>
      <w:r>
        <w:rPr>
          <w:rFonts w:ascii="Times New Roman" w:cs="Times New Roman" w:eastAsia="Times New Roman" w:hAnsi="Times New Roman"/>
          <w:sz w:val="24"/>
          <w:szCs w:val="24"/>
        </w:rPr>
        <w:t xml:space="preserve">15 of these 25 trials (60.0%) were found only by the supplementary searches. Non-psychological trials were more often compared with usual practice (17 of 25) and rarely with a waitlist (2), and physicians were the largest group among them (9 trials).</w:t>
      </w:r>
    </w:p>
    <w:p>
      <w:pPr>
        <w:pStyle w:val="Heading2"/>
        <w:spacing w:after="120" w:before="240"/>
      </w:pPr>
      <w:r>
        <w:rPr>
          <w:rFonts w:ascii="Times New Roman" w:cs="Times New Roman" w:eastAsia="Times New Roman" w:hAnsi="Times New Roman"/>
          <w:b/>
          <w:bCs/>
          <w:i/>
          <w:iCs/>
          <w:sz w:val="24"/>
          <w:szCs w:val="24"/>
        </w:rPr>
        <w:t xml:space="preserve">3.6 Comparators, human support and outcome reporting</w:t>
      </w:r>
    </w:p>
    <w:p>
      <w:pPr>
        <w:spacing w:after="160" w:line="400"/>
        <w:jc w:val="both"/>
      </w:pPr>
      <w:r>
        <w:rPr>
          <w:rFonts w:ascii="Times New Roman" w:cs="Times New Roman" w:eastAsia="Times New Roman" w:hAnsi="Times New Roman"/>
          <w:sz w:val="24"/>
          <w:szCs w:val="24"/>
        </w:rPr>
        <w:t xml:space="preserve">A waitlist or delayed-access control was used in 36 (31.0%) trials, an active or attention control in 30 (25.9%), usual practice or no intervention in 31 (26.7%), and a head-to-head comparison of two digital variants in 8 (6.9%); the comparator could not be determined from the abstract in 11 trials. Waitlist controls became much more frequent in recent trials: 17.5% of trials reported before 2023 used one (7 of 40), compared with 38.2% of those reported from 2023 onwards (29 of 76). The share of actively controlled trials moved in the opposite direction, from 37.5% before 2020 to 21.1% from 2023 (Table 4).</w:t>
      </w:r>
    </w:p>
    <w:p>
      <w:pPr>
        <w:spacing w:after="160" w:line="400"/>
        <w:jc w:val="both"/>
      </w:pPr>
      <w:r>
        <w:rPr>
          <w:rFonts w:ascii="Times New Roman" w:cs="Times New Roman" w:eastAsia="Times New Roman" w:hAnsi="Times New Roman"/>
          <w:sz w:val="24"/>
          <w:szCs w:val="24"/>
        </w:rPr>
        <w:t xml:space="preserve">Self-guided or automated interventions (49; 42.2%) and human-supported interventions (50; 43.1%) were about equally common, but support was closely tied to delivery mode. All 23 live online programmes for which support was stated were facilitated (1 did not state it), and 19 of 20 app-based interventions were self-guided. For web programmes the level of support was often not stated in the abstract.</w:t>
      </w:r>
    </w:p>
    <w:p>
      <w:pPr>
        <w:spacing w:after="160" w:line="400"/>
        <w:jc w:val="both"/>
      </w:pPr>
      <w:r>
        <w:rPr>
          <w:rFonts w:ascii="Times New Roman" w:cs="Times New Roman" w:eastAsia="Times New Roman" w:hAnsi="Times New Roman"/>
          <w:sz w:val="24"/>
          <w:szCs w:val="24"/>
        </w:rPr>
        <w:t xml:space="preserve">Burnout was an outcome in every included trial, but only 56 (48.3%) abstracts named the instrument used. For the 60 trials whose abstracts did not, we identified the instrument from the full text (Section 2.5): 56 could be identified and 4 could not: one available copy was incomplete and three closed-access articles from the third search were not obtained. Across abstract and full text, the Maslach Burnout Inventory or one of its adaptations was the most frequently used instrument (63 trials, 54.3%), followed by the Copenhagen Burnout Inventory (13), the Oldenburg Burnout Inventory (10) and the burnout scale of the Professional Fulfillment Index (6). A further 10 instruments were each used in one to five trials, and several trials used shortened versions, such as a two-item or five-item form of the emotional-exhaustion subscale. The proportion of abstracts naming the instrument was 18.8% before 2020 and around half in later periods (50.0% and 53.9%).</w:t>
      </w:r>
    </w:p>
    <w:p>
      <w:pPr>
        <w:keepNext/>
        <w:spacing w:after="100" w:before="240"/>
      </w:pPr>
      <w:r>
        <w:rPr>
          <w:rFonts w:ascii="Times New Roman" w:cs="Times New Roman" w:eastAsia="Times New Roman" w:hAnsi="Times New Roman"/>
          <w:b/>
          <w:bCs/>
          <w:sz w:val="24"/>
          <w:szCs w:val="24"/>
        </w:rPr>
        <w:t xml:space="preserve">Table 4.</w:t>
      </w:r>
      <w:r>
        <w:rPr>
          <w:rFonts w:ascii="Times New Roman" w:cs="Times New Roman" w:eastAsia="Times New Roman" w:hAnsi="Times New Roman"/>
          <w:sz w:val="24"/>
          <w:szCs w:val="24"/>
        </w:rPr>
        <w:t xml:space="preserve"> Design features of the included trials by period of first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1498"/>
        <w:gridCol w:w="1498"/>
        <w:gridCol w:w="1498"/>
        <w:gridCol w:w="1498"/>
      </w:tblGrid>
      <w:tr>
        <w:trPr>
          <w:tblHeader/>
        </w:trPr>
        <w:tc>
          <w:tcPr>
            <w:tcW w:type="dxa" w:w="337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Feature</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2004-2019</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2020-2022</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2023-2026</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All trials</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Trials, 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76</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116</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Median participants enrolled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117</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Healthcare workers,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69.7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64.7</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Waitlist comparator,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31.0</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Active or attention comparator,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25.9</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Human-supported intervention,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43.8</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46.1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43.1</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Non-psychological mechanism,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21.6</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Burnout instrument named in abstract,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18.8</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53.9</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48.3</w:t>
            </w:r>
          </w:p>
        </w:tc>
      </w:tr>
      <w:tr>
        <w:tc>
          <w:tcPr>
            <w:tcW w:type="dxa" w:w="3370"/>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r>
    </w:tbl>
    <w:p>
      <w:pPr>
        <w:pStyle w:val="Heading2"/>
        <w:spacing w:after="120" w:before="240"/>
      </w:pPr>
      <w:r>
        <w:rPr>
          <w:rFonts w:ascii="Times New Roman" w:cs="Times New Roman" w:eastAsia="Times New Roman" w:hAnsi="Times New Roman"/>
          <w:b/>
          <w:bCs/>
          <w:i/>
          <w:iCs/>
          <w:sz w:val="24"/>
          <w:szCs w:val="24"/>
        </w:rPr>
        <w:t xml:space="preserve">3.7 Publication of registered trials</w:t>
      </w:r>
    </w:p>
    <w:p>
      <w:pPr>
        <w:spacing w:after="160" w:line="400"/>
        <w:jc w:val="both"/>
      </w:pPr>
      <w:r>
        <w:rPr>
          <w:rFonts w:ascii="Times New Roman" w:cs="Times New Roman" w:eastAsia="Times New Roman" w:hAnsi="Times New Roman"/>
          <w:sz w:val="24"/>
          <w:szCs w:val="24"/>
        </w:rPr>
        <w:t xml:space="preserve">Of the 28 completed registrations, 19 used randomized allocation and 15 of these had been completed by the end of 2023 (Table 5; Appendix D). For 7 of the 15, a results report was included in this review. Results of 2 others had been published in samples outside the scope of the review, one in a clinical sample recruited on symptom level and one in the general population. For the remaining 6 (40.0%) no results report could be located; one of them had published only a protocol. The 4 randomized registrations completed in 2024 or later were not classified, because too little time has passed for publication.</w:t>
      </w:r>
    </w:p>
    <w:p>
      <w:pPr>
        <w:keepNext/>
        <w:spacing w:after="100" w:before="240"/>
      </w:pPr>
      <w:r>
        <w:rPr>
          <w:rFonts w:ascii="Times New Roman" w:cs="Times New Roman" w:eastAsia="Times New Roman" w:hAnsi="Times New Roman"/>
          <w:b/>
          <w:bCs/>
          <w:sz w:val="24"/>
          <w:szCs w:val="24"/>
        </w:rPr>
        <w:t xml:space="preserve">Table 5.</w:t>
      </w:r>
      <w:r>
        <w:rPr>
          <w:rFonts w:ascii="Times New Roman" w:cs="Times New Roman" w:eastAsia="Times New Roman" w:hAnsi="Times New Roman"/>
          <w:sz w:val="24"/>
          <w:szCs w:val="24"/>
        </w:rPr>
        <w:t xml:space="preserve"> Publication status of randomized registrations completed by the end of 2023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4680"/>
      </w:tblGrid>
      <w:tr>
        <w:trPr>
          <w:tblHeader/>
        </w:trPr>
        <w:tc>
          <w:tcPr>
            <w:tcW w:type="dxa" w:w="318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Status</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 (%)</w:t>
            </w:r>
          </w:p>
        </w:tc>
        <w:tc>
          <w:tcPr>
            <w:tcW w:type="dxa" w:w="468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Registrations</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Results report included in this review</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7 (46.7%)</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NCT02603133, NCT03475290, NCT04126564, NCT04393818, NCT04719351, NCT04816708, NCT05280964</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Results published outside the scope of the review</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 (13.3%)</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NCT02540317, NCT05246800</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No results report located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 (40.0%)</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NCT03753360, NCT04462484, NCT05085132, NCT05036356, NCT04958941, NCT05779501</w:t>
            </w:r>
          </w:p>
        </w:tc>
      </w:tr>
      <w:tr>
        <w:tc>
          <w:tcPr>
            <w:tcW w:type="dxa" w:w="3182"/>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4680"/>
            <w:tcBorders>
              <w:top w:val="single" w:color="808080" w:sz="4"/>
              <w:left w:val="none" w:color="FFFFFF" w:sz="0"/>
              <w:bottom w:val="none" w:color="FFFFFF" w:sz="0"/>
              <w:right w:val="none" w:color="FFFFFF" w:sz="0"/>
            </w:tcBorders>
          </w:tcPr>
          <w:p/>
        </w:tc>
      </w:tr>
    </w:tbl>
    <w:p>
      <w:pPr>
        <w:pStyle w:val="Heading1"/>
        <w:spacing w:after="180" w:before="360"/>
      </w:pPr>
      <w:r>
        <w:rPr>
          <w:rFonts w:ascii="Times New Roman" w:cs="Times New Roman" w:eastAsia="Times New Roman" w:hAnsi="Times New Roman"/>
          <w:b/>
          <w:bCs/>
          <w:sz w:val="28"/>
          <w:szCs w:val="28"/>
        </w:rPr>
        <w:t xml:space="preserve">4. Discussion</w:t>
      </w:r>
    </w:p>
    <w:p>
      <w:pPr>
        <w:pStyle w:val="Heading2"/>
        <w:spacing w:after="120" w:before="240"/>
      </w:pPr>
      <w:r>
        <w:rPr>
          <w:rFonts w:ascii="Times New Roman" w:cs="Times New Roman" w:eastAsia="Times New Roman" w:hAnsi="Times New Roman"/>
          <w:b/>
          <w:bCs/>
          <w:i/>
          <w:iCs/>
          <w:sz w:val="24"/>
          <w:szCs w:val="24"/>
        </w:rPr>
        <w:t xml:space="preserve">4.1 Principal findings</w:t>
      </w:r>
    </w:p>
    <w:p>
      <w:pPr>
        <w:spacing w:after="160" w:line="400"/>
        <w:jc w:val="both"/>
      </w:pPr>
      <w:r>
        <w:rPr>
          <w:rFonts w:ascii="Times New Roman" w:cs="Times New Roman" w:eastAsia="Times New Roman" w:hAnsi="Times New Roman"/>
          <w:sz w:val="24"/>
          <w:szCs w:val="24"/>
        </w:rPr>
        <w:t xml:space="preserve">This review identified 116 randomized trials of digitally delivered interventions that reported burnout in working populations. Four features describe the evidence. First, it is recent: about two in three trials were first reported from 2023 onwards, and the field changed after 2020 in who was studied and how interventions were delivered. Second, it is concentrated in healthcare, which accounts for 64.7% of trials, while teachers and all other sectors together contribute 29.3%. Third, most trials test psychological programmes delivered to individual workers. Interventions that change training, work processes or practical conditions are a small and partly hidden part of the literature: 15 of 25 were found only by the supplementary searches, which removed the intervention-type terms or added delivery terms. Fourth, design and reporting leave room for improvement. Waitlist controls are common and were used in nearly two in five of the most recent trials, the typical trial is small, fewer than half of the abstracts name the burnout instrument, and results could not be found for two in five registered trials completed by 2023.</w:t>
      </w:r>
    </w:p>
    <w:p>
      <w:pPr>
        <w:spacing w:after="160" w:line="400"/>
        <w:jc w:val="both"/>
      </w:pPr>
      <w:r>
        <w:rPr>
          <w:rFonts w:ascii="Times New Roman" w:cs="Times New Roman" w:eastAsia="Times New Roman" w:hAnsi="Times New Roman"/>
          <w:sz w:val="24"/>
          <w:szCs w:val="24"/>
        </w:rPr>
        <w:t xml:space="preserve">The concentration in healthcare reflects a change that began in 2020. Before 2020 only 4 of 16 trials studied healthcare workers, whereas 18 of 24 did so in 2020-2022 and 53 of 76 from 2023. Live online group programmes appeared in the same period in which in-person sessions were difficult to hold. The field is therefore younger, and probably more shaped by the pandemic, than its size suggests. The abstracts do not allow us to test why so many recent trials are small and waitlist-controlled. A plausible explanation is that they were run quickly, within a single organisation, when withholding support from staff under pressure was hard to defend and a delayed-access design was the easiest compromise. If so, effects observed during the pandemic may not hold in ordinary working conditions, and confirmatory trials under stable conditions are needed.</w:t>
      </w:r>
    </w:p>
    <w:p>
      <w:pPr>
        <w:pStyle w:val="Heading2"/>
        <w:spacing w:after="120" w:before="240"/>
      </w:pPr>
      <w:r>
        <w:rPr>
          <w:rFonts w:ascii="Times New Roman" w:cs="Times New Roman" w:eastAsia="Times New Roman" w:hAnsi="Times New Roman"/>
          <w:b/>
          <w:bCs/>
          <w:i/>
          <w:iCs/>
          <w:sz w:val="24"/>
          <w:szCs w:val="24"/>
        </w:rPr>
        <w:t xml:space="preserve">4.2 Comparison with previous reviews</w:t>
      </w:r>
    </w:p>
    <w:p>
      <w:pPr>
        <w:spacing w:after="160" w:line="400"/>
        <w:jc w:val="both"/>
      </w:pPr>
      <w:r>
        <w:rPr>
          <w:rFonts w:ascii="Times New Roman" w:cs="Times New Roman" w:eastAsia="Times New Roman" w:hAnsi="Times New Roman"/>
          <w:sz w:val="24"/>
          <w:szCs w:val="24"/>
        </w:rPr>
        <w:t xml:space="preserve">Table 6 compares the scope of this review with related reviews. Previous reviews were limited to one profession and pooled effects [8], covered healthcare workers regardless of delivery mode [7], targeted stress and burnout prevention in nurses and physicians [10], or were limited to nurses [9] or to one therapeutic approach [11]. By restricting design to randomized trials and the outcome to burnout, while admitting any occupation and any mechanism, this review complements them. Its wider scope also shows that the healthcare focus of earlier reviews largely reflects where the trials have been done: even without an occupational restriction, most of the evidence comes from hospitals and health services.</w:t>
      </w:r>
    </w:p>
    <w:p>
      <w:pPr>
        <w:keepNext/>
        <w:spacing w:after="100" w:before="240"/>
      </w:pPr>
      <w:r>
        <w:rPr>
          <w:rFonts w:ascii="Times New Roman" w:cs="Times New Roman" w:eastAsia="Times New Roman" w:hAnsi="Times New Roman"/>
          <w:b/>
          <w:bCs/>
          <w:sz w:val="24"/>
          <w:szCs w:val="24"/>
        </w:rPr>
        <w:t xml:space="preserve">Table 6.</w:t>
      </w:r>
      <w:r>
        <w:rPr>
          <w:rFonts w:ascii="Times New Roman" w:cs="Times New Roman" w:eastAsia="Times New Roman" w:hAnsi="Times New Roman"/>
          <w:sz w:val="24"/>
          <w:szCs w:val="24"/>
        </w:rPr>
        <w:t xml:space="preserve"> Scope of this review compared with related reviews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1310"/>
        <w:gridCol w:w="1685"/>
        <w:gridCol w:w="1685"/>
        <w:gridCol w:w="1498"/>
        <w:gridCol w:w="1498"/>
      </w:tblGrid>
      <w:tr>
        <w:trPr>
          <w:tblHeader/>
        </w:trPr>
        <w:tc>
          <w:tcPr>
            <w:tcW w:type="dxa" w:w="168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Review</w:t>
            </w:r>
          </w:p>
        </w:tc>
        <w:tc>
          <w:tcPr>
            <w:tcW w:type="dxa" w:w="131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Population</w:t>
            </w:r>
          </w:p>
        </w:tc>
        <w:tc>
          <w:tcPr>
            <w:tcW w:type="dxa" w:w="168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Interventions</w:t>
            </w:r>
          </w:p>
        </w:tc>
        <w:tc>
          <w:tcPr>
            <w:tcW w:type="dxa" w:w="168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Outcome</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 designs</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Synthesis</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This review</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 occupations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Any digitally delivered intervention</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Burnout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Randomized trials only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Evidence map</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Yang et al., 2026 [8]</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Nurses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Digital health</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Burnout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Randomized and quasi-experimental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review and meta-analysis</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Adam et al., 2023 [10]</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Nurses and physicians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Supported by digital applications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Stress; burnout prevention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Not restricted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Scoping review</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Kunzler et al., 2020 [7]</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professionals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Psychological, any delivery</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Resilience and mental health</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Randomized trials only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Cochrane review and meta-analysis</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Park et al., 2022 [9]</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Nurses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E-healthcare</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Burnout (primary) and mental health</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Randomized trials only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review</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Lampinen et al., 2026 [11]</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Employees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Online ACT</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Burnout, depression, anxiety,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Randomized trials only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narrative review</w:t>
            </w:r>
          </w:p>
        </w:tc>
      </w:tr>
      <w:tr>
        <w:tc>
          <w:tcPr>
            <w:tcW w:type="dxa" w:w="1685"/>
            <w:tcBorders>
              <w:top w:val="single" w:color="808080" w:sz="4"/>
              <w:left w:val="none" w:color="FFFFFF" w:sz="0"/>
              <w:bottom w:val="none" w:color="FFFFFF" w:sz="0"/>
              <w:right w:val="none" w:color="FFFFFF" w:sz="0"/>
            </w:tcBorders>
          </w:tcPr>
          <w:p/>
        </w:tc>
        <w:tc>
          <w:tcPr>
            <w:tcW w:type="dxa" w:w="1310"/>
            <w:tcBorders>
              <w:top w:val="single" w:color="808080" w:sz="4"/>
              <w:left w:val="none" w:color="FFFFFF" w:sz="0"/>
              <w:bottom w:val="none" w:color="FFFFFF" w:sz="0"/>
              <w:right w:val="none" w:color="FFFFFF" w:sz="0"/>
            </w:tcBorders>
          </w:tcPr>
          <w:p/>
        </w:tc>
        <w:tc>
          <w:tcPr>
            <w:tcW w:type="dxa" w:w="1685"/>
            <w:tcBorders>
              <w:top w:val="single" w:color="808080" w:sz="4"/>
              <w:left w:val="none" w:color="FFFFFF" w:sz="0"/>
              <w:bottom w:val="none" w:color="FFFFFF" w:sz="0"/>
              <w:right w:val="none" w:color="FFFFFF" w:sz="0"/>
            </w:tcBorders>
          </w:tcPr>
          <w:p/>
        </w:tc>
        <w:tc>
          <w:tcPr>
            <w:tcW w:type="dxa" w:w="1685"/>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r>
    </w:tbl>
    <w:p>
      <w:pPr>
        <w:pStyle w:val="Heading2"/>
        <w:spacing w:after="120" w:before="240"/>
      </w:pPr>
      <w:r>
        <w:rPr>
          <w:rFonts w:ascii="Times New Roman" w:cs="Times New Roman" w:eastAsia="Times New Roman" w:hAnsi="Times New Roman"/>
          <w:b/>
          <w:bCs/>
          <w:i/>
          <w:iCs/>
          <w:sz w:val="24"/>
          <w:szCs w:val="24"/>
        </w:rPr>
        <w:t xml:space="preserve">4.3 What the evidence map shows</w:t>
      </w:r>
    </w:p>
    <w:p>
      <w:pPr>
        <w:spacing w:after="160" w:line="400"/>
        <w:jc w:val="both"/>
      </w:pPr>
      <w:r>
        <w:rPr>
          <w:rFonts w:ascii="Times New Roman" w:cs="Times New Roman" w:eastAsia="Times New Roman" w:hAnsi="Times New Roman"/>
          <w:sz w:val="24"/>
          <w:szCs w:val="24"/>
        </w:rPr>
        <w:t xml:space="preserve">The map shows gaps of two kinds. The first concerns populations. Outside health and social care there are 34 trials, spread across teachers, employees of a few companies and mixed occupational samples. Most trials in the employee group recruited mixed occupational samples or the staff of a single organisation, so little can be said about any particular sector outside health care and education, even though burnout is not confined to these settings. Findings from hospital trials, where workload, shift patterns and professional identity are specific, cannot simply be transferred to these groups.</w:t>
      </w:r>
    </w:p>
    <w:p>
      <w:pPr>
        <w:spacing w:after="160" w:line="400"/>
        <w:jc w:val="both"/>
      </w:pPr>
      <w:r>
        <w:rPr>
          <w:rFonts w:ascii="Times New Roman" w:cs="Times New Roman" w:eastAsia="Times New Roman" w:hAnsi="Times New Roman"/>
          <w:sz w:val="24"/>
          <w:szCs w:val="24"/>
        </w:rPr>
        <w:t xml:space="preserve">The second concerns mechanisms. Meta-analytic evidence in physicians suggests that organisation-directed interventions may be at least as effective as those directed at individuals [5,6], yet nearly four in five trials here (78.4% with a psychological mechanism) test programmes that ask the individual worker to change. The small group of trials that target training, workflow or practical support illustrates what digital technology can do beyond delivering psychological content. The ambient AI scribe trials are an example: they address documentation burden, a recognised driver of physician burnout [4], directly. The 3 included scribe trials appeared in an artificial-intelligence journal (NEJM AI) and clinical-informatics journals (Applied Clinical Informatics and the Journal of the American Medical Informatics Association) rather than in occupational-health journals, and they do not use psychological terms. Reviews that search only for psychological interventions will miss them, as the main search of this review did.</w:t>
      </w:r>
    </w:p>
    <w:p>
      <w:pPr>
        <w:pStyle w:val="Heading2"/>
        <w:spacing w:after="120" w:before="240"/>
      </w:pPr>
      <w:r>
        <w:rPr>
          <w:rFonts w:ascii="Times New Roman" w:cs="Times New Roman" w:eastAsia="Times New Roman" w:hAnsi="Times New Roman"/>
          <w:b/>
          <w:bCs/>
          <w:i/>
          <w:iCs/>
          <w:sz w:val="24"/>
          <w:szCs w:val="24"/>
        </w:rPr>
        <w:t xml:space="preserve">4.4 Implications for trial design and reporting</w:t>
      </w:r>
    </w:p>
    <w:p>
      <w:pPr>
        <w:spacing w:after="160" w:line="400"/>
        <w:jc w:val="both"/>
      </w:pPr>
      <w:r>
        <w:rPr>
          <w:rFonts w:ascii="Times New Roman" w:cs="Times New Roman" w:eastAsia="Times New Roman" w:hAnsi="Times New Roman"/>
          <w:sz w:val="24"/>
          <w:szCs w:val="24"/>
        </w:rPr>
        <w:t xml:space="preserve">Waitlist controls were used in about three in ten of the trials and in nearly two in five of those reported from 2023. Waitlist designs can overestimate effects, because participants who are told to wait may fare worse than they would with no intervention at all; in psychotherapy trials the waitlist has been described as a nocebo condition [18]. Burnout develops over months and is closely tied to working conditions, so a comparison with an active control, with usual organisational support, or between two versions of a digital programme would say more about what the intervention adds. The small median sample, the 15 trials with fewer than 50 participants and the 23 trials that describe themselves as pilot or feasibility studies indicate that much of the evidence comes from studies that were not designed to test effectiveness.</w:t>
      </w:r>
    </w:p>
    <w:p>
      <w:pPr>
        <w:spacing w:after="160" w:line="400"/>
        <w:jc w:val="both"/>
      </w:pPr>
      <w:r>
        <w:rPr>
          <w:rFonts w:ascii="Times New Roman" w:cs="Times New Roman" w:eastAsia="Times New Roman" w:hAnsi="Times New Roman"/>
          <w:sz w:val="24"/>
          <w:szCs w:val="24"/>
        </w:rPr>
        <w:t xml:space="preserve">Burnout measurement was reported inconsistently. More than half of the abstracts did not name the instrument. The full texts show that the field is less fragmented than the abstracts suggest, since the Maslach Burnout Inventory and its adaptations account for about 54.3% of trials, but they also show that several instruments with different conceptual bases and many shortened versions are in use [2,19]. Missing instrument names make the trials hard to find and, together with the shortened forms, hard to combine. Following CONSORT and its e-health extension [20,21], abstracts should name the burnout instrument and state whether burnout was a primary or secondary outcome. The results of 6 randomized registrations completed by 2023 could not be found. This proportion is consistent with the delays and non-publication documented in other areas of clinical research [22], although this review did not compare effect sizes, so we cannot say whether unpublished trials differ from published ones.</w:t>
      </w:r>
    </w:p>
    <w:p>
      <w:pPr>
        <w:pStyle w:val="Heading2"/>
        <w:spacing w:after="120" w:before="240"/>
      </w:pPr>
      <w:r>
        <w:rPr>
          <w:rFonts w:ascii="Times New Roman" w:cs="Times New Roman" w:eastAsia="Times New Roman" w:hAnsi="Times New Roman"/>
          <w:b/>
          <w:bCs/>
          <w:i/>
          <w:iCs/>
          <w:sz w:val="24"/>
          <w:szCs w:val="24"/>
        </w:rPr>
        <w:t xml:space="preserve">4.5 Strengths and limitations</w:t>
      </w:r>
    </w:p>
    <w:p>
      <w:pPr>
        <w:spacing w:after="160" w:line="400"/>
        <w:jc w:val="both"/>
      </w:pPr>
      <w:r>
        <w:rPr>
          <w:rFonts w:ascii="Times New Roman" w:cs="Times New Roman" w:eastAsia="Times New Roman" w:hAnsi="Times New Roman"/>
          <w:sz w:val="24"/>
          <w:szCs w:val="24"/>
        </w:rPr>
        <w:t xml:space="preserve">The review has several strengths. It searched five databases, including two large open sources, and it tested and corrected its own search strategy by running supplementary searches without the intervention-type block and with additional delivery terms and controlled vocabulary. Every report that passed screening was assessed against explicit criteria with a recorded reason. Reports were linked to trials and the analysis was done at trial level. The trial registry was used both to find missed reports and to examine publication. All data and code are publicly available.</w:t>
      </w:r>
    </w:p>
    <w:p>
      <w:pPr>
        <w:spacing w:after="160" w:line="400"/>
        <w:jc w:val="both"/>
      </w:pPr>
      <w:r>
        <w:rPr>
          <w:rFonts w:ascii="Times New Roman" w:cs="Times New Roman" w:eastAsia="Times New Roman" w:hAnsi="Times New Roman"/>
          <w:sz w:val="24"/>
          <w:szCs w:val="24"/>
        </w:rPr>
        <w:t xml:space="preserve">There are also limitations. Selection and charting were done by a single reviewer with the help of an AI agent. A second reviewer assessed only a sample of 30 reports, and kappa from so few reports is imprecise; the remaining reports were assessed by one reviewer, and the screening error was estimated from a random sample of excluded records. Eligibility and charting relied mainly on abstracts. The burnout instrument was checked in the full text for the trials whose abstracts did not name it, but other features, such as the comparator, the delivery mode and the sample size, may be reported more completely in the full texts than our figures suggest. PsycINFO, Embase and CENTRAL were not searched, and reference lists were not checked; the supplementary searches used a broader but still incomplete vocabulary, the third search covered only PubMed and Europe PMC, and each search added trials that the previous one had missed, so further eligible trials probably remain, particularly in Web of Science, Scopus and databases that we did not search. One eligible report was recovered only through the registry. Some eligible trials, especially from sectors outside health care, have probably been missed. Two reports could not be retrieved. The main search strings differed slightly between the database interfaces (Appendix A). The registry analysis covered only ClinicalTrials.gov, and a report that could not be located has not necessarily gone unpublished. Each trial was assigned one category per variable, which simplifies multicomponent interventions. The protocol was not registered in advance, and the data for 2026 are incomplete.</w:t>
      </w:r>
    </w:p>
    <w:p>
      <w:pPr>
        <w:pStyle w:val="Heading1"/>
        <w:spacing w:after="180" w:before="360"/>
      </w:pPr>
      <w:r>
        <w:rPr>
          <w:rFonts w:ascii="Times New Roman" w:cs="Times New Roman" w:eastAsia="Times New Roman" w:hAnsi="Times New Roman"/>
          <w:b/>
          <w:bCs/>
          <w:sz w:val="28"/>
          <w:szCs w:val="28"/>
        </w:rPr>
        <w:t xml:space="preserve">5. Conclusions</w:t>
      </w:r>
    </w:p>
    <w:p>
      <w:pPr>
        <w:spacing w:after="160" w:line="400"/>
        <w:jc w:val="both"/>
      </w:pPr>
      <w:r>
        <w:rPr>
          <w:rFonts w:ascii="Times New Roman" w:cs="Times New Roman" w:eastAsia="Times New Roman" w:hAnsi="Times New Roman"/>
          <w:sz w:val="24"/>
          <w:szCs w:val="24"/>
        </w:rPr>
        <w:t xml:space="preserve">Randomized evidence on digital interventions for occupational burnout has grown quickly since 2020 and now comprises 116 trials. The evidence is concentrated in healthcare and in psychological programmes for individual workers. Recent trials rely more often on waitlist controls, many trials are small pilot studies, and the burnout instrument is often not named in the abstract. The next generation of trials should include workers outside healthcare, test interventions that change training and work processes as well as individual coping, use active or usual-practice comparators, and report both the burnout instrument and the results of every completed trial.</w:t>
      </w:r>
    </w:p>
    <w:p>
      <w:pPr>
        <w:pStyle w:val="Heading1"/>
        <w:spacing w:after="180" w:before="360"/>
      </w:pPr>
      <w:r>
        <w:rPr>
          <w:rFonts w:ascii="Times New Roman" w:cs="Times New Roman" w:eastAsia="Times New Roman" w:hAnsi="Times New Roman"/>
          <w:b/>
          <w:bCs/>
          <w:sz w:val="28"/>
          <w:szCs w:val="28"/>
        </w:rPr>
        <w:t xml:space="preserve">Declarations</w:t>
      </w:r>
    </w:p>
    <w:p>
      <w:pPr>
        <w:spacing w:after="160" w:line="400"/>
        <w:jc w:val="both"/>
      </w:pPr>
      <w:r>
        <w:rPr>
          <w:rFonts w:ascii="Times New Roman" w:cs="Times New Roman" w:eastAsia="Times New Roman" w:hAnsi="Times New Roman"/>
          <w:b/>
          <w:bCs/>
          <w:sz w:val="24"/>
          <w:szCs w:val="24"/>
        </w:rPr>
        <w:t xml:space="preserve">Funding:</w:t>
      </w:r>
      <w:r>
        <w:rPr>
          <w:rFonts w:ascii="Times New Roman" w:cs="Times New Roman" w:eastAsia="Times New Roman" w:hAnsi="Times New Roman"/>
          <w:sz w:val="24"/>
          <w:szCs w:val="24"/>
        </w:rPr>
        <w:t xml:space="preserve"> This research received no specific funding.</w:t>
      </w:r>
    </w:p>
    <w:p>
      <w:pPr>
        <w:spacing w:after="160" w:line="400"/>
        <w:jc w:val="both"/>
      </w:pPr>
      <w:r>
        <w:rPr>
          <w:rFonts w:ascii="Times New Roman" w:cs="Times New Roman" w:eastAsia="Times New Roman" w:hAnsi="Times New Roman"/>
          <w:b/>
          <w:bCs/>
          <w:sz w:val="24"/>
          <w:szCs w:val="24"/>
        </w:rPr>
        <w:t xml:space="preserve">Competing interests:</w:t>
      </w:r>
      <w:r>
        <w:rPr>
          <w:rFonts w:ascii="Times New Roman" w:cs="Times New Roman" w:eastAsia="Times New Roman" w:hAnsi="Times New Roman"/>
          <w:sz w:val="24"/>
          <w:szCs w:val="24"/>
        </w:rPr>
        <w:t xml:space="preserve"> The author declares no competing interests.</w:t>
      </w:r>
    </w:p>
    <w:p>
      <w:pPr>
        <w:spacing w:after="160" w:line="400"/>
        <w:jc w:val="both"/>
      </w:pPr>
      <w:r>
        <w:rPr>
          <w:rFonts w:ascii="Times New Roman" w:cs="Times New Roman" w:eastAsia="Times New Roman" w:hAnsi="Times New Roman"/>
          <w:b/>
          <w:bCs/>
          <w:sz w:val="24"/>
          <w:szCs w:val="24"/>
        </w:rPr>
        <w:t xml:space="preserve">Ethics approval:</w:t>
      </w:r>
      <w:r>
        <w:rPr>
          <w:rFonts w:ascii="Times New Roman" w:cs="Times New Roman" w:eastAsia="Times New Roman" w:hAnsi="Times New Roman"/>
          <w:sz w:val="24"/>
          <w:szCs w:val="24"/>
        </w:rPr>
        <w:t xml:space="preserve"> Not required; the review used published data only.</w:t>
      </w:r>
    </w:p>
    <w:p>
      <w:pPr>
        <w:spacing w:after="160" w:line="400"/>
        <w:jc w:val="both"/>
      </w:pPr>
      <w:r>
        <w:rPr>
          <w:rFonts w:ascii="Times New Roman" w:cs="Times New Roman" w:eastAsia="Times New Roman" w:hAnsi="Times New Roman"/>
          <w:b/>
          <w:bCs/>
          <w:sz w:val="24"/>
          <w:szCs w:val="24"/>
        </w:rPr>
        <w:t xml:space="preserve">Data and code availability:</w:t>
      </w:r>
      <w:r>
        <w:rPr>
          <w:rFonts w:ascii="Times New Roman" w:cs="Times New Roman" w:eastAsia="Times New Roman" w:hAnsi="Times New Roman"/>
          <w:sz w:val="24"/>
          <w:szCs w:val="24"/>
        </w:rPr>
        <w:t xml:space="preserve"> All data and code are available at https://github.com/fyodora2/5R. The file master_registry.csv lists all 286 reports assessed for eligibility (147 from the main search, 118 from the supplementary searches and 21 registry-linked publications) with the decision and reason for each. The file study_charting.csv contains the charting data for the 116 trials, supplementary_screening.csv, wos_scopus_supplementary_screening.csv and third_search_screening.csv contain every record screened in the supplementary searches, and registry_linkage.csv contains the 28 registrations. Abstracts retrieved from Web of Science and Scopus are not redistributed because of the databases' terms of use.</w:t>
      </w:r>
    </w:p>
    <w:p>
      <w:pPr>
        <w:spacing w:after="160" w:line="400"/>
        <w:jc w:val="both"/>
      </w:pPr>
      <w:r>
        <w:rPr>
          <w:rFonts w:ascii="Times New Roman" w:cs="Times New Roman" w:eastAsia="Times New Roman" w:hAnsi="Times New Roman"/>
          <w:b/>
          <w:bCs/>
          <w:sz w:val="24"/>
          <w:szCs w:val="24"/>
        </w:rPr>
        <w:t xml:space="preserve">Use of artificial intelligence:</w:t>
      </w:r>
      <w:r>
        <w:rPr>
          <w:rFonts w:ascii="Times New Roman" w:cs="Times New Roman" w:eastAsia="Times New Roman" w:hAnsi="Times New Roman"/>
          <w:sz w:val="24"/>
          <w:szCs w:val="24"/>
        </w:rPr>
        <w:t xml:space="preserve"> See Section 2.8.</w:t>
      </w:r>
    </w:p>
    <w:p>
      <w:pPr>
        <w:pStyle w:val="Heading1"/>
        <w:spacing w:after="180" w:before="360"/>
      </w:pPr>
      <w:r>
        <w:rPr>
          <w:rFonts w:ascii="Times New Roman" w:cs="Times New Roman" w:eastAsia="Times New Roman" w:hAnsi="Times New Roman"/>
          <w:b/>
          <w:bCs/>
          <w:sz w:val="28"/>
          <w:szCs w:val="28"/>
        </w:rPr>
        <w:t xml:space="preserve">References</w:t>
      </w:r>
    </w:p>
    <w:p>
      <w:pPr>
        <w:spacing w:after="100" w:line="300"/>
        <w:ind w:left="440" w:hanging="440"/>
      </w:pPr>
      <w:r>
        <w:rPr>
          <w:rFonts w:ascii="Times New Roman" w:cs="Times New Roman" w:eastAsia="Times New Roman" w:hAnsi="Times New Roman"/>
          <w:sz w:val="22"/>
          <w:szCs w:val="22"/>
        </w:rPr>
        <w:t xml:space="preserve">1.	World Health Organization. Burn-out an "occupational phenomenon": International Classification of Diseases. Geneva: World Health Organization; 2019 May 28.</w:t>
      </w:r>
    </w:p>
    <w:p>
      <w:pPr>
        <w:spacing w:after="100" w:line="300"/>
        <w:ind w:left="440" w:hanging="440"/>
      </w:pPr>
      <w:r>
        <w:rPr>
          <w:rFonts w:ascii="Times New Roman" w:cs="Times New Roman" w:eastAsia="Times New Roman" w:hAnsi="Times New Roman"/>
          <w:sz w:val="22"/>
          <w:szCs w:val="22"/>
        </w:rPr>
        <w:t xml:space="preserve">2.	Maslach C, Leiter MP. Understanding the burnout experience: recent research and its implications for psychiatry. World Psychiatry. 2016;15(2):103-11. doi:10.1002/wps.20311</w:t>
      </w:r>
    </w:p>
    <w:p>
      <w:pPr>
        <w:spacing w:after="100" w:line="300"/>
        <w:ind w:left="440" w:hanging="440"/>
      </w:pPr>
      <w:r>
        <w:rPr>
          <w:rFonts w:ascii="Times New Roman" w:cs="Times New Roman" w:eastAsia="Times New Roman" w:hAnsi="Times New Roman"/>
          <w:sz w:val="22"/>
          <w:szCs w:val="22"/>
        </w:rPr>
        <w:t xml:space="preserve">3.	Rotenstein LS, Torre M, Ramos MA, Rosales RC, Guille C, Sen S, et al. Prevalence of burnout among physicians: a systematic review. JAMA. 2018;320(11):1131-50. doi:10.1001/jama.2018.12777</w:t>
      </w:r>
    </w:p>
    <w:p>
      <w:pPr>
        <w:spacing w:after="100" w:line="300"/>
        <w:ind w:left="440" w:hanging="440"/>
      </w:pPr>
      <w:r>
        <w:rPr>
          <w:rFonts w:ascii="Times New Roman" w:cs="Times New Roman" w:eastAsia="Times New Roman" w:hAnsi="Times New Roman"/>
          <w:sz w:val="22"/>
          <w:szCs w:val="22"/>
        </w:rPr>
        <w:t xml:space="preserve">4.	West CP, Dyrbye LN, Shanafelt TD. Physician burnout: contributors, consequences and solutions. J Intern Med. 2018;283(6):516-29. doi:10.1111/joim.12752</w:t>
      </w:r>
    </w:p>
    <w:p>
      <w:pPr>
        <w:spacing w:after="100" w:line="300"/>
        <w:ind w:left="440" w:hanging="440"/>
      </w:pPr>
      <w:r>
        <w:rPr>
          <w:rFonts w:ascii="Times New Roman" w:cs="Times New Roman" w:eastAsia="Times New Roman" w:hAnsi="Times New Roman"/>
          <w:sz w:val="22"/>
          <w:szCs w:val="22"/>
        </w:rPr>
        <w:t xml:space="preserve">5.	West CP, Dyrbye LN, Erwin PJ, Shanafelt TD. Interventions to prevent and reduce physician burnout: a systematic review and meta-analysis. Lancet. 2016;388(10057):2272-81. doi:10.1016/S0140-6736(16)31279-X</w:t>
      </w:r>
    </w:p>
    <w:p>
      <w:pPr>
        <w:spacing w:after="100" w:line="300"/>
        <w:ind w:left="440" w:hanging="440"/>
      </w:pPr>
      <w:r>
        <w:rPr>
          <w:rFonts w:ascii="Times New Roman" w:cs="Times New Roman" w:eastAsia="Times New Roman" w:hAnsi="Times New Roman"/>
          <w:sz w:val="22"/>
          <w:szCs w:val="22"/>
        </w:rPr>
        <w:t xml:space="preserve">6.	Panagioti M, Panagopoulou E, Bower P, Lewith G, Kontopantelis E, Chew-Graham C, et al. Controlled interventions to reduce burnout in physicians: a systematic review and meta-analysis. JAMA Intern Med. 2017;177(2):195-205. doi:10.1001/jamainternmed.2016.7674</w:t>
      </w:r>
    </w:p>
    <w:p>
      <w:pPr>
        <w:spacing w:after="100" w:line="300"/>
        <w:ind w:left="440" w:hanging="440"/>
      </w:pPr>
      <w:r>
        <w:rPr>
          <w:rFonts w:ascii="Times New Roman" w:cs="Times New Roman" w:eastAsia="Times New Roman" w:hAnsi="Times New Roman"/>
          <w:sz w:val="22"/>
          <w:szCs w:val="22"/>
        </w:rPr>
        <w:t xml:space="preserve">7.	Kunzler AM, Helmreich I, Chmitorz A, König J, Binder H, Wessa M, et al. Psychological interventions to foster resilience in healthcare professionals. Cochrane Database Syst Rev. 2020;7:CD012527. doi:10.1002/14651858.CD012527.pub2</w:t>
      </w:r>
    </w:p>
    <w:p>
      <w:pPr>
        <w:spacing w:after="100" w:line="300"/>
        <w:ind w:left="440" w:hanging="440"/>
      </w:pPr>
      <w:r>
        <w:rPr>
          <w:rFonts w:ascii="Times New Roman" w:cs="Times New Roman" w:eastAsia="Times New Roman" w:hAnsi="Times New Roman"/>
          <w:sz w:val="22"/>
          <w:szCs w:val="22"/>
        </w:rPr>
        <w:t xml:space="preserve">8.	Yang Y, Wen J, Wan H, Yang Q, Guan J, Min L, et al. Digital health interventions for reducing occupational burnout in nurses: a systematic review and meta-analysis. Front Public Health. 2026;14:1879258. doi:10.3389/fpubh.2026.1879258</w:t>
      </w:r>
    </w:p>
    <w:p>
      <w:pPr>
        <w:spacing w:after="100" w:line="300"/>
        <w:ind w:left="440" w:hanging="440"/>
      </w:pPr>
      <w:r>
        <w:rPr>
          <w:rFonts w:ascii="Times New Roman" w:cs="Times New Roman" w:eastAsia="Times New Roman" w:hAnsi="Times New Roman"/>
          <w:sz w:val="22"/>
          <w:szCs w:val="22"/>
        </w:rPr>
        <w:t xml:space="preserve">9.	Park JH, Jung SE, Ha DJ, Lee B, Kim MS, Sim KL, et al. E-healthcare interventions for nurse mental health: a systematic review. Medicine (Baltimore). 2022;101(28):e29125. doi:10.1097/MD.0000000000029125</w:t>
      </w:r>
    </w:p>
    <w:p>
      <w:pPr>
        <w:spacing w:after="100" w:line="300"/>
        <w:ind w:left="440" w:hanging="440"/>
      </w:pPr>
      <w:r>
        <w:rPr>
          <w:rFonts w:ascii="Times New Roman" w:cs="Times New Roman" w:eastAsia="Times New Roman" w:hAnsi="Times New Roman"/>
          <w:sz w:val="22"/>
          <w:szCs w:val="22"/>
        </w:rPr>
        <w:t xml:space="preserve">10.	Adam D, Berschick J, Schiele JK, Bogdanski M, Schröter M, Steinmetz M, et al. Interventions to reduce stress and prevent burnout in healthcare professionals supported by digital applications: a scoping review. Front Public Health. 2023;11:1231266. doi:10.3389/fpubh.2023.1231266</w:t>
      </w:r>
    </w:p>
    <w:p>
      <w:pPr>
        <w:spacing w:after="100" w:line="300"/>
        <w:ind w:left="440" w:hanging="440"/>
      </w:pPr>
      <w:r>
        <w:rPr>
          <w:rFonts w:ascii="Times New Roman" w:cs="Times New Roman" w:eastAsia="Times New Roman" w:hAnsi="Times New Roman"/>
          <w:sz w:val="22"/>
          <w:szCs w:val="22"/>
        </w:rPr>
        <w:t xml:space="preserve">11.	Lampinen VS, Kämper E, Balla VR, Katajavuori N, Asikainen H. The effectiveness of online acceptance and commitment therapy-based interventions on depression, burnout, anxiety and stress in occupational contexts: a systematic narrative review. Internet Interv. 2026. doi:10.1016/j.invent.2026.100909</w:t>
      </w:r>
    </w:p>
    <w:p>
      <w:pPr>
        <w:spacing w:after="100" w:line="300"/>
        <w:ind w:left="440" w:hanging="440"/>
      </w:pPr>
      <w:r>
        <w:rPr>
          <w:rFonts w:ascii="Times New Roman" w:cs="Times New Roman" w:eastAsia="Times New Roman" w:hAnsi="Times New Roman"/>
          <w:sz w:val="22"/>
          <w:szCs w:val="22"/>
        </w:rPr>
        <w:t xml:space="preserve">12.	Arksey H, O'Malley L. Scoping studies: towards a methodological framework. Int J Soc Res Methodol. 2005;8(1):19-32. doi:10.1080/1364557032000119616</w:t>
      </w:r>
    </w:p>
    <w:p>
      <w:pPr>
        <w:spacing w:after="100" w:line="300"/>
        <w:ind w:left="440" w:hanging="440"/>
      </w:pPr>
      <w:r>
        <w:rPr>
          <w:rFonts w:ascii="Times New Roman" w:cs="Times New Roman" w:eastAsia="Times New Roman" w:hAnsi="Times New Roman"/>
          <w:sz w:val="22"/>
          <w:szCs w:val="22"/>
        </w:rPr>
        <w:t xml:space="preserve">13.	Levac D, Colquhoun H, O'Brien KK. Scoping studies: advancing the methodology. Implement Sci. 2010;5:69. doi:10.1186/1748-5908-5-69</w:t>
      </w:r>
    </w:p>
    <w:p>
      <w:pPr>
        <w:spacing w:after="100" w:line="300"/>
        <w:ind w:left="440" w:hanging="440"/>
      </w:pPr>
      <w:r>
        <w:rPr>
          <w:rFonts w:ascii="Times New Roman" w:cs="Times New Roman" w:eastAsia="Times New Roman" w:hAnsi="Times New Roman"/>
          <w:sz w:val="22"/>
          <w:szCs w:val="22"/>
        </w:rPr>
        <w:t xml:space="preserve">14.	Peters MDJ, Godfrey C, McInerney P, Munn Z, Tricco AC, Khalil H. Chapter 11: Scoping reviews. In: Aromataris E, Munn Z, editors. JBI Manual for Evidence Synthesis. Adelaide: JBI; 2020. doi:10.46658/JBIMES-20-12</w:t>
      </w:r>
    </w:p>
    <w:p>
      <w:pPr>
        <w:spacing w:after="100" w:line="300"/>
        <w:ind w:left="440" w:hanging="440"/>
      </w:pPr>
      <w:r>
        <w:rPr>
          <w:rFonts w:ascii="Times New Roman" w:cs="Times New Roman" w:eastAsia="Times New Roman" w:hAnsi="Times New Roman"/>
          <w:sz w:val="22"/>
          <w:szCs w:val="22"/>
        </w:rPr>
        <w:t xml:space="preserve">15.	Tricco AC, Lillie E, Zarin W, O'Brien KK, Colquhoun H, Levac D, et al. PRISMA Extension for Scoping Reviews (PRISMA-ScR): checklist and explanation. Ann Intern Med. 2018;169(7):467-73. doi:10.7326/M18-0850</w:t>
      </w:r>
    </w:p>
    <w:p>
      <w:pPr>
        <w:spacing w:after="100" w:line="300"/>
        <w:ind w:left="440" w:hanging="440"/>
      </w:pPr>
      <w:r>
        <w:rPr>
          <w:rFonts w:ascii="Times New Roman" w:cs="Times New Roman" w:eastAsia="Times New Roman" w:hAnsi="Times New Roman"/>
          <w:sz w:val="22"/>
          <w:szCs w:val="22"/>
        </w:rPr>
        <w:t xml:space="preserve">16.	Page MJ, McKenzie JE, Bossuyt PM, Boutron I, Hoffmann TC, Mulrow CD, et al. The PRISMA 2020 statement: an updated guideline for reporting systematic reviews. BMJ. 2021;372:n71. doi:10.1136/bmj.n71</w:t>
      </w:r>
    </w:p>
    <w:p>
      <w:pPr>
        <w:spacing w:after="100" w:line="300"/>
        <w:ind w:left="440" w:hanging="440"/>
      </w:pPr>
      <w:r>
        <w:rPr>
          <w:rFonts w:ascii="Times New Roman" w:cs="Times New Roman" w:eastAsia="Times New Roman" w:hAnsi="Times New Roman"/>
          <w:sz w:val="22"/>
          <w:szCs w:val="22"/>
        </w:rPr>
        <w:t xml:space="preserve">17.	Clopper CJ, Pearson ES. The use of confidence or fiducial limits illustrated in the case of the binomial. Biometrika. 1934;26(4):404-13. doi:10.1093/biomet/26.4.404</w:t>
      </w:r>
    </w:p>
    <w:p>
      <w:pPr>
        <w:spacing w:after="100" w:line="300"/>
        <w:ind w:left="440" w:hanging="440"/>
      </w:pPr>
      <w:r>
        <w:rPr>
          <w:rFonts w:ascii="Times New Roman" w:cs="Times New Roman" w:eastAsia="Times New Roman" w:hAnsi="Times New Roman"/>
          <w:sz w:val="22"/>
          <w:szCs w:val="22"/>
        </w:rPr>
        <w:t xml:space="preserve">18.	Furukawa TA, Noma H, Caldwell DM, Honyashiki M, Shinohara K, Imai H, et al. Waiting list may be a nocebo condition in psychotherapy trials: a contribution from network meta-analysis. Acta Psychiatr Scand. 2014;130(3):181-92. doi:10.1111/acps.12275</w:t>
      </w:r>
    </w:p>
    <w:p>
      <w:pPr>
        <w:spacing w:after="100" w:line="300"/>
        <w:ind w:left="440" w:hanging="440"/>
      </w:pPr>
      <w:r>
        <w:rPr>
          <w:rFonts w:ascii="Times New Roman" w:cs="Times New Roman" w:eastAsia="Times New Roman" w:hAnsi="Times New Roman"/>
          <w:sz w:val="22"/>
          <w:szCs w:val="22"/>
        </w:rPr>
        <w:t xml:space="preserve">19.	Schaufeli WB, De Witte H, Desart S. Burnout Assessment Tool (BAT): development, validity, and reliability. Int J Environ Res Public Health. 2020;17(24):9495. doi:10.3390/ijerph17249495</w:t>
      </w:r>
    </w:p>
    <w:p>
      <w:pPr>
        <w:spacing w:after="100" w:line="300"/>
        <w:ind w:left="440" w:hanging="440"/>
      </w:pPr>
      <w:r>
        <w:rPr>
          <w:rFonts w:ascii="Times New Roman" w:cs="Times New Roman" w:eastAsia="Times New Roman" w:hAnsi="Times New Roman"/>
          <w:sz w:val="22"/>
          <w:szCs w:val="22"/>
        </w:rPr>
        <w:t xml:space="preserve">20.	Schulz KF, Altman DG, Moher D; CONSORT Group. CONSORT 2010 statement: updated guidelines for reporting parallel group randomised trials. BMJ. 2010;340:c332. doi:10.1136/bmj.c332</w:t>
      </w:r>
    </w:p>
    <w:p>
      <w:pPr>
        <w:spacing w:after="100" w:line="300"/>
        <w:ind w:left="440" w:hanging="440"/>
      </w:pPr>
      <w:r>
        <w:rPr>
          <w:rFonts w:ascii="Times New Roman" w:cs="Times New Roman" w:eastAsia="Times New Roman" w:hAnsi="Times New Roman"/>
          <w:sz w:val="22"/>
          <w:szCs w:val="22"/>
        </w:rPr>
        <w:t xml:space="preserve">21.	Eysenbach G; CONSORT-EHEALTH Group. CONSORT-EHEALTH: improving and standardizing evaluation reports of web-based and mobile health interventions. J Med Internet Res. 2011;13(4):e126. doi:10.2196/jmir.1923</w:t>
      </w:r>
    </w:p>
    <w:p>
      <w:pPr>
        <w:spacing w:after="100" w:line="300"/>
        <w:ind w:left="440" w:hanging="440"/>
      </w:pPr>
      <w:r>
        <w:rPr>
          <w:rFonts w:ascii="Times New Roman" w:cs="Times New Roman" w:eastAsia="Times New Roman" w:hAnsi="Times New Roman"/>
          <w:sz w:val="22"/>
          <w:szCs w:val="22"/>
        </w:rPr>
        <w:t xml:space="preserve">22.	Chen R, Desai NR, Ross JS, Zhang W, Chau KH, Wayda B, et al. Publication and reporting of clinical trial results: cross sectional analysis across academic medical centers. BMJ. 2016;352:i637. doi:10.1136/bmj.i637</w:t>
      </w:r>
    </w:p>
    <w:p>
      <w:r>
        <w:br w:type="page"/>
      </w:r>
    </w:p>
    <w:p>
      <w:pPr>
        <w:pStyle w:val="Heading1"/>
        <w:spacing w:after="180" w:before="360"/>
      </w:pPr>
      <w:r>
        <w:rPr>
          <w:rFonts w:ascii="Times New Roman" w:cs="Times New Roman" w:eastAsia="Times New Roman" w:hAnsi="Times New Roman"/>
          <w:b/>
          <w:bCs/>
          <w:sz w:val="28"/>
          <w:szCs w:val="28"/>
        </w:rPr>
        <w:t xml:space="preserve">Appendix A. Search strategies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1685"/>
        <w:gridCol w:w="6084"/>
      </w:tblGrid>
      <w:tr>
        <w:trPr>
          <w:tblHeader/>
        </w:trPr>
        <w:tc>
          <w:tcPr>
            <w:tcW w:type="dxa" w:w="1591"/>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6"/>
                <w:szCs w:val="16"/>
              </w:rPr>
              <w:t xml:space="preserve">Source</w:t>
            </w:r>
          </w:p>
        </w:tc>
        <w:tc>
          <w:tcPr>
            <w:tcW w:type="dxa" w:w="168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6"/>
                <w:szCs w:val="16"/>
              </w:rPr>
              <w:t xml:space="preserve">Field and date</w:t>
            </w:r>
          </w:p>
        </w:tc>
        <w:tc>
          <w:tcPr>
            <w:tcW w:type="dxa" w:w="6084"/>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6"/>
                <w:szCs w:val="16"/>
              </w:rPr>
              <w:t xml:space="preserve">Search string</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Europe PMC</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TITLE_ABS; 26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OR "burn-out") AND (digital OR online OR internet OR "web-based" OR "web based" OR app OR "mobile app" OR smartphone OR ehealth OR "e-health" OR mhealth OR "m-health" OR telehealth OR "computer-based" OR computerized OR computerised OR chatbot OR "conversational agent" OR "virtual reality" OR videoconferenc* OR "internet-based" OR "internet based") AND (psycholog* OR CBT OR "cognitive behavioral" OR "cognitive behavioural" OR mindfulness OR MBSR OR MBCT OR "acceptance and commitment" OR "self-compassion" OR "stress management" OR "emotion regulation" OR "positive psychology" OR coaching OR psychoeducation* OR "behavioral activation" OR "behavioural activation" OR resilience OR relaxation OR biofeedback) AND (randomi* OR RCT OR "controlled trial" OR "clinical trial")</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OpenAlex</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title_and_abstract.search; 26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The same four blocks in OpenAlex Boolean syntax, with truncated terms replaced by their word forms (for example psychological OR psychology; randomized OR randomised).</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ERIC</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All fields; 26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AND (digital OR online OR internet OR "app-based" OR "mobile app" OR "web-based" OR ehealth OR mhealth OR telehealth OR "computer-based" OR chatbot OR "virtual reality" OR "delivered virtually" OR "smartphone app") AND (psycholog* OR CBT OR mindfulness OR ACT OR "self-compassion" OR "stress management" OR coaching OR psychoeducation OR resilience OR "emotion regulation") AND (randomi* OR RCT OR "controlled trial")</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Web of Science Core Collection</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Topic (TS), all editions; 17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OR "occupational burnout" OR "job burnout" OR "work-related burnout" OR "professional burnout" OR "employee burnout") AND (digital OR online OR internet-based OR web-based OR mobile OR smartphone OR app OR mHealth OR eHealth OR "digital health" OR "computer-based" OR "technology-delivered") AND (psychological OR psychotherapy OR CBT OR "cognitive behavioral" OR mindfulness OR "acceptance and commitment" OR ACT OR resilience OR "stress management" OR "self-compassion" OR "positive psychology" OR "emotion regulation" OR relaxation OR coping) AND (random* OR "controlled trial" OR RCT)</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Scopus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 abstract, keywords; 17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As for Web of Science.</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Europe PMC (supplementary)</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TITLE_ABS; 28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block) AND ((main digital block) OR (wearable* OR SMS OR "text messag*" OR "text-messag*" OR WhatsApp OR WeChat OR gamif* OR exergam* OR "mobile phone" OR "cell phone" OR telemedicine OR tablet OR "e-learning" OR elearning OR webinar* OR zoom OR "video-based" OR "video conferenc*" OR "serious game" OR platform OR applications OR "digital health" OR "fitness tracker*" OR "activity tracker*")) AND (randomized block) NOT ((main digital block) AND (main intervention block))</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OpenAlex (supplementary)</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title_and_abstract.search; 28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OR "burn-out") AND (main digital block OR extended digital terms as above) AND (randomized OR randomised OR RCT OR "controlled trial" OR "clinical trial") AND NOT (main intervention block)</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Scopus (supplementary)</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 abstract, keywords; 29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TITLE-ABS-KEY((burnout OR "burn-out") AND (the extended digital block as above) AND (randomi* OR rct OR "controlled trial" OR "clinical trial")); no intervention block, no year or language limit</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Web of Science (supplementary)</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Topic (TS), all editions; 29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TS=((burnout OR "burn-out") AND (the extended digital block as above) AND (randomi* OR rct OR "controlled trial" OR "clinical trial")); no intervention block, no year or language limit</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PubMed (MeSH check)</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MeSH Terms and title/abstract; 29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Professional"[MeSH Terms] AND (randomized controlled trial[pt] OR randomized[tiab] OR randomised[tiab] OR "randomly assigned"[tiab] OR "randomly allocated"[tiab] OR "random assignment"[tiab] OR "random allocation"[tiab]); 595 records</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Europe PMC (delivery terms 1)</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TITLE_ABS; 29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OR "burn-out") AND (virtual OR remote OR remotely OR video OR videos OR telecoach* OR teletherapy OR telepsycholog* OR digitally OR podcast OR streaming) AND (randomi* OR "randomly assigned" OR "randomly allocated" OR "random allocation" OR RCT); 95 records</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Europe PMC (delivery terms 2)</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TITLE_ABS; 29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OR "burn-out") AND (email OR e-mail OR "social media" OR facebook OR instagram OR telegram OR "microsoft teams" OR livestream OR asynchronous OR synchronous OR hybrid OR blended OR "technology-based" OR technology OR tele* OR audio OR "self-guided" OR "self-directed" OR "self-paced" OR module* OR "coaching program*" OR "text message*" OR "push notification*" OR digital*) AND (randomi* OR "randomly assigned" OR "randomly allocated" OR "random allocation" OR RCT); 228 records</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ClinicalTrials.gov</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API v2; 28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Condition contains "burnout"; study type interventional; status completed; at least one of app, online, web-based, internet, digital, smartphone, mobile, tele, virtual reality, VR, chatbot, ehealth, mhealth or technology in the title or intervention; titles naming students, patients, caregivers, parents or children set aside.</w:t>
            </w:r>
          </w:p>
        </w:tc>
      </w:tr>
      <w:tr>
        <w:tc>
          <w:tcPr>
            <w:tcW w:type="dxa" w:w="1591"/>
            <w:tcBorders>
              <w:top w:val="single" w:color="808080" w:sz="4"/>
              <w:left w:val="none" w:color="FFFFFF" w:sz="0"/>
              <w:bottom w:val="none" w:color="FFFFFF" w:sz="0"/>
              <w:right w:val="none" w:color="FFFFFF" w:sz="0"/>
            </w:tcBorders>
          </w:tcPr>
          <w:p/>
        </w:tc>
        <w:tc>
          <w:tcPr>
            <w:tcW w:type="dxa" w:w="1685"/>
            <w:tcBorders>
              <w:top w:val="single" w:color="808080" w:sz="4"/>
              <w:left w:val="none" w:color="FFFFFF" w:sz="0"/>
              <w:bottom w:val="none" w:color="FFFFFF" w:sz="0"/>
              <w:right w:val="none" w:color="FFFFFF" w:sz="0"/>
            </w:tcBorders>
          </w:tcPr>
          <w:p/>
        </w:tc>
        <w:tc>
          <w:tcPr>
            <w:tcW w:type="dxa" w:w="6084"/>
            <w:tcBorders>
              <w:top w:val="single" w:color="808080" w:sz="4"/>
              <w:left w:val="none" w:color="FFFFFF" w:sz="0"/>
              <w:bottom w:val="none" w:color="FFFFFF" w:sz="0"/>
              <w:right w:val="none" w:color="FFFFFF" w:sz="0"/>
            </w:tcBorders>
          </w:tcPr>
          <w:p/>
        </w:tc>
      </w:tr>
    </w:tbl>
    <w:p>
      <w:r>
        <w:br w:type="page"/>
      </w:r>
    </w:p>
    <w:p>
      <w:pPr>
        <w:pStyle w:val="Heading1"/>
        <w:spacing w:after="180" w:before="360"/>
      </w:pPr>
      <w:r>
        <w:rPr>
          <w:rFonts w:ascii="Times New Roman" w:cs="Times New Roman" w:eastAsia="Times New Roman" w:hAnsi="Times New Roman"/>
          <w:b/>
          <w:bCs/>
          <w:sz w:val="28"/>
          <w:szCs w:val="28"/>
        </w:rPr>
        <w:t xml:space="preserve">Appendix B. Reports excluded at eligibility assessment</w:t>
      </w:r>
    </w:p>
    <w:p>
      <w:pPr>
        <w:spacing w:after="160" w:line="400"/>
        <w:jc w:val="both"/>
      </w:pPr>
      <w:r>
        <w:rPr>
          <w:rFonts w:ascii="Times New Roman" w:cs="Times New Roman" w:eastAsia="Times New Roman" w:hAnsi="Times New Roman"/>
          <w:sz w:val="24"/>
          <w:szCs w:val="24"/>
        </w:rPr>
        <w:t xml:space="preserve">All 167 excluded reports, ordered by the criterion they failed. Main = main database search; Suppl. = supplementary search; Suppl. 3 = third supplementary search; Registry = registry-linked publication. Record identifiers match master_registry.csv.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749"/>
        <w:gridCol w:w="562"/>
        <w:gridCol w:w="3463"/>
        <w:gridCol w:w="1498"/>
        <w:gridCol w:w="2434"/>
      </w:tblGrid>
      <w:tr>
        <w:trPr>
          <w:tblHeader/>
        </w:trPr>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ID</w:t>
            </w:r>
          </w:p>
        </w:tc>
        <w:tc>
          <w:tcPr>
            <w:tcW w:type="dxa" w:w="74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Route</w:t>
            </w:r>
          </w:p>
        </w:tc>
        <w:tc>
          <w:tcPr>
            <w:tcW w:type="dxa" w:w="56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Year</w:t>
            </w:r>
          </w:p>
        </w:tc>
        <w:tc>
          <w:tcPr>
            <w:tcW w:type="dxa" w:w="3463"/>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Title</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Criterion</w:t>
            </w:r>
          </w:p>
        </w:tc>
        <w:tc>
          <w:tcPr>
            <w:tcW w:type="dxa" w:w="2434"/>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Reason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R005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Virtual Reality (VR) Device with Integrated Biofeedback Sensors…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Study protocol;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Alleviating staff stress in care homes for people with dementia: protocol…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Study protocol (stepped-wedge cluster RCT);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R035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Predictors of dropout in cognitive behavior and interpersonal online…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Secondary analysis of predictors of dropout; no randomized comparison of burnout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Better Together: A Novel Online Physician Group Coaching Program to…</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Secondary pre-post analysis of a pilot cohort; no randomized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Mindfulness for Midwives: Supporting Health and Well‐Being for Our…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Commentary; not a trial report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 Controlled Trial of a Guided and Individualized, Web-Based,…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in progress (conference abstract, future tense); no results. Completed trial reported separately (included)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Online Mindfulness Training and Work-related Outcomes: A Randomized…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OSF pre-registration;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BiWell: Bicocca + Workplace Well-being. An effectiveness analysis of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OSF pre-registration;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Edu:Social School Study: Promoting well-being and socio-emotional…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Study protocol;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Promoting Mental Health in Small Business Leaders: A Randomized…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OSF pre-registration;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Beyond Nature Videos: Evaluating BioMusic Breaks for Burnt-Out Nonprofit…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OSF pre-registration;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Mobile Phone-Based Intervention to Reduce Mental…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Preprint superseded by the peer-reviewed report of the same trial (R023)</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Greater Resilience Information Toolkit Japanese Version (GRIT-J)</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Impostor syndrome and burnout among American medical students: a pilot…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Cross-sectional survey cited in the registration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12-item Self-Report World Health Organization Disability Assessment…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Measurement-validation secondary analysis (NCT02540317)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Prevalence of Burnout Among Physicians: A Systematic Review.</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Systematic review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Efficacy of an Internet-based intervention for job stress and burnout…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protocol (NCT03475290)</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Development and Validation of the Compassion Scale.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Measurement-development study cited in the registration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Cost-Effectiveness of Therapist-Guided Internet-Based Cognitive…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Economic secondary analysis (NCT02540317)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Psychological interventions to foster resilience in healthcare…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Systematic review (NCT03753360)</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Identifying Moral Injury in Healthcare Professionals: The Moral Injury…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Measurement-development study cited in the registration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a mobile-based intervention on mental health in frontline…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protocol (NCT04393818)</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Who Benefits Most? A Multisite Study of Coaching and Resident Well-being.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Secondary analysis of a different coaching study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Ecological momentary intervention to enhance emotion regulation in…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protocol (NCT04958941)</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"We're all going through it": impact of an online group coaching program…</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Qualitative secondary analysis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Demographics in distress: a national study of burnout and well-being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Observational survey cited in the registration (NCT06149156)</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Cost-Effective Quality of Life Improvement While Reducing Health Care…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Within-trial economic secondary analysis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Randomized-Clinical Trial of Two Ambient Artificial Intelligence…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Preprint superseded by the peer-reviewed report of the same trial (Ambient AI Scribes in Clinical Practice, NEJM AI 2025)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the Internet 'Self-Examination Therapy (SET)' 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registration record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 controlled study to evaluate a digital intervention for…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registration record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Caring for carers: A virtual psychosocial supervision intervention to…</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Study protocol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Collecting User Experience Data from Clinicians Without Increasing…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Evidence synthesis and measurement strategy, not a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When a pandemic and epidemic collide: Lessons learned about how system…</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Lessons-learned report, not a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R245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Impact of Implementing Virtual Diabetes Group Visits on Staff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Pre-post analysis of staff within a cluster randomized trial of patient group visits; no randomized comparison of burnout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R284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Leveraging Motivational Interviewing to Coach Teachers in the…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Secondary sequential analysis of coaching sessions; no randomized comparison of burnout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Mobile Heart Rate Variability Biofeedback for Work-Related Stress in…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Explicitly non-randomized controlled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R019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Development and Feasibility of a Novel Group Intervention to Support…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Reports only one randomized arm (pre-post); no between-group comparison (full text confirms the individual-format arm is reported elsewhere)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An online mindfulness-based intervention for undergraduate pharmacy…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Quasi-randomized controlled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 of active occupational stress management on psychosocial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Single-group pilot; no control group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Brief mindfulness coaching enhances selective attention in medical…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Waitlist-controlled pilot; random allocation not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R128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Pilot study of an online brief mindfulness-based intervention to improve…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Explicitly non-randomized controlled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Physician Anxiety and Burnout: Symptom Correlates and a Prospective Pilot…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prospective pilot (NCT04137081)</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Web-Based Psychotherapy to Treat and Prevent…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Non-randomized controlled trial (NCT05343208)</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Digital Mindfulness Training for Burnout Reduction in Physicians:…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pilot (NCT06145425)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Leveraging digital therapeutics to improve physician sleep: a pilot…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implementation pilot (NCT05289596)</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 of an app-based health intervention on somatic symptoms among…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Single-group longitudinal pilot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Implementation and evaluation of a pain assessment app and novel…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Multiple-baseline design; units randomized to app feature sets; MBI analysed only as an association with website use, not compared by arm (full text)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Feasibility of a tailored, combined intervention with mind-body elements…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feasibility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Factors Contributing to Burnout and Well-Being in Physical Therapist…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Cross-sectional study of physical therapy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an Internet-Delivered Cognitive Behavioral Therapy-Based Sleep…</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Feasibility of RESTORE: An online Acceptance and Commitment Therapy…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feasibility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2024 National Nursing Workforce Survey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National workforce survey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multiple-baseline design evaluation of the feasibility of a brief…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Single-case design with three participants; no between-group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Implementation of hot debriefing in intensive care units through in-situ…</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Controlled before-and-after study, not randomized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pilot study of the Hopetimize program for pediatric oncology healthcare…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pilot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Gamified Wellness Program is Associated With Reduced Emotional…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Participants randomized to teams; no control arm or between-group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brief acceptance and commitment intervention for work-related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Single-case experimental design with four participants; no between-group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R266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Stress first aid for the harm reduction workforce: pilot test results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Pilot with a convenience sample; no randomized comparison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R267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 of remote scribes on primary care physicians' wellness, EHR…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Pre-post non-randomized controlled evaluation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App-Delivered Mindfulness Meditation on Functional…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Physician assistant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Evaluation of an App-Delivered Psychological Flexibility Skill Training…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group-focused rational emotive behavior coaching for management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Undergraduate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R030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 They're not just little doctors! Impact of an online…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R040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Optimizing the Work of Learning for Flourishing: A Randomized Pilot Study…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Brief Online Program Integrating Mindfulness and Stretching Exercises:…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Undergraduate health-sciences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Pilot Randomized Controlled Trial of a Single-Session Intervention to…</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Doctoral psychology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alternative terminology for depression on help-seeking…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General-public online panel (vignette experiment)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Evidence-Based Resilience Intervention for Nursing Students: a Randomized…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Nursing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An Online Intervention Increases Empathy, Resilience, and Work Engagement…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Physical therapy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a Brief Intervention Program on Burnout among Medical Students…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R122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Happier Healers: Randomized Controlled Trial of Mobile Mindfulness for…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R123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Evaluating the effects of a mindfulness mobile application on student…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Pharmacy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2008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web-based self-help intervention for symptoms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General-public sample recruited through mass media; employment not an inclusion criterion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Internet-Based Cognitive Behavioral Therapy for Chronic Stress: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Clinical sample recruited on symptom level (NCT02540317)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a Nonguided Mindfulness App on Perceived Stress in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General-population sample (NCT05246800)</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Delivering Biopsychosocial Health Care Within Routine Care: Spotlight-AQ…</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Patients randomized; clinician burnout not a randomized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2006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Internet-based rehabilitation for individuals with chronic pain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People on long-term sick leave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Ally – a conversational AI–based mobile app for stress prevention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 adult population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How to Design Serendipity for Burnout Mitigation? A Serendipity-Oriented…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Users of an online dating platform</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pilot randomized controlled trial of distance laughter therapy for…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Mothers, not a working population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Nature Sports Program on Burnout Among Nursing…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Nursing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Economic evaluation of remote monitoring for implantable cardiac devices:…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Patients with cardiac devices; economic evaluation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mixed-methods study of provider perspectives on My Birth Control: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Patients and providers evaluating a decision tool; not a burnout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Hashtag burnout? A control experiment investigating how political…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General-public experiment on news reactions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R244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Heartfulness Meditation on Stress Biomarkers, Burnout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Participants aged 18-24 years with perceived stress; not a working population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pilot study investigating the efficacy of brief, phone-based,…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Doctoral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Hypnotic tape intervention ameliorates stress: a randomized, control study.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Volunteers from mixed groups; not a working population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R263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Effects of building resilience skills among undergraduate medical…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Undergraduate 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Toward fostering resilience on a large scale: Connecting communities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Mothers at risk of stress in a community programme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clinical trial of cognitive behavioral interventions for social media…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University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Metabolic and Psychological Effects of Mylife CamAPS FX Hybrid…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Adults with type 1 diabetes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AI-Generated Feedback on Dental Student Performance in…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Dental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Pilot Randomized Controlled Clinical Trial to Improve Adherence…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Adolescents with type 1 diabetes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 of hospital preparatory education on parents: A randomised…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Parents of hospitalised children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Parent-Child Interaction Therapy-Based Trauma-Focused…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Trauma-exposed children and their parents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R280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Improvement of the management of mental well-being and empathy in Chinese…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R281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Evaluation of a Pre-clinic Diabetes Assessment and Mapped Care Planning…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Patients with diabetes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R282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Pilot Study Examining Biofeedback and Structured Napping to Promote…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R283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Tiny Habits&lt;sup&gt;®&lt;/sup&gt; for Gratitude-Implications for Healthcare…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Health professionals and students in an uncontrolled gratitude pilot; burnout not an outcome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R286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randomised trial of a psychosocial intervention for cancer patients…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Cancer patients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Evaluation of a Positive Psychological Intervention to Reduce Work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Residential workshop plus voice-telephone coaching; no digital component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impact of need-based care on formal caregivers' wellbeing in nursing…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Care-delivery model in nursing homes; only outcome questionnaires were digital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Effects of a Mindfulness-Based Intervention for Teachers: a Study 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 digital delivery reported (keyword match came from publisher boilerplate 'online version')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R084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[Mindfulness for medical, surgical and psychiatric residents].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MBSR course; only questionnaires administered online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R088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Coaching for workers with chronic illness: Evaluating an intervention.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Voice-telephone coaching; only surveys online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a Professional Coaching Intervention on the Well-being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Coaching delivered by voice telephone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ClassPass Memberships to Improve Well-Being Among Psychiatry Residents: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Commercial fitness platform used through a mobile app to book mostly in-person classes and gym visits; no digitally delivered intervention content reported (full text)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Prescribed and Self-Selected Music Interventions on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Digital delivery not described; wearables used for assessment only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in the emergency department: Randomized controlled trial of an…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training; app and wearable used only to monitor practice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a Stress Reduction and Burnout Prevention Program.</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health-resort programme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stretching program on anxiety levels of workers in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stretching programme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Montessori Impacts on Long-term Care Staff: Results of a Stepped-Wedge…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Montessori training; online surveys only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multisite feasibility randomized clinical trial of mindfulness-based…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mindfulness training; burnout only in the background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Telephone coaching for the prevention of depression in farmers: Results…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Voice telephone coaching</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multimodal stress-prevention program supplemented by telephone-coaching…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12-day programme with telephone coaching</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Authentic Connections Groups: A Pilot Test of an Intervention Aimed at…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Group sessions; digital delivery not stated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DEEP SELF-REGULATION METHOD: A HYPNOTHERAPEUTICAL AND COACHING APPROACH…</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Hypnotherapy and coaching modules; digital delivery not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Mindfulness meditation and its impact on nurses' professional quality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Eight-session mindfulness training; no digital delivery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R240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efficacy of an integrated empowerment and narrative nursing program…</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Empowerment education and narrative nursing sessions; no digital delivery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R241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Positive communication for decreasing burnout in intensive-care-unit…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Posters, greetings and message boxes; email nudges were a minor component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R249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Brief mindful coloring for stress reduction in nurses working in a Hong…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Mandala colouring; a three-minute instructional video was the only digital element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Effects of Acupuncture and Acupressure on Burnout in Health Care Workers:…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Acupuncture and acupressure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Humanism and professionalism training for pediatric hematology-oncology…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curriculum in fellowship programmes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2017</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role of massage in reducing the risk of burnout in employees of large…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Massage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Improving the workplace reduces physician burnout.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Organisational workplace intervention; no digital delivery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2009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enhanced resources on anticipatory stress and adjustment to new…</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resource workshop; new information technology was the stressor, not the intervention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R260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2006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Interventions to reduce back pain in rehabilitation hospital nursing staff.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Ergonomic and back-care interventions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R261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2004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An occupational health intervention programme for workers at risk for…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Occupational-physician programme; no digital delivery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R269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Evaluation of a Yoga-Based Mind-Body Intervention for Resident…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yoga-based programme; virtual delivery only proposed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Teacher Training Can Make a Difference: Tools to Overcome the Impact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Teacher-training programme; digital delivery not described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R285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effects of a workplace intervention on employees' cortisol awakening…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Workplace work-family intervention; no digital delivery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R016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Effects of a combined nature-based and audio-based virtual mindfulness…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perceived stress, well-being;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Should Mindfulness for Health Care Workers Go Virtual?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anxiety ratings, heart-rate variability;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 Waitlist-Controlled Trial of a Virtual Reality Intervention…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professional commitment, resilience, coping;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Four-Week Online Compassion and Gratitude Training Programme to Enhance…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 emotional intelligence;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R031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Resilience as a Mediator in a Web-Based Intervention (MINDxYOU) to Reduce…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stress, anxiety, depression, somatization, process variables;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Risk of Secondary Traumatic Stress in Treating Traumatized Military…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analysed as a risk factor, not as an intervention outcome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Investigating the impact of the RENEW program on enhancing nurses'…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resilience, psychological distress;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Reducing nurses' stress: A randomized controlled trial of a web-based…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nursing stress and related measures;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Nurse leader well-being: Optimizing sleep with a randomized pilot study…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sleep, insomnia, resilience;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 controlled trial investigating digital resilience training…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resilience, work engagement, intention to leave;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Resilience Among Healthcare Staff: A Randomized Controlled Trial of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resilience, perceived stress;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Effects of mindfulness-based stress reduction on ICU nurses' resilience…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resilience, well-being;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tailored online mindfulness intervention for junior doctors: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mindfulness, stress, self-compassion, occupational stress, engagement;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Head start staff well-being: early impact results from a cluster…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outcome not reported; full text not openly accessible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Evaluation of the Online Sport-Specific Mindfulemotions Program in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outcome not reported (mindfulness, self-compassion only)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Evaluating a Digital Mindful Self-Compassion Intervention to Reduce…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Compassion-fatigue composite only; burnout subscale not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Efficacy of an Online Mindfulness Training to Improve Well-Being in K-12…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well-being, mindfulness skills;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Mental and physical training with meditation and aerobic exercise…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ProQOL burnout subscale administered but not analysed or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Design and Implementation of a Brief Digital Mindfulness and Compassion…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self-compassion, mindfulness, EEG;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R132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Impact of Loving-Kindness Meditation on Compassion Fatigue of Nurses…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Compassion-fatigue inventory only;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Precision targeting of teacher burnout using network-informed ecological…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dimensions used only as nodes of an EMA network index</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Randomized Controlled Trial of a Web-Based Intervention to Disseminate…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 was guideline familiarity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an ambient digital scribe on typing and note quality: the…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typing workload and note quality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a serious game to enhance empathy for care workers…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empathy and personal distress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WeChat-based 'three good things' on turnover intention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turnover intention and coping style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WeChat-based "Three Good Things" positive psychotherapy for the…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job performance and self-efficacy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Virtual reality during work breaks to reduce fatigue of intensive unit…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stress, anxiety and fatigue during breaks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Adaptive Neurostimulation Methods in Correcting Posttraumatic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stress-state indicators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Just-in-Time Teaching (JiTT) Screencasts: A Randomized Controlled Trial…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 was clinical confidence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Physician well-being during COVID-19: results from a randomized trial…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well-being, happiness and anxiety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Applying A/B Testing to Clinical Decision Support: Rapid Randomized…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A/B testing of clinical decision-support alerts; outcomes are alert metrics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R242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An adaptive simulation intervention decreases emergency physician…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heart-rate variability and anxiety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Compassion Satisfaction and Burnout Are Related to Psychiatric Nurses'…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used only as a correlate of antipathy scores, not as an outcome of the randomized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R268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Heartfulness meditation improves loneliness and sleep in physicians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loneliness and sleep</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2017</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Comparing two types of perspective taking as strategies for detecting…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accuracy of identifying parents' feelings and clinician distress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Feasibility of Using Communication Coaching to Teach Palliative Care…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motivational-interviewing behaviours</w:t>
            </w:r>
          </w:p>
        </w:tc>
      </w:tr>
      <w:tr>
        <w:tc>
          <w:tcPr>
            <w:tcW w:type="dxa" w:w="655"/>
            <w:tcBorders>
              <w:top w:val="single" w:color="808080" w:sz="4"/>
              <w:left w:val="none" w:color="FFFFFF" w:sz="0"/>
              <w:bottom w:val="none" w:color="FFFFFF" w:sz="0"/>
              <w:right w:val="none" w:color="FFFFFF" w:sz="0"/>
            </w:tcBorders>
          </w:tcPr>
          <w:p/>
        </w:tc>
        <w:tc>
          <w:tcPr>
            <w:tcW w:type="dxa" w:w="749"/>
            <w:tcBorders>
              <w:top w:val="single" w:color="808080" w:sz="4"/>
              <w:left w:val="none" w:color="FFFFFF" w:sz="0"/>
              <w:bottom w:val="none" w:color="FFFFFF" w:sz="0"/>
              <w:right w:val="none" w:color="FFFFFF" w:sz="0"/>
            </w:tcBorders>
          </w:tcPr>
          <w:p/>
        </w:tc>
        <w:tc>
          <w:tcPr>
            <w:tcW w:type="dxa" w:w="562"/>
            <w:tcBorders>
              <w:top w:val="single" w:color="808080" w:sz="4"/>
              <w:left w:val="none" w:color="FFFFFF" w:sz="0"/>
              <w:bottom w:val="none" w:color="FFFFFF" w:sz="0"/>
              <w:right w:val="none" w:color="FFFFFF" w:sz="0"/>
            </w:tcBorders>
          </w:tcPr>
          <w:p/>
        </w:tc>
        <w:tc>
          <w:tcPr>
            <w:tcW w:type="dxa" w:w="3463"/>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2434"/>
            <w:tcBorders>
              <w:top w:val="single" w:color="808080" w:sz="4"/>
              <w:left w:val="none" w:color="FFFFFF" w:sz="0"/>
              <w:bottom w:val="none" w:color="FFFFFF" w:sz="0"/>
              <w:right w:val="none" w:color="FFFFFF" w:sz="0"/>
            </w:tcBorders>
          </w:tcPr>
          <w:p/>
        </w:tc>
      </w:tr>
    </w:tbl>
    <w:p>
      <w:r>
        <w:br w:type="page"/>
      </w:r>
    </w:p>
    <w:p>
      <w:pPr>
        <w:pStyle w:val="Heading1"/>
        <w:spacing w:after="180" w:before="360"/>
      </w:pPr>
      <w:r>
        <w:rPr>
          <w:rFonts w:ascii="Times New Roman" w:cs="Times New Roman" w:eastAsia="Times New Roman" w:hAnsi="Times New Roman"/>
          <w:b/>
          <w:bCs/>
          <w:sz w:val="28"/>
          <w:szCs w:val="28"/>
        </w:rPr>
        <w:t xml:space="preserve">Appendix C. Included trials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749"/>
        <w:gridCol w:w="468"/>
        <w:gridCol w:w="2808"/>
        <w:gridCol w:w="936"/>
        <w:gridCol w:w="749"/>
        <w:gridCol w:w="1123"/>
        <w:gridCol w:w="655"/>
        <w:gridCol w:w="655"/>
        <w:gridCol w:w="655"/>
      </w:tblGrid>
      <w:tr>
        <w:trPr>
          <w:tblHeader/>
        </w:trPr>
        <w:tc>
          <w:tcPr>
            <w:tcW w:type="dxa" w:w="56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Study</w:t>
            </w:r>
          </w:p>
        </w:tc>
        <w:tc>
          <w:tcPr>
            <w:tcW w:type="dxa" w:w="74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Reports</w:t>
            </w:r>
          </w:p>
        </w:tc>
        <w:tc>
          <w:tcPr>
            <w:tcW w:type="dxa" w:w="46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Year</w:t>
            </w:r>
          </w:p>
        </w:tc>
        <w:tc>
          <w:tcPr>
            <w:tcW w:type="dxa" w:w="280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Title</w:t>
            </w:r>
          </w:p>
        </w:tc>
        <w:tc>
          <w:tcPr>
            <w:tcW w:type="dxa" w:w="936"/>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Occupation</w:t>
            </w:r>
          </w:p>
        </w:tc>
        <w:tc>
          <w:tcPr>
            <w:tcW w:type="dxa" w:w="74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Delivery</w:t>
            </w:r>
          </w:p>
        </w:tc>
        <w:tc>
          <w:tcPr>
            <w:tcW w:type="dxa" w:w="1123"/>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Approach or mechanism</w:t>
            </w:r>
          </w:p>
        </w:tc>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Comparator</w:t>
            </w:r>
          </w:p>
        </w:tc>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Burnout measure</w:t>
            </w:r>
          </w:p>
        </w:tc>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n</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Feasibility and acceptability of a culturally adapted psychological first aid training…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96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Digital Mental Health Screening Alone and With the Online MINDBODYSTRONG…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Single-item†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501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mHealth aided 12-week meditation and breath intervention on change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98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 Care Workers' Need for Headspace: Findings From a Multisite Definitive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2182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Feasibility, acceptability, and efficacy of a positive emotion regulation intervention…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554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Mindfulness-Based Intervention for the Reduction of Compassion Fatigue and Burnout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Minimal Individual or Group Enhancement in an eHealth Program on Mental…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Feasibility, acceptability and preliminary efficacy of a mental health self-management…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an Internet-Based Acceptance and Commitment Therapy Intervention for…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Hybrid Delivery of Mindfulness Meditation and Perceived Stress in Pediatric Resident…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a mindfulness- and compassion-based online intervention for physician…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474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Improving employees' work-related well-being and physical health through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Wearable/motion</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Resilience Training for Work-Related Stress Among Health Care Workers: Results of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Alleviating Nurse Burnout With an Artificial Intelligence-Selected Mobile Cognitive…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Harness your best self! Testing the feasibility and efficacy of a novel strengths-based…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BAT†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Mobile Phone-Based Intervention to Reduce Mental Health Problems in Health Care…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R025, R091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Web-Based Mindfulness Stress Management Program in a Corporate Call Center: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a Web-Based Stress Management Intervention for Beginning Teachers 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a chatbot in improving the mental wellbeing of health workers in Malawi…</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Chatbot</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1584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 of Emotional Freedom Techniques on nurses' stress, anxiety, and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Turkish Burnout Scale†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a brief psychological intervention to reduce distress in healthcare workers…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Exploring the feasibility of a web-based positive psychology program among…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 of Inner Engineering Online (IEO) Program on Reducing Stress for Information…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Mobile-Delivered Exercise and Yoga Programs on Depressive Symptom…</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Wearable/motion</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 controlled trial of job crafting as a digital health intervention for…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135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Work-Focused Versus Generic Internet-Based Interventions for Employees With…</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Developing Self-Compassion in Healthcare Professionals Utilising a Brief Online…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190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Digital health interventions for occupational burnout in healthcare professionals: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465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Resource-Based Internet Intervention (Med-Stress) to Improve Well-Being Among Medical…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1240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a Workplace Intervention Program With Web-Based Online and Offline…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456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a Novel Online Group-Coaching Program to Reduce Burnout in Female Resident…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Randomized Controlled Feasibility Study to Evaluate the Online Delivery of…</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2009</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randomized trial comparing two models of web-based training in cognitive-behavioral…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Self-paced acceptance and commitment training reduces burden transfer, stress,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effects of mindfulness meditation on burnout in clinical genetic counselors: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397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'Dear Doctor': a randomised controlled trial of a text message intervention to reduce…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279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Sudarshan Kriya Yoga Breathing and a Meditation Program for Burnout Among Physicians: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Impact of an Online Group-Coaching Program on Ambulatory Faculty Physician Well-Being: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Internet-based stress management for distressed managers: results from a randomised…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Smartphone App to Reduce Burnout in the Emergency Department: A Pilot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Well-Being Group Coaching Program for Women Physician Trainees: A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Selective Prevention of Depression in Workers Using a Smartphone App: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2084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mobile mindfulness on emergency department work stress: A randomised…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AI-Assisted Tailored Intervention for Nurse Burnout: A Three-Group Randomized Controlled…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R076, R080, R136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 controlled trial of the "WISER" intervention to reduce healthcare worker…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481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 controlled trial of emotion-focused training for helping professionals.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Intervention for job burnout reduction among a sample of Nigerian lecturers.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Digital Meditation to Target Employee Stress: A Randomized Clinical Trial.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1458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Personalised yoga for burnout and traumatic stress in junior doctors.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preliminary comparison of the efficacy of online Acceptance and Commitment Therapy…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Mindfulness-Based Cognitive Therapy (MBCT) Intervention to Improve Resilience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Effectiveness of an Online Positive Psychology Intervention among Healthcare…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Mindfulness-Based Social Work and Self-Care with Social Work Professionals: Replication…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randomized, controlled study of an online intervention to promote job satisfaction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290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Satisfying students' psychological needs in the classroom: Benefits of an online…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expressive writing as a tool for alleviating burnout and enhancing wellbeing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online content-focused coaching on reducing the risk of professional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Evaluating an online four-session loving-kindness and compassion meditation training 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R101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 of a gratitude program on job stress &amp; burnout in Esfahan prehospital…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R105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Randomized Controlled Trial of a Longitudinal Mindfulness Intervention to Decrease…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R109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AIZEN Digital Meditation Intervention for Caregiver Burnout in Taiwan—A Pilot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Improving Teacher Wellbeing: A Randomized Pilot Study of an Online Self-Guided Single…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Healing the healers: A pilot randomised controlled trial to assess the effectiveness of…</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an internet-based problem-solving training for teachers: results of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150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Comparing the effectiveness of two mobile cognitive behavioral interventions for…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and Mechanisms of a Web- and Mobile-Based Acceptance and Commitment Therapy…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randomised trial of Mindfulness-based Social Work and Self-Care with social workers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the mobile application Holidaily in reducing work-related rumination…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190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Learning how to recover from stress: Results from an internet-based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Mobile Mindfulness for Psychological Distress and Burnout among Frontline COVID-19…</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impact of an online stress intervention on burnout and teacher efficacy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an eHealth Intervention to Reduce Sickness Absence Frequency Among Employees…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feedback or navigation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UBOS†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effects of online support program for nurses with COVID-19 patients on the…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vs. face-to-face laughter yoga to support nurses' well-being: A pilot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Self-care for teachers-evaluation of the effects of a prevention and health-promoting…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Investigating a brief intervention to instill a self-compassionate perspective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Reducing intrusive memories after trauma via an imagery-competing task intervention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SWEBO†</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 trial of personalized psychological feedback from a longitudinal online…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feedback or navigation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538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Does a phone-based meditation application improve mental wellness in emergency medicine…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12 Weeks of At-Home, Application-Based Exercise on Health Care Workers'…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288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 self-compassion training reduces stress and burnout symptoms among practicing…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Digital Engagement Strategy and Health Care Worker Mental Health: A Randomized Clinical…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feedback or navigation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1275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 Applications: Can They Serve as a Stress, Anxiety, and Burnout Reduction…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helpers' stress: Effectiveness of a web-based intervention for professionals working…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Well-Being Outcomes of Health Care Workers after a 5-Hour Continuing Education…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Burnout Prevention and Mobile Mindfulness: Evaluation of an App-Based Health Training…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306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Optimizing Intervention Components of a Preventive Stress Management mHealth…</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297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R170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Pragmatic Parental Support to Mitigate Burnout Among Pregnant and Postpartum Trainees: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workplace or practical support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156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R172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 of a trauma-informed care video training program for midwives: A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R177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Ambient AI Scribes in Clinical Practice: A Randomized Trial.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 scribe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workflow automation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238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Feasibility and Impact of an Asynchronous Interprofessional Well-Being Course 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Influence of Artificial Intelligence Scribes on Clinician Experience and Efficiency…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 scribe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workflow automation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Single-item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Mitigating the stress of transition: An exploration of the effects and effectiveness of…</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Serial Anthropometric Measurements and Motivational Text Messages on Weight…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Use of Online Physician Training Can Improve Patient Experience and Physician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‘Interapy’ Burn-out: Prävention und Behandlung von Burn-out über das Internet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133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Preschool teachers’ self-efficacy, burnout, and stress in online professional…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Is it Too Optimistic to Assume Light Touch Interventions can Improve Educational…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1155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Burnout Symptoms among Millennial Teachers in India: The Efficacy of the Emotional…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R200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Cellphone text messages that disclose secondary emotions reduce burnout in emotional…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Japanese Burnout Scale†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R204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Wearable Biosensor Monitoring, Machine Learning–Based Burnout Risk Prediction,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Wearable/motion</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feedback or navigation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218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R215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An acceptance and commitment training program reduces burden transfer, stress,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R216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tele-yoga on burnout, mental health and immune markers of health care workers…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90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R221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STOPTHEBURN: A Randomized Controlled Trial of Death Cafés for Burnout Prevention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R225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Smartwatch Use and Physician Well-Being A Randomized Clinical Trial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Wearable/motion</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feedback or navigation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184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R230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2008</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Increasing oncologists' skills in eliciting and responding to emotional cues: Evaluation…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R234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training and financial incentives for teachers: Evidence from Bangladesh</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1598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R239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Comparing ambient scribes: a randomized crossover clinical trial addressing ambient…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 scribe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workflow automation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R243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Recruitment, retention and recouperation: lessons learned from a study aimed at…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R246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Impact of Loving-Kindness Meditation on Job-Related Burnout of Nurses Working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R247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Impact of heartfulness meditation practice compared to the gratitude practices 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R248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 Program to Address Burnout, Well-being, and Professional Development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R251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Impact of a Virtual Professional Development Coaching Program on the Professional…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237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R262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Professional Coaching to Reduce Physician Burnout: A Randomized Clinical Trial.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R264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Leadership Coaching as an Implementation Strategy to Enhance Adoption of a Relational…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R265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a mindfulness-based cognitive behavior therapy intervention on occupational…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218</w:t>
            </w:r>
          </w:p>
        </w:tc>
      </w:tr>
      <w:tr>
        <w:tc>
          <w:tcPr>
            <w:tcW w:type="dxa" w:w="562"/>
            <w:tcBorders>
              <w:top w:val="single" w:color="808080" w:sz="4"/>
              <w:left w:val="none" w:color="FFFFFF" w:sz="0"/>
              <w:bottom w:val="none" w:color="FFFFFF" w:sz="0"/>
              <w:right w:val="none" w:color="FFFFFF" w:sz="0"/>
            </w:tcBorders>
          </w:tcPr>
          <w:p/>
        </w:tc>
        <w:tc>
          <w:tcPr>
            <w:tcW w:type="dxa" w:w="749"/>
            <w:tcBorders>
              <w:top w:val="single" w:color="808080" w:sz="4"/>
              <w:left w:val="none" w:color="FFFFFF" w:sz="0"/>
              <w:bottom w:val="none" w:color="FFFFFF" w:sz="0"/>
              <w:right w:val="none" w:color="FFFFFF" w:sz="0"/>
            </w:tcBorders>
          </w:tcPr>
          <w:p/>
        </w:tc>
        <w:tc>
          <w:tcPr>
            <w:tcW w:type="dxa" w:w="468"/>
            <w:tcBorders>
              <w:top w:val="single" w:color="808080" w:sz="4"/>
              <w:left w:val="none" w:color="FFFFFF" w:sz="0"/>
              <w:bottom w:val="none" w:color="FFFFFF" w:sz="0"/>
              <w:right w:val="none" w:color="FFFFFF" w:sz="0"/>
            </w:tcBorders>
          </w:tcPr>
          <w:p/>
        </w:tc>
        <w:tc>
          <w:tcPr>
            <w:tcW w:type="dxa" w:w="2808"/>
            <w:tcBorders>
              <w:top w:val="single" w:color="808080" w:sz="4"/>
              <w:left w:val="none" w:color="FFFFFF" w:sz="0"/>
              <w:bottom w:val="none" w:color="FFFFFF" w:sz="0"/>
              <w:right w:val="none" w:color="FFFFFF" w:sz="0"/>
            </w:tcBorders>
          </w:tcPr>
          <w:p/>
        </w:tc>
        <w:tc>
          <w:tcPr>
            <w:tcW w:type="dxa" w:w="936"/>
            <w:tcBorders>
              <w:top w:val="single" w:color="808080" w:sz="4"/>
              <w:left w:val="none" w:color="FFFFFF" w:sz="0"/>
              <w:bottom w:val="none" w:color="FFFFFF" w:sz="0"/>
              <w:right w:val="none" w:color="FFFFFF" w:sz="0"/>
            </w:tcBorders>
          </w:tcPr>
          <w:p/>
        </w:tc>
        <w:tc>
          <w:tcPr>
            <w:tcW w:type="dxa" w:w="749"/>
            <w:tcBorders>
              <w:top w:val="single" w:color="808080" w:sz="4"/>
              <w:left w:val="none" w:color="FFFFFF" w:sz="0"/>
              <w:bottom w:val="none" w:color="FFFFFF" w:sz="0"/>
              <w:right w:val="none" w:color="FFFFFF" w:sz="0"/>
            </w:tcBorders>
          </w:tcPr>
          <w:p/>
        </w:tc>
        <w:tc>
          <w:tcPr>
            <w:tcW w:type="dxa" w:w="1123"/>
            <w:tcBorders>
              <w:top w:val="single" w:color="808080" w:sz="4"/>
              <w:left w:val="none" w:color="FFFFFF" w:sz="0"/>
              <w:bottom w:val="none" w:color="FFFFFF" w:sz="0"/>
              <w:right w:val="none" w:color="FFFFFF" w:sz="0"/>
            </w:tcBorders>
          </w:tcPr>
          <w:p/>
        </w:tc>
        <w:tc>
          <w:tcPr>
            <w:tcW w:type="dxa" w:w="655"/>
            <w:tcBorders>
              <w:top w:val="single" w:color="808080" w:sz="4"/>
              <w:left w:val="none" w:color="FFFFFF" w:sz="0"/>
              <w:bottom w:val="none" w:color="FFFFFF" w:sz="0"/>
              <w:right w:val="none" w:color="FFFFFF" w:sz="0"/>
            </w:tcBorders>
          </w:tcPr>
          <w:p/>
        </w:tc>
        <w:tc>
          <w:tcPr>
            <w:tcW w:type="dxa" w:w="655"/>
            <w:tcBorders>
              <w:top w:val="single" w:color="808080" w:sz="4"/>
              <w:left w:val="none" w:color="FFFFFF" w:sz="0"/>
              <w:bottom w:val="none" w:color="FFFFFF" w:sz="0"/>
              <w:right w:val="none" w:color="FFFFFF" w:sz="0"/>
            </w:tcBorders>
          </w:tcPr>
          <w:p/>
        </w:tc>
        <w:tc>
          <w:tcPr>
            <w:tcW w:type="dxa" w:w="655"/>
            <w:tcBorders>
              <w:top w:val="single" w:color="808080" w:sz="4"/>
              <w:left w:val="none" w:color="FFFFFF" w:sz="0"/>
              <w:bottom w:val="none" w:color="FFFFFF" w:sz="0"/>
              <w:right w:val="none" w:color="FFFFFF" w:sz="0"/>
            </w:tcBorders>
          </w:tcPr>
          <w:p/>
        </w:tc>
      </w:tr>
    </w:tbl>
    <w:p>
      <w:pPr>
        <w:spacing w:after="240" w:before="60"/>
      </w:pPr>
      <w:r>
        <w:rPr>
          <w:rFonts w:ascii="Times New Roman" w:cs="Times New Roman" w:eastAsia="Times New Roman" w:hAnsi="Times New Roman"/>
          <w:sz w:val="18"/>
          <w:szCs w:val="18"/>
        </w:rPr>
        <w:t xml:space="preserve">Burnout measure: instrument named in the abstract, or, marked †, identified from the full text (— not determined). n: participants randomized or, where only that was reported, analysed (NR, not reported). DOIs and full titles are given in study_charting.csv.</w:t>
      </w:r>
    </w:p>
    <w:p>
      <w:r>
        <w:br w:type="page"/>
      </w:r>
    </w:p>
    <w:p>
      <w:pPr>
        <w:pStyle w:val="Heading1"/>
        <w:spacing w:after="180" w:before="360"/>
      </w:pPr>
      <w:r>
        <w:rPr>
          <w:rFonts w:ascii="Times New Roman" w:cs="Times New Roman" w:eastAsia="Times New Roman" w:hAnsi="Times New Roman"/>
          <w:b/>
          <w:bCs/>
          <w:sz w:val="28"/>
          <w:szCs w:val="28"/>
        </w:rPr>
        <w:t xml:space="preserve">Appendix D. Completed registrations on ClinicalTrials.gov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527"/>
        <w:gridCol w:w="936"/>
        <w:gridCol w:w="842"/>
        <w:gridCol w:w="655"/>
        <w:gridCol w:w="1498"/>
        <w:gridCol w:w="1872"/>
      </w:tblGrid>
      <w:tr>
        <w:trPr>
          <w:tblHeader/>
        </w:trPr>
        <w:tc>
          <w:tcPr>
            <w:tcW w:type="dxa" w:w="103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Registration</w:t>
            </w:r>
          </w:p>
        </w:tc>
        <w:tc>
          <w:tcPr>
            <w:tcW w:type="dxa" w:w="2527"/>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Title</w:t>
            </w:r>
          </w:p>
        </w:tc>
        <w:tc>
          <w:tcPr>
            <w:tcW w:type="dxa" w:w="936"/>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Allocation</w:t>
            </w:r>
          </w:p>
        </w:tc>
        <w:tc>
          <w:tcPr>
            <w:tcW w:type="dxa" w:w="84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Completion</w:t>
            </w:r>
          </w:p>
        </w:tc>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Enrolled</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Status</w:t>
            </w:r>
          </w:p>
        </w:tc>
        <w:tc>
          <w:tcPr>
            <w:tcW w:type="dxa" w:w="187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Note</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NCT04897165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Resilience Training for Work-related Stress in Employees and the…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2016-12-19</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90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published (10.1007/s10484-024-09671-0; R007) without randomized allocation</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NCT02540317</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Internet-based Cognitive Behavior Therapy for Stress Disorders: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2017-10-01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published outside review scope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published (10.1159/000490742) in a clinical sample recruited on chronic stress, not on occupation</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NCT04137081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Unwinding Physician Anxiety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2018-08-28</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NCT05246800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Effectiveness of a Mindfulness Application on Perceived Stess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2019-01-01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587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published outside review scope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published (10.2196/32123) in a non-clinical general-population sample</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NCT03753360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Mindfulness Program for Stress Management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2019-04-15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NCT02603133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Web-based Implementation for the Science of Enhancing Resilience Study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2019-07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2650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S045 (R076; R080; R136)</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NCT03475290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Internet-Based Intervention for Occupational Stress Among Medical…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2020-04-15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1240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S029 (R045)</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NCT04126564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Inner Engineering Online (IEO) Intervention for a Specific Company…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2020-06-07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S023 (R038)</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NCT04393818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Mobile Phone Based Intervention to Protect Mental Health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2020-08-24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560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S016 (R023)</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NCT04719351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Use of a Mobile Application to Reduce Work-related Stress…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2021-06-14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330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S086 (R146)</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NCT04816708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Self-directed Mobile Mindfulness Intervention to Address Distress…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2022-02-04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S069 (R125)</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NCT04462484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Self-care Training Program (MAGO Study)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2022-02-13</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74</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NCT05343208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Online Therapy to Prevent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2022-04-04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NCT05085132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An Efficacy Trial of the MindFi App for Stress, Well-being,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2022-05-31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192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NCT05289596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Sleep Well: Digital Insomnia Treatment Program For Physicians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2022-07-31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NCT05036356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Burnout Reduction and Engagement App-based Trial of Headspace…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2022-08-05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66</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NCT05474807</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Internet-delivered Strengths Use Intervention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2022-12-27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NCT05280964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Better Together: an Online Physician Coaching Program for Medical…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2023-01-01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S031 (R047)</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NCT04958941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CUIDA-TE, an APP for the Emotional Management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2023-07-31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340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Protocol published (10.1186/s12888-022-03800-x); no results report located</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NCT05779501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Internet-delivered Strengths Use Intervention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2023-08-15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NCT06376825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Efficacy and Acceptability of an Internet-Based Self-Help…</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2024-06-15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NCT05998161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Evaluating the Effectiveness of a Digital Therapeutic (Reviga) for…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2024-06-22</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290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Completed 2024 or later (follow-up window &lt; 2 years)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NCT06190353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Development, Acceptability and Preliminary Efficacy of an…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2024-08-11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Completed 2024 or later (follow-up window &lt; 2 years)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NCT06145425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Testing an Evidence-Based Program for Clinician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2024-10-14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106</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NCT06149156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Resident Well-being and Performance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2024-12-01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508</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Completed 2024 or later (follow-up window &lt; 2 years)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NCT07457801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CARE Study for Paramedics in Singapore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2025-06-30</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Completed 2024 or later (follow-up window &lt; 2 years)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NCT07474766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Digital Counseling Community for Burnout Prevention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2025-09-05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NCT05274529</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Personal Technology Driven Workplace Wellbeing…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2026-09-01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571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single" w:color="808080" w:sz="4"/>
              <w:left w:val="none" w:color="FFFFFF" w:sz="0"/>
              <w:bottom w:val="none" w:color="FFFFFF" w:sz="0"/>
              <w:right w:val="none" w:color="FFFFFF" w:sz="0"/>
            </w:tcBorders>
          </w:tcPr>
          <w:p/>
        </w:tc>
        <w:tc>
          <w:tcPr>
            <w:tcW w:type="dxa" w:w="2527"/>
            <w:tcBorders>
              <w:top w:val="single" w:color="808080" w:sz="4"/>
              <w:left w:val="none" w:color="FFFFFF" w:sz="0"/>
              <w:bottom w:val="none" w:color="FFFFFF" w:sz="0"/>
              <w:right w:val="none" w:color="FFFFFF" w:sz="0"/>
            </w:tcBorders>
          </w:tcPr>
          <w:p/>
        </w:tc>
        <w:tc>
          <w:tcPr>
            <w:tcW w:type="dxa" w:w="936"/>
            <w:tcBorders>
              <w:top w:val="single" w:color="808080" w:sz="4"/>
              <w:left w:val="none" w:color="FFFFFF" w:sz="0"/>
              <w:bottom w:val="none" w:color="FFFFFF" w:sz="0"/>
              <w:right w:val="none" w:color="FFFFFF" w:sz="0"/>
            </w:tcBorders>
          </w:tcPr>
          <w:p/>
        </w:tc>
        <w:tc>
          <w:tcPr>
            <w:tcW w:type="dxa" w:w="842"/>
            <w:tcBorders>
              <w:top w:val="single" w:color="808080" w:sz="4"/>
              <w:left w:val="none" w:color="FFFFFF" w:sz="0"/>
              <w:bottom w:val="none" w:color="FFFFFF" w:sz="0"/>
              <w:right w:val="none" w:color="FFFFFF" w:sz="0"/>
            </w:tcBorders>
          </w:tcPr>
          <w:p/>
        </w:tc>
        <w:tc>
          <w:tcPr>
            <w:tcW w:type="dxa" w:w="655"/>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872"/>
            <w:tcBorders>
              <w:top w:val="single" w:color="808080" w:sz="4"/>
              <w:left w:val="none" w:color="FFFFFF" w:sz="0"/>
              <w:bottom w:val="none" w:color="FFFFFF" w:sz="0"/>
              <w:right w:val="none" w:color="FFFFFF" w:sz="0"/>
            </w:tcBorders>
          </w:tcPr>
          <w:p/>
        </w:tc>
      </w:tr>
    </w:tbl>
    <w:p>
      <w:r>
        <w:br w:type="page"/>
      </w:r>
    </w:p>
    <w:p>
      <w:pPr>
        <w:pStyle w:val="Heading1"/>
        <w:spacing w:after="180" w:before="360"/>
      </w:pPr>
      <w:r>
        <w:rPr>
          <w:rFonts w:ascii="Times New Roman" w:cs="Times New Roman" w:eastAsia="Times New Roman" w:hAnsi="Times New Roman"/>
          <w:b/>
          <w:bCs/>
          <w:sz w:val="28"/>
          <w:szCs w:val="28"/>
        </w:rPr>
        <w:t xml:space="preserve">Appendix E. PRISMA-ScR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867"/>
        <w:gridCol w:w="3744"/>
      </w:tblGrid>
      <w:tr>
        <w:trPr>
          <w:tblHeader/>
        </w:trPr>
        <w:tc>
          <w:tcPr>
            <w:tcW w:type="dxa" w:w="74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t>
            </w:r>
          </w:p>
        </w:tc>
        <w:tc>
          <w:tcPr>
            <w:tcW w:type="dxa" w:w="4867"/>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Item</w:t>
            </w:r>
          </w:p>
        </w:tc>
        <w:tc>
          <w:tcPr>
            <w:tcW w:type="dxa" w:w="3744"/>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Reported in</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Title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Title page</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Structured summary</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Abstract</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Rationale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Objectives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1, final paragraph</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Protocol and registration</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Eligibility criteria</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2.2, Table 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7</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Information sources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2.3, Table 2</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8</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Search</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Appendix A</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Selection of sources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2.4</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Data charting process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Sections 2.5 and 2.8</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11</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Data items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12</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Critical appraisal of individual sources (optional)</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Not performed; Section 2.7</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13</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Synthesis of results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2.7</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Selection of sources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3.1, Figure 1, Appendix B</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Characteristics of sources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3.2, Table 3, Appendix C</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16</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Critical appraisal within sources (optional)</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Not performed</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Results of individual sources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Appendix C; study_charting.csv</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18</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Synthesis of results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Sections 3.3-3.7, Figures 2-3, Tables 4-5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19</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Summary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4.1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20</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Limitations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4.5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21</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Conclusions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22</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Funding</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Declarations</w:t>
            </w:r>
          </w:p>
        </w:tc>
      </w:tr>
      <w:tr>
        <w:tc>
          <w:tcPr>
            <w:tcW w:type="dxa" w:w="749"/>
            <w:tcBorders>
              <w:top w:val="single" w:color="808080" w:sz="4"/>
              <w:left w:val="none" w:color="FFFFFF" w:sz="0"/>
              <w:bottom w:val="none" w:color="FFFFFF" w:sz="0"/>
              <w:right w:val="none" w:color="FFFFFF" w:sz="0"/>
            </w:tcBorders>
          </w:tcPr>
          <w:p/>
        </w:tc>
        <w:tc>
          <w:tcPr>
            <w:tcW w:type="dxa" w:w="4867"/>
            <w:tcBorders>
              <w:top w:val="single" w:color="808080" w:sz="4"/>
              <w:left w:val="none" w:color="FFFFFF" w:sz="0"/>
              <w:bottom w:val="none" w:color="FFFFFF" w:sz="0"/>
              <w:right w:val="none" w:color="FFFFFF" w:sz="0"/>
            </w:tcBorders>
          </w:tcPr>
          <w:p/>
        </w:tc>
        <w:tc>
          <w:tcPr>
            <w:tcW w:type="dxa" w:w="3744"/>
            <w:tcBorders>
              <w:top w:val="single" w:color="808080" w:sz="4"/>
              <w:left w:val="none" w:color="FFFFFF" w:sz="0"/>
              <w:bottom w:val="none" w:color="FFFFFF" w:sz="0"/>
              <w:right w:val="none" w:color="FFFFFF" w:sz="0"/>
            </w:tcBorders>
          </w:tcPr>
          <w:p/>
        </w:tc>
      </w:tr>
    </w:tbl>
    <w:sectPr>
      <w:footerReference w:type="default" r:id="rId6"/>
      <w:pgSz w:w="11907" w:h="16840" w:orient="portrait"/>
      <w:pgMar w:top="1440" w:right="1300" w:bottom="1440" w:left="1300" w:header="708" w:footer="708" w:gutter="0"/>
      <w:lnNumType w:countBy="1" w:restart="continuous"/>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f3046cdb627e0f7aa4e83201fc59ab85a1560df8.png"/><Relationship Id="rId9" Type="http://schemas.openxmlformats.org/officeDocument/2006/relationships/image" Target="media/75f0ecf04785ad1a5e234c7ec0cf17e88fdd8c74.png"/><Relationship Id="rId10" Type="http://schemas.openxmlformats.org/officeDocument/2006/relationships/image" Target="media/251de720fadb246172477010bb6c7dd4d735497c.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Randomized Trials of Digital Interventions Reporting Occupational Burnout Outcomes: A Scoping Review and Evidence Map</dc:title>
  <dc:creator>Author</dc:creator>
  <cp:lastModifiedBy>Un-named</cp:lastModifiedBy>
  <cp:revision>1</cp:revision>
  <dcterms:created xsi:type="dcterms:W3CDTF">2026-09-29T14:02:54.248Z</dcterms:created>
  <dcterms:modified xsi:type="dcterms:W3CDTF">2026-09-29T14:02:54.248Z</dcterms:modified>
</cp:coreProperties>
</file>

<file path=docProps/custom.xml><?xml version="1.0" encoding="utf-8"?>
<Properties xmlns="http://schemas.openxmlformats.org/officeDocument/2006/custom-properties" xmlns:vt="http://schemas.openxmlformats.org/officeDocument/2006/docPropsVTypes"/>
</file>