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0"/>
          <w:szCs w:val="30"/>
        </w:rPr>
        <w:t xml:space="preserve">Response to the pre-submission review</w:t>
      </w:r>
    </w:p>
    <w:p>
      <w:pPr>
        <w:spacing w:after="240"/>
      </w:pPr>
      <w:r>
        <w:rPr>
          <w:rFonts w:ascii="Times New Roman" w:cs="Times New Roman" w:eastAsia="Times New Roman" w:hAnsi="Times New Roman"/>
          <w:b/>
          <w:bCs/>
          <w:sz w:val="24"/>
          <w:szCs w:val="24"/>
        </w:rPr>
        <w:t xml:space="preserve">Randomised Trials of Digital Interventions Reporting Occupational Burnout Outcomes: A Scoping Review and Evidence Map</w:t>
      </w:r>
    </w:p>
    <w:p>
      <w:pPr>
        <w:spacing w:after="120" w:line="290"/>
      </w:pPr>
      <w:r>
        <w:rPr>
          <w:rFonts w:ascii="Times New Roman" w:cs="Times New Roman" w:eastAsia="Times New Roman" w:hAnsi="Times New Roman"/>
          <w:sz w:val="21"/>
          <w:szCs w:val="21"/>
        </w:rPr>
        <w:t xml:space="preserve">The review's comments were addressed in the revised manuscript. The update search added three trials, the re-check of the burnout criterion one and the search for the publications of registered trials one, and reading a full text later removed one (S119, in which burnout was an inclusion condition and not an outcome), so the evidence base is now 117 trials in 120 reports (301 reports assessed; 4,991 records identified, 2,481 screened). Each row below states what was done, what was not, and where to find it. "Not done" and "partly done" mean that the manuscript says so openly.</w:t>
      </w:r>
    </w:p>
    <w:p>
      <w:pPr>
        <w:pStyle w:val="Heading1"/>
        <w:spacing w:after="120" w:before="280"/>
      </w:pPr>
      <w:r>
        <w:rPr>
          <w:rFonts w:ascii="Times New Roman" w:cs="Times New Roman" w:eastAsia="Times New Roman" w:hAnsi="Times New Roman"/>
          <w:b/>
          <w:bCs/>
          <w:sz w:val="26"/>
          <w:szCs w:val="26"/>
        </w:rPr>
        <w:t xml:space="preserve">Point-by-point response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4"/>
        <w:gridCol w:w="2020"/>
        <w:gridCol w:w="5253"/>
        <w:gridCol w:w="1414"/>
        <w:gridCol w:w="808"/>
      </w:tblGrid>
      <w:tr>
        <w:trPr>
          <w:tblHeader/>
        </w:trPr>
        <w:tc>
          <w:tcPr>
            <w:tcW w:type="dxa" w:w="404"/>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w:t>
            </w:r>
          </w:p>
        </w:tc>
        <w:tc>
          <w:tcPr>
            <w:tcW w:type="dxa" w:w="2020"/>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Comment (summary)</w:t>
            </w:r>
          </w:p>
        </w:tc>
        <w:tc>
          <w:tcPr>
            <w:tcW w:type="dxa" w:w="5253"/>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Response and action</w:t>
            </w:r>
          </w:p>
        </w:tc>
        <w:tc>
          <w:tcPr>
            <w:tcW w:type="dxa" w:w="1414"/>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Where</w:t>
            </w:r>
          </w:p>
        </w:tc>
        <w:tc>
          <w:tcPr>
            <w:tcW w:type="dxa" w:w="808"/>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Status</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Search strategy narrower than the eligibility criteria (intervention-type block).</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Agreed. The eligibility criteria admit any mechanism, so the four-block main strategy was too narrow. Earlier supplementary searches (no intervention block; MeSH; extra delivery terms) had reduced the gap. Now added: one unified strategy (burnout AND any digital-delivery term AND randomised design) on 18 October 2026 in Europe PMC and ERIC (all years), OpenAlex and PubMed (published from 1 September 2026): 585 records, 84 new, 12 assessed, 3 trials included (a speech-language pathologists' peer-support programme, a virtual-reality relaxation programme for ICU nurses, and a teachers' telementoring programme). Known-item check: a unified Europe PMC search alone retrieved 80 of the 120 included reports. Reference lists of five reviews (Yang, Park, Adam, Lampinen, Kunzler) were checked: 683 unidentified references screened on title, 22 abstracts read, no eligible trial. Publications of all six unlocated registrations were searched in Europe PMC (including full text) and PubMed. Counts, figures and tables were updated.</w:t>
            </w:r>
          </w:p>
          <w:p>
            <w:pPr>
              <w:spacing w:after="60"/>
            </w:pPr>
            <w:r>
              <w:rPr>
                <w:rFonts w:ascii="Times New Roman" w:cs="Times New Roman" w:eastAsia="Times New Roman" w:hAnsi="Times New Roman"/>
                <w:b w:val="false"/>
                <w:bCs w:val="false"/>
                <w:sz w:val="19"/>
                <w:szCs w:val="19"/>
              </w:rPr>
              <w:t xml:space="preserve">Still not possible: repeating the strategy in Web of Science and Scopus (no access), PsycINFO, Embase and CENTRAL (no access), review by an information specialist. They are stated as limitations.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2.3, 3.1, 4.4; Supplement S2, Appendix A, Table S2</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Appendix A gives abbreviated strings ("as for Web of Science", "the same four blocks").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Every database now has its full string, field and date. Strings for Europe PMC, OpenAlex, ERIC, PubMed and the update search are the strings stored with the retrieved records. The Web of Science and Scopus strings were entered by the author and were not archived verbatim; the author should compare them with the platforms' saved search histories.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Supplementary Appendix A</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3</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Selection and charting by a single reviewer with AI; checks on small samples; AI must not be presented as an independent second reviewer.</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AI assistant is described as first reviewer, not independent of the author's direction, and the roles are separated: rule-based classifier (could only exclude), assistant (read the remaining records, proposed decisions and codes), author (decided borderline reports, obtained full texts, completed the blind and verification samples). The two quality controls are reported separately (30 reports: 80% agreement, kappa 0.60; abstract-level coding, 23 trials: 74% agreement on direction, 96% on indicators). Files: second_review_sample.csv, abstract_coding_verification_sample.csv.</w:t>
            </w:r>
          </w:p>
          <w:p>
            <w:pPr>
              <w:spacing w:after="60"/>
            </w:pPr>
            <w:r>
              <w:rPr>
                <w:rFonts w:ascii="Times New Roman" w:cs="Times New Roman" w:eastAsia="Times New Roman" w:hAnsi="Times New Roman"/>
                <w:b w:val="false"/>
                <w:bCs w:val="false"/>
                <w:sz w:val="19"/>
                <w:szCs w:val="19"/>
              </w:rPr>
              <w:t xml:space="preserve">Not done: independent human reassessment of all assessed reports and of all charted variables; this needs a second human reviewer.</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2.4, 2.5, 2.7, 4.4</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4</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repository named in the data statement is empty.</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work was on a development branch; it is now on the default branch (data, code, protocol, dictionary and framework visible without logging in). The blinded manuscript withholds the link; the title page gives it. An archived release with a DOI must be created by the author; open the public link in a logged-out browser before submitting.</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Declarations; title page</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5</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Eligibility was assessed on abstracts, not full texts; "assessed in full" is ambiguous.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wording was corrected: decisions rested on titles and abstracts except for 31 reports in which the full text was consulted. While closing the open items a registered trial was found whose abstract does not mention burnout although the full text reports the Maslach Burnout Inventory as a secondary outcome; it was included on its full text and the limitation (trials measuring burnout only in the full text can be missed) is now stated. Exclusion on the abstract is the usual method in scoping reviews, and it was checked: the open-access full texts of 15 of the 37 reports excluded on abstracts for lack of a burnout outcome were read as a sensitivity check (data/fulltext_recheck_burnout.csv). None qualified (0 of 15; exact 95% CI 0 to 21.8%); one (R119) measured the MBI as an exploratory outcome but its participants were medical-school volunteers not established as workers, so its exclusion reason changed from burnout to population. Not done: full-text assessment of all reports that passed screening.</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2.4, 4.4</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6</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Burnout criterion: trials without a determined instrument; single-item measures; burnout unrelated to the aim.</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criterion now says that the aim of the intervention does not matter if burnout is reported as an outcome of the randomised comparison; correlates, risk factors and general well-being indices are excluded; short and single-item measures presented as burnout measures are accepted. This exposed an inconsistency: a weight-reduction trial with burnout as a secondary outcome had been excluded as "unrelated to the aim" while another of the same kind was included; its full text was read (single-item scale and MBI emotional exhaustion) and it was included. The full text of the teachers' telementoring trial (S122) named the MBI emotional exhaustion subscale; the file supplied for S070 is a placeholder after the first page, and S118 (ecological momentary assessment) names no instrument. 2 trials therefore have an undetermined instrument and 2 use a single-item measure; they are listed in the data files and stay included because burnout was reported as an outcome.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Supplementary Table S1; Sections 2.2, 2.5</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7</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PRISMA flow: split the records removed before screening; say how many were removed by the classifier.</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box separates duplicates in the four later searches (exactly counted) from duplicates and non-article records in the main search (not counted separately at the time; a reconstruction with the stored lists did not reproduce the original number, so it is not reported). The split of records excluded at screening between classifier and manual review was not recorded.</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Figure 1; Supplementary Table S2</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8</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Participant total mixes randomised and analysed numbers.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Each trial's sample size was classified by what the abstract says (randomised or enrolled, analysed or completed, not identifiable; data/n_basis.csv). The Results give the number of trials in each class and the median and total for the randomised or enrolled class; the overall total is descriptive.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 3.2; data/n_basis.csv</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9</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Registry analysis: do not read 'no results' as unpublished; state where results were sought.</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wording is "no results report located" throughout, with the limitation stated. The publications of the six registrations without results were searched in Europe PMC (including full text for the registration number) and PubMed by registration number and title: two were found (an online mindfulness trial in nurses, included on its full text, and the report already included as S015), so four of 15 remain without a located report. Not done: contact with investigators or search of other registries.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3.5, 4.3, 4.4; Supplementary Table S4</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10</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Appendix C must allow independent identification of each included trial.</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Appendix C1 gives a full citation (authors, title, journal, year, volume, pages, DOI, PMID) for every included report, a registration column (identifiers from abstracts, registry linkage and the registry synopsis; data/trial_registrations.csv) and the rule and identifiers of the two multi-report trials.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Supplementary Appendix C</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11</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Interpret cautiously (growth in trials, waitlists, favourable abstracts, missing indicators, pilots).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Rewritten: growth describes identified and published trials; the waitlist change is descriptive; the 'favours the intervention' codes are reporting codes, not effectiveness; a missing indicator is not proof of omission; abstract and conclusions aligned.</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3.4, 4.1, 4.3; Abstract; Conclusions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12</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Absence of a registered protocol and of risk-of-bias assessment are not fatal if reported.</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No change needed. The retrospective protocol is supplied and described as retrospective. Registration on OSF is for the author to do; add the date and DOI if done.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 2.1</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13</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Confirm that the journal accepts a scoping review and evidence map under 'Review Article'.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Cannot be settled by editing. A question for the editorial office is in the cover-letter draft.</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submission_metadata.docx</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Not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14</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Main text above 3000 words.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Introduction to Conclusions, including headings and captions but excluding the abstract, tables, declarations and references, is 2762 words (about 2,900 with all declarations). Long methods and results moved to a supplementary file.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Main text; Supplementary material</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15</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Seven tables and three figures against a limit of five.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Two tables and three figures remain in the main text; five tables are in the supplement and referred to in the text.</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Tables 1-2; Figures 1-3; Tables S1-S5</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16</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Abstract above 250 words and not in the required structure.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Rewritten with Objectives, Study design, Methods, Results and Conclusions: 238 words including the headings; six keywords.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Abstract</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17</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References: AMA, numbered superscript citations in order of first appearance.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Citations are superscript numbers in order of first use; 23 references in AMA 11th edition style with italic journal abbreviations. Year, volume, issue and pages of all references with a DOI were checked against Crossref and two were corrected. The journal abbreviations are Crossref short titles, not checked against the NLM catalogue.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Text; References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18</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Double-blind review: separate title page; no identifying information.</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 separate title page was made. The blinded manuscript has no names, affiliations or repository link, and an empty author property. Use manuscript_blinded.docx for the blinded upload, not the tracked-changes file.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title_page.docx; manuscript_blinded.docx</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19</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Generative-AI statement in the journal's format; describe AI use in the Methods.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 statement titled "Declaration of generative AI and AI-assisted technologies in the writing process" precedes the references, and Section 2.7 describes AI use in the research process. The model version and prompts are not reported; reproducibility rests on the recorded decisions and published code.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 2.7; Declarations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20</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Other items: cover letter, author contributions, funding, ethics, PRISMA-ScR checklist with page numbers, figure files, final proofing.</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Cover-letter draft, funding, competing-interests and ethics statements exist. Author names, affiliations, ORCID, contributions, telephone and journal are placeholders only the author can supply. The checklist points to sections, not page numbers. Figures are PNG files. Automated proofing was done; a human read-through is advisable.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title_page.docx; submission_metadata.docx; Appendix E</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21</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British English; consistent use of trial, study, report, record and registration.</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Prose, headings, table labels and figures were converted to British spelling; official names, titles of cited papers and search strings were left as published. Each term is used in one sense.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All files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22</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Results: avoid repeating tables in prose.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Results were shortened to the main findings; detail is in the supplement.</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 3</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bl>
    <w:p>
      <w:pPr>
        <w:pStyle w:val="Heading1"/>
        <w:spacing w:after="120" w:before="280"/>
      </w:pPr>
      <w:r>
        <w:rPr>
          <w:rFonts w:ascii="Times New Roman" w:cs="Times New Roman" w:eastAsia="Times New Roman" w:hAnsi="Times New Roman"/>
          <w:b/>
          <w:bCs/>
          <w:sz w:val="26"/>
          <w:szCs w:val="26"/>
        </w:rPr>
        <w:t xml:space="preserve">What only the author can do</w:t>
      </w:r>
    </w:p>
    <w:p>
      <w:pPr>
        <w:spacing w:after="120" w:line="290"/>
      </w:pPr>
      <w:r>
        <w:rPr>
          <w:rFonts w:ascii="Times New Roman" w:cs="Times New Roman" w:eastAsia="Times New Roman" w:hAnsi="Times New Roman"/>
          <w:sz w:val="21"/>
          <w:szCs w:val="21"/>
        </w:rPr>
        <w:t xml:space="preserve">• Supply author names, affiliations, ORCID, contributions, telephone and the journal; ask the editorial office whether a scoping review and evidence map fits the Review Article category.</w:t>
      </w:r>
    </w:p>
    <w:p>
      <w:pPr>
        <w:spacing w:after="120" w:line="290"/>
      </w:pPr>
      <w:r>
        <w:rPr>
          <w:rFonts w:ascii="Times New Roman" w:cs="Times New Roman" w:eastAsia="Times New Roman" w:hAnsi="Times New Roman"/>
          <w:sz w:val="21"/>
          <w:szCs w:val="21"/>
        </w:rPr>
        <w:t xml:space="preserve">• Check the Web of Science and Scopus strings in Appendix A against the saved search histories; archive a release of the repository with a DOI and check that the public links open without logging in.</w:t>
      </w:r>
    </w:p>
    <w:p>
      <w:pPr>
        <w:spacing w:after="120" w:line="290"/>
      </w:pPr>
      <w:r>
        <w:rPr>
          <w:rFonts w:ascii="Times New Roman" w:cs="Times New Roman" w:eastAsia="Times New Roman" w:hAnsi="Times New Roman"/>
          <w:sz w:val="21"/>
          <w:szCs w:val="21"/>
        </w:rPr>
        <w:t xml:space="preserve">• Decide whether to commission a second human reviewer for all 301 reports (and the variables of all trials), to search PsycINFO, Embase and CENTRAL, to repeat the unified search in Web of Science and Scopus, and to register the retrospective protocol on OSF. Each would strengthen the paper; none is needed for the text to be honest.</w:t>
      </w:r>
    </w:p>
    <w:p>
      <w:pPr>
        <w:spacing w:after="120" w:line="290"/>
      </w:pPr>
      <w:r>
        <w:rPr>
          <w:rFonts w:ascii="Times New Roman" w:cs="Times New Roman" w:eastAsia="Times New Roman" w:hAnsi="Times New Roman"/>
          <w:sz w:val="21"/>
          <w:szCs w:val="21"/>
        </w:rPr>
        <w:t xml:space="preserve">• Two borderline exclusions remain open (two WeChat text-message trials without a burnout outcome in their abstracts; one trial whose abstract shows no burnout result and whose full text is not at hand).</w:t>
      </w:r>
    </w:p>
    <w:sectPr>
      <w:footerReference w:type="default" r:id="rId6"/>
      <w:pgSz w:w="11907" w:h="16840" w:orient="portrait"/>
      <w:pgMar w:top="1000" w:right="900" w:bottom="10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pre-submission review</dc:title>
  <cp:lastModifiedBy>Un-named</cp:lastModifiedBy>
  <cp:revision>1</cp:revision>
  <dcterms:created xsi:type="dcterms:W3CDTF">2026-10-18T15:13:13.375Z</dcterms:created>
  <dcterms:modified xsi:type="dcterms:W3CDTF">2026-10-18T15:13:13.375Z</dcterms:modified>
</cp:coreProperties>
</file>

<file path=docProps/custom.xml><?xml version="1.0" encoding="utf-8"?>
<Properties xmlns="http://schemas.openxmlformats.org/officeDocument/2006/custom-properties" xmlns:vt="http://schemas.openxmlformats.org/officeDocument/2006/docPropsVTypes"/>
</file>