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Times New Roman" w:cs="Times New Roman" w:eastAsia="Times New Roman" w:hAnsi="Times New Roman"/>
          <w:b/>
          <w:bCs/>
          <w:sz w:val="32"/>
          <w:szCs w:val="32"/>
        </w:rPr>
        <w:t xml:space="preserve">Randomised Trials of Digital Interventions Reporting Occupational Burnout Outcomes: A Scoping Review and Evidence Map</w:t>
      </w:r>
    </w:p>
    <w:p>
      <w:pPr>
        <w:pStyle w:val="Heading1"/>
        <w:spacing w:after="180" w:before="360"/>
      </w:pPr>
      <w:r>
        <w:rPr>
          <w:rFonts w:ascii="Times New Roman" w:cs="Times New Roman" w:eastAsia="Times New Roman" w:hAnsi="Times New Roman"/>
          <w:b/>
          <w:bCs/>
          <w:sz w:val="28"/>
          <w:szCs w:val="28"/>
        </w:rPr>
        <w:t xml:space="preserve">Abstract</w:t>
      </w:r>
    </w:p>
    <w:p>
      <w:pPr>
        <w:spacing w:after="160" w:line="400"/>
        <w:jc w:val="both"/>
      </w:pPr>
      <w:r>
        <w:rPr>
          <w:rFonts w:ascii="Times New Roman" w:cs="Times New Roman" w:eastAsia="Times New Roman" w:hAnsi="Times New Roman"/>
          <w:b/>
          <w:bCs/>
          <w:sz w:val="24"/>
          <w:szCs w:val="24"/>
        </w:rPr>
        <w:t xml:space="preserve">Objectives:</w:t>
      </w:r>
      <w:r>
        <w:rPr>
          <w:rFonts w:ascii="Times New Roman" w:cs="Times New Roman" w:eastAsia="Times New Roman" w:hAnsi="Times New Roman"/>
          <w:sz w:val="24"/>
          <w:szCs w:val="24"/>
        </w:rPr>
        <w:t xml:space="preserve"> To map randomised trials of digitally delivered interventions in working populations that reported occupational burnout as an outcome.</w:t>
      </w:r>
    </w:p>
    <w:p>
      <w:pPr>
        <w:spacing w:after="160" w:line="400"/>
        <w:jc w:val="both"/>
      </w:pPr>
      <w:r>
        <w:rPr>
          <w:rFonts w:ascii="Times New Roman" w:cs="Times New Roman" w:eastAsia="Times New Roman" w:hAnsi="Times New Roman"/>
          <w:b/>
          <w:bCs/>
          <w:sz w:val="24"/>
          <w:szCs w:val="24"/>
        </w:rPr>
        <w:t xml:space="preserve">Study design:</w:t>
      </w:r>
      <w:r>
        <w:rPr>
          <w:rFonts w:ascii="Times New Roman" w:cs="Times New Roman" w:eastAsia="Times New Roman" w:hAnsi="Times New Roman"/>
          <w:sz w:val="24"/>
          <w:szCs w:val="24"/>
        </w:rPr>
        <w:t xml:space="preserve"> Scoping review and evidence map, reported according to PRISMA-ScR.</w:t>
      </w:r>
    </w:p>
    <w:p>
      <w:pPr>
        <w:spacing w:after="160" w:line="400"/>
        <w:jc w:val="both"/>
      </w:pPr>
      <w:r>
        <w:rPr>
          <w:rFonts w:ascii="Times New Roman" w:cs="Times New Roman" w:eastAsia="Times New Roman" w:hAnsi="Times New Roman"/>
          <w:b/>
          <w:bCs/>
          <w:sz w:val="24"/>
          <w:szCs w:val="24"/>
        </w:rPr>
        <w:t xml:space="preserve">Methods:</w:t>
      </w:r>
      <w:r>
        <w:rPr>
          <w:rFonts w:ascii="Times New Roman" w:cs="Times New Roman" w:eastAsia="Times New Roman" w:hAnsi="Times New Roman"/>
          <w:sz w:val="24"/>
          <w:szCs w:val="24"/>
        </w:rPr>
        <w:t xml:space="preserve"> We searched Europe PMC, OpenAlex, ERIC, Web of Science, Scopus and PubMed (17 September to 18 October 2026) and ClinicalTrials.gov. A first strategy that required a psychological-intervention term was followed by strategies without it, because the eligibility criteria admitted any mechanism. Reports were assessed against five ordered criteria, mostly from abstracts, and trials were charted by occupation, delivery mode, approach, comparator and burnout instrument. A human reviewer checked samples of the AI-assisted eligibility decisions and of the abstract-level coding.</w:t>
      </w:r>
    </w:p>
    <w:p>
      <w:pPr>
        <w:spacing w:after="160" w:line="400"/>
        <w:jc w:val="both"/>
      </w:pPr>
      <w:r>
        <w:rPr>
          <w:rFonts w:ascii="Times New Roman" w:cs="Times New Roman" w:eastAsia="Times New Roman" w:hAnsi="Times New Roman"/>
          <w:b/>
          <w:bCs/>
          <w:sz w:val="24"/>
          <w:szCs w:val="24"/>
        </w:rPr>
        <w:t xml:space="preserve">Results:</w:t>
      </w:r>
      <w:r>
        <w:rPr>
          <w:rFonts w:ascii="Times New Roman" w:cs="Times New Roman" w:eastAsia="Times New Roman" w:hAnsi="Times New Roman"/>
          <w:sz w:val="24"/>
          <w:szCs w:val="24"/>
        </w:rPr>
        <w:t xml:space="preserve"> Of 4,991 records, 2,481 were screened and 301 reports assessed. We included 120 reports of 117 trials (27,033 participants in 108 trials reporting numbers). Most trials (65.0%) were first reported from 2023 onwards, and 73 studied healthcare workers. Web programmes (49) and smartphone apps (21) predominated; 21 trials tested non-psychological mechanisms. Waitlist controls were used in 40.8% of trials from 2023. About half of the abstracts (58) named the burnout instrument, and 31 gave a registration number. Of 15 randomised registrations completed by 2023, 4 had no located results.</w:t>
      </w:r>
    </w:p>
    <w:p>
      <w:pPr>
        <w:spacing w:after="160" w:line="400"/>
        <w:jc w:val="both"/>
      </w:pPr>
      <w:r>
        <w:rPr>
          <w:rFonts w:ascii="Times New Roman" w:cs="Times New Roman" w:eastAsia="Times New Roman" w:hAnsi="Times New Roman"/>
          <w:b/>
          <w:bCs/>
          <w:sz w:val="24"/>
          <w:szCs w:val="24"/>
        </w:rPr>
        <w:t xml:space="preserve">Conclusions:</w:t>
      </w:r>
      <w:r>
        <w:rPr>
          <w:rFonts w:ascii="Times New Roman" w:cs="Times New Roman" w:eastAsia="Times New Roman" w:hAnsi="Times New Roman"/>
          <w:sz w:val="24"/>
          <w:szCs w:val="24"/>
        </w:rPr>
        <w:t xml:space="preserve"> The evidence has grown quickly but is concentrated in healthcare, increasingly waitlist-controlled and inconsistently reported in abstracts. Actively controlled trials outside healthcare, trials of work-system technologies, explicit reporting of burnout instruments and publication of completed trials are priorities.</w:t>
      </w:r>
    </w:p>
    <w:p>
      <w:pPr>
        <w:spacing w:after="160" w:line="40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occupational burnout; digital health; randomised controlled trial; scoping review; evidence map; occupational health</w:t>
      </w:r>
    </w:p>
    <w:p>
      <w:r>
        <w:br w:type="page"/>
      </w:r>
    </w:p>
    <w:p>
      <w:pPr>
        <w:pStyle w:val="Heading1"/>
        <w:spacing w:after="180" w:before="360"/>
      </w:pPr>
      <w:r>
        <w:rPr>
          <w:rFonts w:ascii="Times New Roman" w:cs="Times New Roman" w:eastAsia="Times New Roman" w:hAnsi="Times New Roman"/>
          <w:b/>
          <w:bCs/>
          <w:sz w:val="28"/>
          <w:szCs w:val="28"/>
        </w:rPr>
        <w:t xml:space="preserve">1. Introduction</w:t>
      </w:r>
    </w:p>
    <w:p>
      <w:pPr>
        <w:spacing w:after="160" w:line="400"/>
        <w:jc w:val="both"/>
      </w:pPr>
      <w:r>
        <w:rPr>
          <w:rFonts w:ascii="Times New Roman" w:cs="Times New Roman" w:eastAsia="Times New Roman" w:hAnsi="Times New Roman"/>
          <w:sz w:val="24"/>
          <w:szCs w:val="24"/>
        </w:rPr>
        <w:t xml:space="preserve">Burnout is a syndrome that results from chronic workplace stress that has not been successfully managed. It is characterised by exhaustion, mental distance from or cynicism about one's job, and reduced professional efficacy, and the World Health Organization classifies it in the International Classification of Diseases (ICD-11) as an occupational phenomenon.</w:t>
      </w:r>
      <w:r>
        <w:rPr>
          <w:rFonts w:ascii="Times New Roman" w:cs="Times New Roman" w:eastAsia="Times New Roman" w:hAnsi="Times New Roman"/>
          <w:sz w:val="24"/>
          <w:szCs w:val="24"/>
          <w:vertAlign w:val="superscript"/>
        </w:rPr>
        <w:t xml:space="preserve">1,2</w:t>
      </w:r>
      <w:r>
        <w:rPr>
          <w:rFonts w:ascii="Times New Roman" w:cs="Times New Roman" w:eastAsia="Times New Roman" w:hAnsi="Times New Roman"/>
          <w:sz w:val="24"/>
          <w:szCs w:val="24"/>
        </w:rPr>
        <w:t xml:space="preserve"> Prevalence estimates vary with the instrument and cut-off, but in health care they are high enough to threaten workforce retention and quality of care,</w:t>
      </w:r>
      <w:r>
        <w:rPr>
          <w:rFonts w:ascii="Times New Roman" w:cs="Times New Roman" w:eastAsia="Times New Roman" w:hAnsi="Times New Roman"/>
          <w:sz w:val="24"/>
          <w:szCs w:val="24"/>
          <w:vertAlign w:val="superscript"/>
        </w:rPr>
        <w:t xml:space="preserve">3,4</w:t>
      </w:r>
      <w:r>
        <w:rPr>
          <w:rFonts w:ascii="Times New Roman" w:cs="Times New Roman" w:eastAsia="Times New Roman" w:hAnsi="Times New Roman"/>
          <w:sz w:val="24"/>
          <w:szCs w:val="24"/>
        </w:rPr>
        <w:t xml:space="preserve"> and similar concerns have been raised for teachers, social-care staff and employees in other sectors.</w:t>
      </w:r>
    </w:p>
    <w:p>
      <w:pPr>
        <w:spacing w:after="160" w:line="400"/>
        <w:jc w:val="both"/>
      </w:pPr>
      <w:r>
        <w:rPr>
          <w:rFonts w:ascii="Times New Roman" w:cs="Times New Roman" w:eastAsia="Times New Roman" w:hAnsi="Times New Roman"/>
          <w:sz w:val="24"/>
          <w:szCs w:val="24"/>
        </w:rPr>
        <w:t xml:space="preserve">Digital delivery through web programmes, smartphone apps, live online sessions, messaging or wearable devices promises to reach workers at scale. Evidence on interventions against burnout comes mainly from reviews restricted to physicians</w:t>
      </w:r>
      <w:r>
        <w:rPr>
          <w:rFonts w:ascii="Times New Roman" w:cs="Times New Roman" w:eastAsia="Times New Roman" w:hAnsi="Times New Roman"/>
          <w:sz w:val="24"/>
          <w:szCs w:val="24"/>
          <w:vertAlign w:val="superscript"/>
        </w:rPr>
        <w:t xml:space="preserve">5,6</w:t>
      </w:r>
      <w:r>
        <w:rPr>
          <w:rFonts w:ascii="Times New Roman" w:cs="Times New Roman" w:eastAsia="Times New Roman" w:hAnsi="Times New Roman"/>
          <w:sz w:val="24"/>
          <w:szCs w:val="24"/>
        </w:rPr>
        <w:t xml:space="preserve"> or nurses,</w:t>
      </w:r>
      <w:r>
        <w:rPr>
          <w:rFonts w:ascii="Times New Roman" w:cs="Times New Roman" w:eastAsia="Times New Roman" w:hAnsi="Times New Roman"/>
          <w:sz w:val="24"/>
          <w:szCs w:val="24"/>
          <w:vertAlign w:val="superscript"/>
        </w:rPr>
        <w:t xml:space="preserve">7,8</w:t>
      </w:r>
      <w:r>
        <w:rPr>
          <w:rFonts w:ascii="Times New Roman" w:cs="Times New Roman" w:eastAsia="Times New Roman" w:hAnsi="Times New Roman"/>
          <w:sz w:val="24"/>
          <w:szCs w:val="24"/>
        </w:rPr>
        <w:t xml:space="preserve"> to one therapeutic approach,</w:t>
      </w:r>
      <w:r>
        <w:rPr>
          <w:rFonts w:ascii="Times New Roman" w:cs="Times New Roman" w:eastAsia="Times New Roman" w:hAnsi="Times New Roman"/>
          <w:sz w:val="24"/>
          <w:szCs w:val="24"/>
          <w:vertAlign w:val="superscript"/>
        </w:rPr>
        <w:t xml:space="preserve">9</w:t>
      </w:r>
      <w:r>
        <w:rPr>
          <w:rFonts w:ascii="Times New Roman" w:cs="Times New Roman" w:eastAsia="Times New Roman" w:hAnsi="Times New Roman"/>
          <w:sz w:val="24"/>
          <w:szCs w:val="24"/>
        </w:rPr>
        <w:t xml:space="preserve"> or to broader mental-health outcomes.</w:t>
      </w:r>
      <w:r>
        <w:rPr>
          <w:rFonts w:ascii="Times New Roman" w:cs="Times New Roman" w:eastAsia="Times New Roman" w:hAnsi="Times New Roman"/>
          <w:sz w:val="24"/>
          <w:szCs w:val="24"/>
          <w:vertAlign w:val="superscript"/>
        </w:rPr>
        <w:t xml:space="preserve">10</w:t>
      </w:r>
      <w:r>
        <w:rPr>
          <w:rFonts w:ascii="Times New Roman" w:cs="Times New Roman" w:eastAsia="Times New Roman" w:hAnsi="Times New Roman"/>
          <w:sz w:val="24"/>
          <w:szCs w:val="24"/>
        </w:rPr>
        <w:t xml:space="preserve"> A scoping review of digital applications covered healthcare professionals only and did not restrict study design.</w:t>
      </w:r>
      <w:r>
        <w:rPr>
          <w:rFonts w:ascii="Times New Roman" w:cs="Times New Roman" w:eastAsia="Times New Roman" w:hAnsi="Times New Roman"/>
          <w:sz w:val="24"/>
          <w:szCs w:val="24"/>
          <w:vertAlign w:val="superscript"/>
        </w:rPr>
        <w:t xml:space="preserve">11</w:t>
      </w:r>
      <w:r>
        <w:rPr>
          <w:rFonts w:ascii="Times New Roman" w:cs="Times New Roman" w:eastAsia="Times New Roman" w:hAnsi="Times New Roman"/>
          <w:sz w:val="24"/>
          <w:szCs w:val="24"/>
        </w:rPr>
        <w:t xml:space="preserve"> No review has mapped, across occupations and intervention mechanisms, where randomised trials of digital interventions reporting burnout have been done, how they were designed and reported, and whether registered trials were published.</w:t>
      </w:r>
    </w:p>
    <w:p>
      <w:pPr>
        <w:spacing w:after="160" w:line="400"/>
        <w:jc w:val="both"/>
      </w:pPr>
      <w:r>
        <w:rPr>
          <w:rFonts w:ascii="Times New Roman" w:cs="Times New Roman" w:eastAsia="Times New Roman" w:hAnsi="Times New Roman"/>
          <w:sz w:val="24"/>
          <w:szCs w:val="24"/>
        </w:rPr>
        <w:t xml:space="preserve">We therefore mapped randomised trials of any digitally delivered intervention in working populations that reported burnout as an outcome. We asked: in which occupational groups and over what period have the trials been done; which delivery modes, approaches and levels of human support were tested; how were the trials designed and reported; and how many registered, completed trials have published results?</w:t>
      </w:r>
    </w:p>
    <w:p>
      <w:pPr>
        <w:pStyle w:val="Heading1"/>
        <w:spacing w:after="180" w:before="360"/>
      </w:pPr>
      <w:r>
        <w:rPr>
          <w:rFonts w:ascii="Times New Roman" w:cs="Times New Roman" w:eastAsia="Times New Roman" w:hAnsi="Times New Roman"/>
          <w:b/>
          <w:bCs/>
          <w:sz w:val="28"/>
          <w:szCs w:val="28"/>
        </w:rPr>
        <w:t xml:space="preserve">2. Methods</w:t>
      </w:r>
    </w:p>
    <w:p>
      <w:pPr>
        <w:pStyle w:val="Heading2"/>
        <w:spacing w:after="120" w:before="240"/>
      </w:pPr>
      <w:r>
        <w:rPr>
          <w:rFonts w:ascii="Times New Roman" w:cs="Times New Roman" w:eastAsia="Times New Roman" w:hAnsi="Times New Roman"/>
          <w:b/>
          <w:bCs/>
          <w:i/>
          <w:iCs/>
          <w:sz w:val="24"/>
          <w:szCs w:val="24"/>
        </w:rPr>
        <w:t xml:space="preserve">2.1 Design and reporting</w:t>
      </w:r>
    </w:p>
    <w:p>
      <w:pPr>
        <w:spacing w:after="160" w:line="400"/>
        <w:jc w:val="both"/>
      </w:pPr>
      <w:r>
        <w:rPr>
          <w:rFonts w:ascii="Times New Roman" w:cs="Times New Roman" w:eastAsia="Times New Roman" w:hAnsi="Times New Roman"/>
          <w:sz w:val="24"/>
          <w:szCs w:val="24"/>
        </w:rPr>
        <w:t xml:space="preserve">We followed the scoping-review framework of Arksey and O'Malley, Levac et al. and the Joanna Briggs Institute,</w:t>
      </w:r>
      <w:r>
        <w:rPr>
          <w:rFonts w:ascii="Times New Roman" w:cs="Times New Roman" w:eastAsia="Times New Roman" w:hAnsi="Times New Roman"/>
          <w:sz w:val="24"/>
          <w:szCs w:val="24"/>
          <w:vertAlign w:val="superscript"/>
        </w:rPr>
        <w:t xml:space="preserve">12-14</w:t>
      </w:r>
      <w:r>
        <w:rPr>
          <w:rFonts w:ascii="Times New Roman" w:cs="Times New Roman" w:eastAsia="Times New Roman" w:hAnsi="Times New Roman"/>
          <w:sz w:val="24"/>
          <w:szCs w:val="24"/>
        </w:rPr>
        <w:t xml:space="preserve"> and report the review according to PRISMA-ScR,</w:t>
      </w:r>
      <w:r>
        <w:rPr>
          <w:rFonts w:ascii="Times New Roman" w:cs="Times New Roman" w:eastAsia="Times New Roman" w:hAnsi="Times New Roman"/>
          <w:sz w:val="24"/>
          <w:szCs w:val="24"/>
          <w:vertAlign w:val="superscript"/>
        </w:rPr>
        <w:t xml:space="preserve">15</w:t>
      </w:r>
      <w:r>
        <w:rPr>
          <w:rFonts w:ascii="Times New Roman" w:cs="Times New Roman" w:eastAsia="Times New Roman" w:hAnsi="Times New Roman"/>
          <w:sz w:val="24"/>
          <w:szCs w:val="24"/>
        </w:rPr>
        <w:t xml:space="preserve"> with a PRISMA 2020 flow diagram</w:t>
      </w:r>
      <w:r>
        <w:rPr>
          <w:rFonts w:ascii="Times New Roman" w:cs="Times New Roman" w:eastAsia="Times New Roman" w:hAnsi="Times New Roman"/>
          <w:sz w:val="24"/>
          <w:szCs w:val="24"/>
          <w:vertAlign w:val="superscript"/>
        </w:rPr>
        <w:t xml:space="preserve">16</w:t>
      </w:r>
      <w:r>
        <w:rPr>
          <w:rFonts w:ascii="Times New Roman" w:cs="Times New Roman" w:eastAsia="Times New Roman" w:hAnsi="Times New Roman"/>
          <w:sz w:val="24"/>
          <w:szCs w:val="24"/>
        </w:rPr>
        <w:t xml:space="preserve"> and PRISMA-S for the search.</w:t>
      </w:r>
      <w:r>
        <w:rPr>
          <w:rFonts w:ascii="Times New Roman" w:cs="Times New Roman" w:eastAsia="Times New Roman" w:hAnsi="Times New Roman"/>
          <w:sz w:val="24"/>
          <w:szCs w:val="24"/>
          <w:vertAlign w:val="superscript"/>
        </w:rPr>
        <w:t xml:space="preserve">17</w:t>
      </w:r>
      <w:r>
        <w:rPr>
          <w:rFonts w:ascii="Times New Roman" w:cs="Times New Roman" w:eastAsia="Times New Roman" w:hAnsi="Times New Roman"/>
          <w:sz w:val="24"/>
          <w:szCs w:val="24"/>
        </w:rPr>
        <w:t xml:space="preserve"> The protocol was not registered in advance (a retrospective protocol is supplied). Because the review maps evidence, we did not assess risk of bias or synthesise effect sizes.</w:t>
      </w:r>
    </w:p>
    <w:p>
      <w:pPr>
        <w:pStyle w:val="Heading2"/>
        <w:spacing w:after="120" w:before="240"/>
      </w:pPr>
      <w:r>
        <w:rPr>
          <w:rFonts w:ascii="Times New Roman" w:cs="Times New Roman" w:eastAsia="Times New Roman" w:hAnsi="Times New Roman"/>
          <w:b/>
          <w:bCs/>
          <w:i/>
          <w:iCs/>
          <w:sz w:val="24"/>
          <w:szCs w:val="24"/>
        </w:rPr>
        <w:t xml:space="preserve">2.2 Eligibility criteria</w:t>
      </w:r>
    </w:p>
    <w:p>
      <w:pPr>
        <w:spacing w:after="160" w:line="400"/>
        <w:jc w:val="both"/>
      </w:pPr>
      <w:r>
        <w:rPr>
          <w:rFonts w:ascii="Times New Roman" w:cs="Times New Roman" w:eastAsia="Times New Roman" w:hAnsi="Times New Roman"/>
          <w:sz w:val="24"/>
          <w:szCs w:val="24"/>
        </w:rPr>
        <w:t xml:space="preserve">We included peer-reviewed primary reports of randomised trials (individual, cluster, factorial, crossover or stepped-wedge) in working populations (employed staff and trainees in paid employment, including workers on sick leave who remained employed; not students or patients). The intervention had to have at least one core component delivered digitally (web, app, videoconference, messaging, chatbot, virtual reality, computer or wearable device), and burnout, measured with a burnout instrument or a named burnout subscale, had to be an outcome of the randomised comparison. Interventions of any mechanism, language and date were eligible. The five criteria (report type, design, population, digital delivery, outcome) were applied in this order and the first one failed was recorded (Supplementary Table S1). Reports of one trial were linked, and the trial was the unit of analysis.</w:t>
      </w:r>
    </w:p>
    <w:p>
      <w:pPr>
        <w:pStyle w:val="Heading2"/>
        <w:spacing w:after="120" w:before="240"/>
      </w:pPr>
      <w:r>
        <w:rPr>
          <w:rFonts w:ascii="Times New Roman" w:cs="Times New Roman" w:eastAsia="Times New Roman" w:hAnsi="Times New Roman"/>
          <w:b/>
          <w:bCs/>
          <w:i/>
          <w:iCs/>
          <w:sz w:val="24"/>
          <w:szCs w:val="24"/>
        </w:rPr>
        <w:t xml:space="preserve">2.3 Information sources and search</w:t>
      </w:r>
    </w:p>
    <w:p>
      <w:pPr>
        <w:spacing w:after="160" w:line="400"/>
        <w:jc w:val="both"/>
      </w:pPr>
      <w:r>
        <w:rPr>
          <w:rFonts w:ascii="Times New Roman" w:cs="Times New Roman" w:eastAsia="Times New Roman" w:hAnsi="Times New Roman"/>
          <w:sz w:val="24"/>
          <w:szCs w:val="24"/>
        </w:rPr>
        <w:t xml:space="preserve">The main search combined four concept blocks (burnout, digital delivery, a psychological or behavioural intervention term and randomised design) in Europe PMC, OpenAlex and ERIC (26 September 2026) and in Web of Science and Scopus (17 September 2026). Because the eligibility criteria admitted any mechanism, this strategy was too narrow. We therefore repeated the search without the intervention block (Europe PMC and OpenAlex, 28 September; Web of Science and Scopus, 29 September 2026), searched PubMed with the Medical Subject Heading "Burnout, Professional" and added further delivery terms (29 September 2026). Finally, on 18 October 2026, we ran one unified strategy (burnout AND any digital-delivery term AND randomised design) in Europe PMC and ERIC (all years) and, for records published from 1 September 2026, in OpenAlex and PubMed. Web of Science and Scopus were not searched again after 29 September 2026. ClinicalTrials.gov was searched on 28 September 2026 for completed interventional registrations with burnout as a condition and a digital term. We did not search PsycINFO, Embase or the Cochrane Central Register of Controlled Trials (no access). We checked the reference lists of five earlier reviews; none led to a further eligible trial (Supplementary Section S2). A unified Europe PMC search alone retrieved 80 of the 120 included reports (67%), so no single database was sufficient. Complete strings, dates and numbers of records are in Supplementary Appendix A and Table S2.</w:t>
      </w:r>
    </w:p>
    <w:p>
      <w:pPr>
        <w:pStyle w:val="Heading2"/>
        <w:spacing w:after="120" w:before="240"/>
      </w:pPr>
      <w:r>
        <w:rPr>
          <w:rFonts w:ascii="Times New Roman" w:cs="Times New Roman" w:eastAsia="Times New Roman" w:hAnsi="Times New Roman"/>
          <w:b/>
          <w:bCs/>
          <w:i/>
          <w:iCs/>
          <w:sz w:val="24"/>
          <w:szCs w:val="24"/>
        </w:rPr>
        <w:t xml:space="preserve">2.4 Selection and verification</w:t>
      </w:r>
    </w:p>
    <w:p>
      <w:pPr>
        <w:spacing w:after="160" w:line="400"/>
        <w:jc w:val="both"/>
      </w:pPr>
      <w:r>
        <w:rPr>
          <w:rFonts w:ascii="Times New Roman" w:cs="Times New Roman" w:eastAsia="Times New Roman" w:hAnsi="Times New Roman"/>
          <w:sz w:val="24"/>
          <w:szCs w:val="24"/>
        </w:rPr>
        <w:t xml:space="preserve">Records were de-duplicated and screened with a rule-based classifier that could only exclude records. The first reviewer was an AI assistant (Section 2.7), which read every remaining record and proposed decisions; the corresponding author decided borderline reports. Eligibility was assessed from titles and abstracts; the full text was consulted for 31 reports in which the abstract was ambiguous or discrepant or the human reviewer disagreed. We estimated the screening error from a random sample of 45 excluded records.</w:t>
      </w:r>
      <w:r>
        <w:rPr>
          <w:rFonts w:ascii="Times New Roman" w:cs="Times New Roman" w:eastAsia="Times New Roman" w:hAnsi="Times New Roman"/>
          <w:sz w:val="24"/>
          <w:szCs w:val="24"/>
          <w:vertAlign w:val="superscript"/>
        </w:rPr>
        <w:t xml:space="preserve">18</w:t>
      </w:r>
      <w:r>
        <w:rPr>
          <w:rFonts w:ascii="Times New Roman" w:cs="Times New Roman" w:eastAsia="Times New Roman" w:hAnsi="Times New Roman"/>
          <w:sz w:val="24"/>
          <w:szCs w:val="24"/>
        </w:rPr>
        <w:t xml:space="preserve"> The corresponding author, as human reviewer, independently assessed a blind sample of 30 assessed reports (15 included and 15 excluded), and agreement with the first reviewer was summarised with Cohen's kappa. Decisions with reasons are in the ledger (master_registry.csv).</w:t>
      </w:r>
    </w:p>
    <w:p>
      <w:pPr>
        <w:pStyle w:val="Heading2"/>
        <w:spacing w:after="120" w:before="240"/>
      </w:pPr>
      <w:r>
        <w:rPr>
          <w:rFonts w:ascii="Times New Roman" w:cs="Times New Roman" w:eastAsia="Times New Roman" w:hAnsi="Times New Roman"/>
          <w:b/>
          <w:bCs/>
          <w:i/>
          <w:iCs/>
          <w:sz w:val="24"/>
          <w:szCs w:val="24"/>
        </w:rPr>
        <w:t xml:space="preserve">2.5 Data charting</w:t>
      </w:r>
    </w:p>
    <w:p>
      <w:pPr>
        <w:spacing w:after="160" w:line="400"/>
        <w:jc w:val="both"/>
      </w:pPr>
      <w:r>
        <w:rPr>
          <w:rFonts w:ascii="Times New Roman" w:cs="Times New Roman" w:eastAsia="Times New Roman" w:hAnsi="Times New Roman"/>
          <w:sz w:val="24"/>
          <w:szCs w:val="24"/>
        </w:rPr>
        <w:t xml:space="preserve">Each trial was charted with one value per variable: occupational group, delivery mode, intervention approach and mechanism, comparator, human support, burnout instrument, participants (randomised, or analysed where only that was reported) and year of first report. Two heterogeneous groups ("other psychological" approaches and "employees in other sectors") were split by rules written before recoding, and all their trials were recoded with the same rules. Where the abstract did not name the instrument, we took it from the full text; two trials stayed undetermined. Two further variables were coded from abstracts only and are descriptive: five reporting indicators (named randomisation method, blinding statement, attrition numbers, registration number and analysis population), each recorded as stated or not stated in the abstract, and the direction of the burnout result as reported by the authors (six categories). They are neither quality ratings nor effect estimates, and an indicator missing from an abstract does not show that the procedure was omitted. The human reviewer coded a random 20% sample (23 of the 113 trials included at that stage) blind to the first coding. The rules that the comparison exposed (a randomisation method counts only if named; "favours the intervention" requires a benefit on the total score or on every dimension reported) were then applied to all trials.</w:t>
      </w:r>
    </w:p>
    <w:p>
      <w:pPr>
        <w:pStyle w:val="Heading2"/>
        <w:spacing w:after="120" w:before="240"/>
      </w:pPr>
      <w:r>
        <w:rPr>
          <w:rFonts w:ascii="Times New Roman" w:cs="Times New Roman" w:eastAsia="Times New Roman" w:hAnsi="Times New Roman"/>
          <w:b/>
          <w:bCs/>
          <w:i/>
          <w:iCs/>
          <w:sz w:val="24"/>
          <w:szCs w:val="24"/>
        </w:rPr>
        <w:t xml:space="preserve">2.6 Registry linkage and synthesis</w:t>
      </w:r>
    </w:p>
    <w:p>
      <w:pPr>
        <w:spacing w:after="160" w:line="400"/>
        <w:jc w:val="both"/>
      </w:pPr>
      <w:r>
        <w:rPr>
          <w:rFonts w:ascii="Times New Roman" w:cs="Times New Roman" w:eastAsia="Times New Roman" w:hAnsi="Times New Roman"/>
          <w:sz w:val="24"/>
          <w:szCs w:val="24"/>
        </w:rPr>
        <w:t xml:space="preserve">For each registration we identified linked publications. For randomised registrations completed by the end of 2023 we classified results as reported in an included trial, reported outside the scope of the review, or not located. We summarised counts and percentages, grouped trials by year of first report (2004-2019, 2020-2022, 2023-2026) and cross-tabulated occupation against approach.</w:t>
      </w:r>
    </w:p>
    <w:p>
      <w:pPr>
        <w:pStyle w:val="Heading2"/>
        <w:spacing w:after="120" w:before="240"/>
      </w:pPr>
      <w:r>
        <w:rPr>
          <w:rFonts w:ascii="Times New Roman" w:cs="Times New Roman" w:eastAsia="Times New Roman" w:hAnsi="Times New Roman"/>
          <w:b/>
          <w:bCs/>
          <w:i/>
          <w:iCs/>
          <w:sz w:val="24"/>
          <w:szCs w:val="24"/>
        </w:rPr>
        <w:t xml:space="preserve">2.7 Use of artificial intelligence in the research process</w:t>
      </w:r>
    </w:p>
    <w:p>
      <w:pPr>
        <w:spacing w:after="160" w:line="400"/>
        <w:jc w:val="both"/>
      </w:pPr>
      <w:r>
        <w:rPr>
          <w:rFonts w:ascii="Times New Roman" w:cs="Times New Roman" w:eastAsia="Times New Roman" w:hAnsi="Times New Roman"/>
          <w:sz w:val="24"/>
          <w:szCs w:val="24"/>
        </w:rPr>
        <w:t xml:space="preserve">A large-language-model assistant (Claude, Anthropic) was used in interactive sessions under the author's direction to write and run the search, de-duplication and triage code, to read the abstracts of records that passed the rule-based triage and propose eligibility decisions and charting codes, and to build the tables and figures from the data files. The assistant acted as first reviewer and was not independent of the author's direction. The author decided every borderline eligibility question, obtained full texts that changed decisions, completed the blind and verification samples and approved the final classification; no second human reviewer assessed every record. Each decision and its reason are recorded in the released ledger, so the process can be audited without access to the sessions.</w:t>
      </w:r>
    </w:p>
    <w:p>
      <w:pPr>
        <w:pStyle w:val="Heading1"/>
        <w:spacing w:after="180" w:before="360"/>
      </w:pPr>
      <w:r>
        <w:rPr>
          <w:rFonts w:ascii="Times New Roman" w:cs="Times New Roman" w:eastAsia="Times New Roman" w:hAnsi="Times New Roman"/>
          <w:b/>
          <w:bCs/>
          <w:sz w:val="28"/>
          <w:szCs w:val="28"/>
        </w:rPr>
        <w:t xml:space="preserve">3. Results</w:t>
      </w:r>
    </w:p>
    <w:p>
      <w:pPr>
        <w:pStyle w:val="Heading2"/>
        <w:spacing w:after="120" w:before="240"/>
      </w:pPr>
      <w:r>
        <w:rPr>
          <w:rFonts w:ascii="Times New Roman" w:cs="Times New Roman" w:eastAsia="Times New Roman" w:hAnsi="Times New Roman"/>
          <w:b/>
          <w:bCs/>
          <w:i/>
          <w:iCs/>
          <w:sz w:val="24"/>
          <w:szCs w:val="24"/>
        </w:rPr>
        <w:t xml:space="preserve">3.1 Selection of sources of evidence</w:t>
      </w:r>
    </w:p>
    <w:p>
      <w:pPr>
        <w:spacing w:after="160" w:line="400"/>
        <w:jc w:val="both"/>
      </w:pPr>
      <w:r>
        <w:rPr>
          <w:rFonts w:ascii="Times New Roman" w:cs="Times New Roman" w:eastAsia="Times New Roman" w:hAnsi="Times New Roman"/>
          <w:sz w:val="24"/>
          <w:szCs w:val="24"/>
        </w:rPr>
        <w:t xml:space="preserve">The searches identified 4,991 records; 2,510 duplicates and non-article records were removed and 2,481 records were screened. Of 279 reports assessed from the databases, 161 were excluded (26 were not primary reports, 22 were not randomised, 41 did not study workers, 33 were not digitally delivered, 39 did not report burnout as an outcome); 118 were included, and the registry added 2 (Figure 1). In total, 120 reports of 117 trials were included. The searches added after the main search found 30 of the 117 trials (25.6%), 12 of them with non-psychological mechanisms, among them the ambient AI scribe trials. The random sample of 45 excluded records contained no eligible report (0 of 45; exact 95% confidence interval 0% to 7.9%). In the blind comparison of 30 reports the reviewers agreed on 24 (80%; kappa 0.60, 95% confidence interval 0.31 to 0.89); if the two partly digital interventions were counted as excluded, agreement was 73% (kappa 0.47).</w:t>
      </w:r>
    </w:p>
    <w:p>
      <w:pPr>
        <w:keepNext/>
        <w:spacing w:after="80" w:before="200"/>
        <w:jc w:val="center"/>
      </w:pPr>
      <w:r>
        <w:drawing>
          <wp:inline distT="0" distB="0" distL="0" distR="0">
            <wp:extent cx="5334000" cy="58674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5867400"/>
                    </a:xfrm>
                    <a:prstGeom prst="rect">
                      <a:avLst/>
                    </a:prstGeom>
                  </pic:spPr>
                </pic:pic>
              </a:graphicData>
            </a:graphic>
          </wp:inline>
        </w:drawing>
      </w:r>
    </w:p>
    <w:p>
      <w:pPr>
        <w:spacing w:after="280"/>
      </w:pPr>
      <w:r>
        <w:rPr>
          <w:rFonts w:ascii="Times New Roman" w:cs="Times New Roman" w:eastAsia="Times New Roman" w:hAnsi="Times New Roman"/>
          <w:b/>
          <w:bCs/>
          <w:sz w:val="24"/>
          <w:szCs w:val="24"/>
        </w:rPr>
        <w:t xml:space="preserve">Figure 1.</w:t>
      </w:r>
      <w:r>
        <w:rPr>
          <w:rFonts w:ascii="Times New Roman" w:cs="Times New Roman" w:eastAsia="Times New Roman" w:hAnsi="Times New Roman"/>
          <w:sz w:val="24"/>
          <w:szCs w:val="24"/>
        </w:rPr>
        <w:t xml:space="preserve"> PRISMA 2020 flow diagram. Reports are the unit of counting up to the final box; the included reports belong to 117 trials.</w:t>
      </w:r>
    </w:p>
    <w:p>
      <w:pPr>
        <w:pStyle w:val="Heading2"/>
        <w:spacing w:after="120" w:before="240"/>
      </w:pPr>
      <w:r>
        <w:rPr>
          <w:rFonts w:ascii="Times New Roman" w:cs="Times New Roman" w:eastAsia="Times New Roman" w:hAnsi="Times New Roman"/>
          <w:b/>
          <w:bCs/>
          <w:i/>
          <w:iCs/>
          <w:sz w:val="24"/>
          <w:szCs w:val="24"/>
        </w:rPr>
        <w:t xml:space="preserve">3.2 Characteristics of the included trials</w:t>
      </w:r>
    </w:p>
    <w:p>
      <w:pPr>
        <w:spacing w:after="160" w:line="400"/>
        <w:jc w:val="both"/>
      </w:pPr>
      <w:r>
        <w:rPr>
          <w:rFonts w:ascii="Times New Roman" w:cs="Times New Roman" w:eastAsia="Times New Roman" w:hAnsi="Times New Roman"/>
          <w:sz w:val="24"/>
          <w:szCs w:val="24"/>
        </w:rPr>
        <w:t xml:space="preserve">Table 1 summarises the 117 trials (Supplementary Appendix C). The 108 trials that reported sample size enrolled 27,033 participants (median 110, interquartile range 66-232). The number was randomised or enrolled in 73 of these trials (median 125; 19,787 participants), analysed or completed in 6, and its basis could not be identified from the abstract in 29. Healthcare workers were studied in 73 (62.4%) trials, mental-health and social-care professionals in 7, teachers in 16 and employees of other sectors in 21. Of the trials, 76 (65.0%) were first reported from 2023 onwards (Figure 2); the share studying healthcare workers rose from 25.0% before 2020 to 72.0% in 2020-2022 and 67.1% from 2023, and live online group sessions, absent before 2020, were used in 23 trials from 2023. Web programmes (49 trials) and smartphone apps (21) were the commonest delivery modes. Mindfulness was the most frequent psychological approach (24 trials), and all 6 coaching trials were in physicians (Figure 3).</w:t>
      </w:r>
    </w:p>
    <w:p>
      <w:pPr>
        <w:keepNext/>
        <w:spacing w:after="100" w:before="240"/>
      </w:pPr>
      <w:r>
        <w:rPr>
          <w:rFonts w:ascii="Times New Roman" w:cs="Times New Roman" w:eastAsia="Times New Roman" w:hAnsi="Times New Roman"/>
          <w:b/>
          <w:bCs/>
          <w:sz w:val="24"/>
          <w:szCs w:val="24"/>
        </w:rPr>
        <w:t xml:space="preserve">Table 1.</w:t>
      </w:r>
      <w:r>
        <w:rPr>
          <w:rFonts w:ascii="Times New Roman" w:cs="Times New Roman" w:eastAsia="Times New Roman" w:hAnsi="Times New Roman"/>
          <w:sz w:val="24"/>
          <w:szCs w:val="24"/>
        </w:rPr>
        <w:t xml:space="preserve"> Characteristics of the included trials (n = 117)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39"/>
        <w:gridCol w:w="2621"/>
      </w:tblGrid>
      <w:tr>
        <w:trPr>
          <w:tblHeader/>
        </w:trPr>
        <w:tc>
          <w:tcPr>
            <w:tcW w:type="dxa" w:w="6739"/>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Characteristic</w:t>
            </w:r>
          </w:p>
        </w:tc>
        <w:tc>
          <w:tcPr>
            <w:tcW w:type="dxa" w:w="2621"/>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Trials, n (%)</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Year of first report</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2004-2019</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 (13.7%)</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2020-2022</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 (21.4%)</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2023-2026 (to 18 October)</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76 (65.0%)</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Occupational group</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Other or mixed healthcare workers</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35 (29.9%)</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Physicians and physician trainees</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22 (18.8%)</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Nurses</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 (13.7%)</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Teachers and education staff</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 (13.7%)</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Workers selected for a health condition or risk</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 (6.8%)</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Mixed-occupation workers recruited across employers</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 (6.8%)</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Mental-health and social-care professionals</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 (6.0%)</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Employees of a named occupation, industry or enterprise</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 (4.3%)</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Main delivery mode</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Web-based programme</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49 (41.9%)</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Live online sessions</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 (21.4%)</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Smartphone app</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21 (17.9%)</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Blended (digital and in-person)</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 (7.7%)</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Text or instant messaging</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 (4.3%)</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Wearable or motion-sensing platform</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 (3.4%)</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Ambient AI scribe</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 (2.6%)</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Chatbot</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 (0.9%)</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Intervention approach</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Mindfulness or meditation</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24 (20.5%)</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Non-psychological mechanism</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21 (17.9%)</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Cognitive-behavioural or stress management</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 (11.1%)</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Psychoeducation or resilience training</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 (10.3%)</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Positive psychology</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 (7.7%)</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Stress recovery and coping skills</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 (6.0%)</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Acceptance and commitment</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 (5.1%)</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Coaching</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 (5.1%)</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Compassion-based</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 (4.3%)</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Tailored, combined or other multicomponent psychological</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 (4.3%)</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Emotion regulation and emotion-focused</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 (3.4%)</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Creative and experiential group formats</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 (3.4%)</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Job crafting and work-role redesign</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 (0.9%)</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Mechanism</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Psychological</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96 (82.1%)</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Professional training</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 (7.7%)</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Physical activity or health behaviour</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 (5.1%)</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Feedback or navigation to services</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 (2.6%)</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Workflow automation</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 (2.6%)</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Comparator</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Waitlist or delayed access</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38 (32.5%)</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Active or attention control</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32 (27.4%)</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Usual practice or no intervention</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27 (23.1%)</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Not reported</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 (10.3%)</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Head-to-head digital variants</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 (6.8%)</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Human support</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Self-guided or automated</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50 (42.7%)</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Human-supported or facilitated</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49 (41.9%)</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Not reported</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18 (15.4%)</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Burnout instrument (abstract or full text)</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Maslach Burnout Inventory</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64 (54.7%)</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Copenhagen Burnout Inventory</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 (11.1%)</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Oldenburg Burnout Inventory</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 (8.5%)</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Stanford Professional Fulfillment Index (burnout scale)</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 (6.0%)</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Professional Quality of Life Scale (burnout subscale)</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 (5.1%)</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Shirom-Melamed Burnout Questionnaire</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 (4.3%)</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Single-item burnout measure</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 (1.7%)</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Bergen Burnout Inventory</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 (1.7%)</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Burnout Assessment Tool</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 (0.9%)</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Turkish adaptation of a burnout scale</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 (0.9%)</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Utrecht Burnout Scale</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 (0.9%)</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Scale of Work Engagement and Burnout (burnout scale)</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 (0.9%)</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Geldard Burnout Questionnaire</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 (0.9%)</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Japanese Burnout Scale (Kubo)</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 (0.9%)</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Not determined (full text incomplete or not obtained)</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 (1.7%)</w:t>
            </w:r>
          </w:p>
        </w:tc>
      </w:tr>
      <w:tr>
        <w:tc>
          <w:tcPr>
            <w:tcW w:type="dxa" w:w="6739"/>
            <w:tcBorders>
              <w:top w:val="single" w:color="808080" w:sz="4"/>
              <w:left w:val="none" w:color="FFFFFF" w:sz="0"/>
              <w:bottom w:val="none" w:color="FFFFFF" w:sz="0"/>
              <w:right w:val="none" w:color="FFFFFF" w:sz="0"/>
            </w:tcBorders>
          </w:tcPr>
          <w:p/>
        </w:tc>
        <w:tc>
          <w:tcPr>
            <w:tcW w:type="dxa" w:w="2621"/>
            <w:tcBorders>
              <w:top w:val="single" w:color="808080" w:sz="4"/>
              <w:left w:val="none" w:color="FFFFFF" w:sz="0"/>
              <w:bottom w:val="none" w:color="FFFFFF" w:sz="0"/>
              <w:right w:val="none" w:color="FFFFFF" w:sz="0"/>
            </w:tcBorders>
          </w:tcPr>
          <w:p/>
        </w:tc>
      </w:tr>
    </w:tbl>
    <w:p>
      <w:pPr>
        <w:keepNext/>
        <w:spacing w:after="80" w:before="200"/>
        <w:jc w:val="center"/>
      </w:pPr>
      <w:r>
        <w:drawing>
          <wp:inline distT="0" distB="0" distL="0" distR="0">
            <wp:extent cx="4953000" cy="25050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505075"/>
                    </a:xfrm>
                    <a:prstGeom prst="rect">
                      <a:avLst/>
                    </a:prstGeom>
                  </pic:spPr>
                </pic:pic>
              </a:graphicData>
            </a:graphic>
          </wp:inline>
        </w:drawing>
      </w:r>
    </w:p>
    <w:p>
      <w:pPr>
        <w:spacing w:after="280"/>
      </w:pPr>
      <w:r>
        <w:rPr>
          <w:rFonts w:ascii="Times New Roman" w:cs="Times New Roman" w:eastAsia="Times New Roman" w:hAnsi="Times New Roman"/>
          <w:b/>
          <w:bCs/>
          <w:sz w:val="24"/>
          <w:szCs w:val="24"/>
        </w:rPr>
        <w:t xml:space="preserve">Figure 2.</w:t>
      </w:r>
      <w:r>
        <w:rPr>
          <w:rFonts w:ascii="Times New Roman" w:cs="Times New Roman" w:eastAsia="Times New Roman" w:hAnsi="Times New Roman"/>
          <w:sz w:val="24"/>
          <w:szCs w:val="24"/>
        </w:rPr>
        <w:t xml:space="preserve"> Included trials by year of first report and main delivery mode (n = 117). Data for 2026 cover 1 January to 18 October 2026.</w:t>
      </w:r>
    </w:p>
    <w:p>
      <w:pPr>
        <w:keepNext/>
        <w:spacing w:after="80" w:before="200"/>
        <w:jc w:val="center"/>
      </w:pPr>
      <w:r>
        <w:drawing>
          <wp:inline distT="0" distB="0" distL="0" distR="0">
            <wp:extent cx="5905500" cy="25050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505075"/>
                    </a:xfrm>
                    <a:prstGeom prst="rect">
                      <a:avLst/>
                    </a:prstGeom>
                  </pic:spPr>
                </pic:pic>
              </a:graphicData>
            </a:graphic>
          </wp:inline>
        </w:drawing>
      </w:r>
    </w:p>
    <w:p>
      <w:pPr>
        <w:spacing w:after="280"/>
      </w:pPr>
      <w:r>
        <w:rPr>
          <w:rFonts w:ascii="Times New Roman" w:cs="Times New Roman" w:eastAsia="Times New Roman" w:hAnsi="Times New Roman"/>
          <w:b/>
          <w:bCs/>
          <w:sz w:val="24"/>
          <w:szCs w:val="24"/>
        </w:rPr>
        <w:t xml:space="preserve">Figure 3.</w:t>
      </w:r>
      <w:r>
        <w:rPr>
          <w:rFonts w:ascii="Times New Roman" w:cs="Times New Roman" w:eastAsia="Times New Roman" w:hAnsi="Times New Roman"/>
          <w:sz w:val="24"/>
          <w:szCs w:val="24"/>
        </w:rPr>
        <w:t xml:space="preserve"> Evidence map: trials by occupational group and intervention approach (n = 117); totals in parentheses, dots mark empty cells.</w:t>
      </w:r>
    </w:p>
    <w:p>
      <w:pPr>
        <w:pStyle w:val="Heading2"/>
        <w:spacing w:after="120" w:before="240"/>
      </w:pPr>
      <w:r>
        <w:rPr>
          <w:rFonts w:ascii="Times New Roman" w:cs="Times New Roman" w:eastAsia="Times New Roman" w:hAnsi="Times New Roman"/>
          <w:b/>
          <w:bCs/>
          <w:i/>
          <w:iCs/>
          <w:sz w:val="24"/>
          <w:szCs w:val="24"/>
        </w:rPr>
        <w:t xml:space="preserve">3.3 Interventions, comparators and support</w:t>
      </w:r>
    </w:p>
    <w:p>
      <w:pPr>
        <w:spacing w:after="160" w:line="400"/>
        <w:jc w:val="both"/>
      </w:pPr>
      <w:r>
        <w:rPr>
          <w:rFonts w:ascii="Times New Roman" w:cs="Times New Roman" w:eastAsia="Times New Roman" w:hAnsi="Times New Roman"/>
          <w:sz w:val="24"/>
          <w:szCs w:val="24"/>
        </w:rPr>
        <w:t xml:space="preserve">A mechanism that was not psychological was tested in 21 trials (17.9%): professional training (9), physical activity or health behaviour (6), feedback or navigation (3) and workflow automation (3, all ambient AI scribes for physicians). Of these, 12 were found only by the searches added after the main search. A waitlist or delayed-access comparator was used in 38 (32.5%) trials, an active or attention control in 32 (27.4%) and usual practice in 27 (23.1%); waitlists rose from 17.1% of trials before 2023 to 40.8% from 2023 (Table 2). Self-guided or automated interventions (50) and human-supported interventions (49) were equally common; support depended on delivery mode (24 of 25 live programmes were facilitated, 20 of 21 apps self-guided).</w:t>
      </w:r>
    </w:p>
    <w:p>
      <w:pPr>
        <w:keepNext/>
        <w:spacing w:after="100" w:before="240"/>
      </w:pPr>
      <w:r>
        <w:rPr>
          <w:rFonts w:ascii="Times New Roman" w:cs="Times New Roman" w:eastAsia="Times New Roman" w:hAnsi="Times New Roman"/>
          <w:b/>
          <w:bCs/>
          <w:sz w:val="24"/>
          <w:szCs w:val="24"/>
        </w:rPr>
        <w:t xml:space="preserve">Table 2.</w:t>
      </w:r>
      <w:r>
        <w:rPr>
          <w:rFonts w:ascii="Times New Roman" w:cs="Times New Roman" w:eastAsia="Times New Roman" w:hAnsi="Times New Roman"/>
          <w:sz w:val="24"/>
          <w:szCs w:val="24"/>
        </w:rPr>
        <w:t xml:space="preserve"> Design features of the included trials by period of first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1498"/>
        <w:gridCol w:w="1498"/>
        <w:gridCol w:w="1498"/>
        <w:gridCol w:w="1498"/>
      </w:tblGrid>
      <w:tr>
        <w:trPr>
          <w:tblHeader/>
        </w:trPr>
        <w:tc>
          <w:tcPr>
            <w:tcW w:type="dxa" w:w="3370"/>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Feature</w:t>
            </w:r>
          </w:p>
        </w:tc>
        <w:tc>
          <w:tcPr>
            <w:tcW w:type="dxa" w:w="1498"/>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2004-2019</w:t>
            </w:r>
          </w:p>
        </w:tc>
        <w:tc>
          <w:tcPr>
            <w:tcW w:type="dxa" w:w="1498"/>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2020-2022</w:t>
            </w:r>
          </w:p>
        </w:tc>
        <w:tc>
          <w:tcPr>
            <w:tcW w:type="dxa" w:w="1498"/>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2023-2026</w:t>
            </w:r>
          </w:p>
        </w:tc>
        <w:tc>
          <w:tcPr>
            <w:tcW w:type="dxa" w:w="1498"/>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All trials</w:t>
            </w:r>
          </w:p>
        </w:tc>
      </w:tr>
      <w:tr>
        <w:tc>
          <w:tcPr>
            <w:tcW w:type="dxa" w:w="337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Trials, n</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76</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117</w:t>
            </w:r>
          </w:p>
        </w:tc>
      </w:tr>
      <w:tr>
        <w:tc>
          <w:tcPr>
            <w:tcW w:type="dxa" w:w="337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Median participants enrolled</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101</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90.5</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119</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110</w:t>
            </w:r>
          </w:p>
        </w:tc>
      </w:tr>
      <w:tr>
        <w:tc>
          <w:tcPr>
            <w:tcW w:type="dxa" w:w="337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Healthcare workers, %</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25.0</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72.0</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67.1</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62.4</w:t>
            </w:r>
          </w:p>
        </w:tc>
      </w:tr>
      <w:tr>
        <w:tc>
          <w:tcPr>
            <w:tcW w:type="dxa" w:w="337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Waitlist comparator, %</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25.0</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12.0</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40.8</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32.5</w:t>
            </w:r>
          </w:p>
        </w:tc>
      </w:tr>
      <w:tr>
        <w:tc>
          <w:tcPr>
            <w:tcW w:type="dxa" w:w="337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Active or attention comparator, %</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37.5</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36.0</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22.4</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27.4</w:t>
            </w:r>
          </w:p>
        </w:tc>
      </w:tr>
      <w:tr>
        <w:tc>
          <w:tcPr>
            <w:tcW w:type="dxa" w:w="337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Human-supported intervention, %</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37.5</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32.0</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46.1</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41.9</w:t>
            </w:r>
          </w:p>
        </w:tc>
      </w:tr>
      <w:tr>
        <w:tc>
          <w:tcPr>
            <w:tcW w:type="dxa" w:w="337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Non-psychological mechanism, %</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25.0</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16.0</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17.1</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17.9</w:t>
            </w:r>
          </w:p>
        </w:tc>
      </w:tr>
      <w:tr>
        <w:tc>
          <w:tcPr>
            <w:tcW w:type="dxa" w:w="337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Burnout instrument named in abstract, %</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25.0</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48.0</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55.3</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49.6</w:t>
            </w:r>
          </w:p>
        </w:tc>
      </w:tr>
      <w:tr>
        <w:tc>
          <w:tcPr>
            <w:tcW w:type="dxa" w:w="3370"/>
            <w:tcBorders>
              <w:top w:val="single" w:color="808080" w:sz="4"/>
              <w:left w:val="none" w:color="FFFFFF" w:sz="0"/>
              <w:bottom w:val="none" w:color="FFFFFF" w:sz="0"/>
              <w:right w:val="none" w:color="FFFFFF" w:sz="0"/>
            </w:tcBorders>
          </w:tcPr>
          <w:p/>
        </w:tc>
        <w:tc>
          <w:tcPr>
            <w:tcW w:type="dxa" w:w="1498"/>
            <w:tcBorders>
              <w:top w:val="single" w:color="808080" w:sz="4"/>
              <w:left w:val="none" w:color="FFFFFF" w:sz="0"/>
              <w:bottom w:val="none" w:color="FFFFFF" w:sz="0"/>
              <w:right w:val="none" w:color="FFFFFF" w:sz="0"/>
            </w:tcBorders>
          </w:tcPr>
          <w:p/>
        </w:tc>
        <w:tc>
          <w:tcPr>
            <w:tcW w:type="dxa" w:w="1498"/>
            <w:tcBorders>
              <w:top w:val="single" w:color="808080" w:sz="4"/>
              <w:left w:val="none" w:color="FFFFFF" w:sz="0"/>
              <w:bottom w:val="none" w:color="FFFFFF" w:sz="0"/>
              <w:right w:val="none" w:color="FFFFFF" w:sz="0"/>
            </w:tcBorders>
          </w:tcPr>
          <w:p/>
        </w:tc>
        <w:tc>
          <w:tcPr>
            <w:tcW w:type="dxa" w:w="1498"/>
            <w:tcBorders>
              <w:top w:val="single" w:color="808080" w:sz="4"/>
              <w:left w:val="none" w:color="FFFFFF" w:sz="0"/>
              <w:bottom w:val="none" w:color="FFFFFF" w:sz="0"/>
              <w:right w:val="none" w:color="FFFFFF" w:sz="0"/>
            </w:tcBorders>
          </w:tcPr>
          <w:p/>
        </w:tc>
        <w:tc>
          <w:tcPr>
            <w:tcW w:type="dxa" w:w="1498"/>
            <w:tcBorders>
              <w:top w:val="single" w:color="808080" w:sz="4"/>
              <w:left w:val="none" w:color="FFFFFF" w:sz="0"/>
              <w:bottom w:val="none" w:color="FFFFFF" w:sz="0"/>
              <w:right w:val="none" w:color="FFFFFF" w:sz="0"/>
            </w:tcBorders>
          </w:tcPr>
          <w:p/>
        </w:tc>
      </w:tr>
    </w:tbl>
    <w:p>
      <w:pPr>
        <w:pStyle w:val="Heading2"/>
        <w:spacing w:after="120" w:before="240"/>
      </w:pPr>
      <w:r>
        <w:rPr>
          <w:rFonts w:ascii="Times New Roman" w:cs="Times New Roman" w:eastAsia="Times New Roman" w:hAnsi="Times New Roman"/>
          <w:b/>
          <w:bCs/>
          <w:i/>
          <w:iCs/>
          <w:sz w:val="24"/>
          <w:szCs w:val="24"/>
        </w:rPr>
        <w:t xml:space="preserve">3.4 Reporting of burnout and of trial features in abstracts</w:t>
      </w:r>
    </w:p>
    <w:p>
      <w:pPr>
        <w:spacing w:after="160" w:line="400"/>
        <w:jc w:val="both"/>
      </w:pPr>
      <w:r>
        <w:rPr>
          <w:rFonts w:ascii="Times New Roman" w:cs="Times New Roman" w:eastAsia="Times New Roman" w:hAnsi="Times New Roman"/>
          <w:sz w:val="24"/>
          <w:szCs w:val="24"/>
        </w:rPr>
        <w:t xml:space="preserve">The burnout instrument was named in 58 (49.6%) abstracts; the full text identified it for 57 of the other 59, and 2 remained undetermined. The Maslach Burnout Inventory or an adaptation was used in 64 (54.7%) trials, followed by the Copenhagen (13) and Oldenburg (10) inventories. In the abstracts, a registration number was given in 31 (26.5%) trials, attrition or analysed numbers in 32 (27.4%), an analysis population in 17 (14.5%), blinding in 13 (11.1%) and a randomisation method in 7 (6.0%). The abstract reported a burnout result favouring the intervention in 50 (42.7%) trials, a mixed result (one subscale, subgroup, arm or time point) in 27 (23.1%), no difference in 20 (17.1%) and an unfavourable result in 2 (1.7%); 4 (3.4%) reported improvement in all arms and 14 (12.0%) stated no burnout result. These codes describe reporting and are not effect estimates (Supplementary Table S3). On the verification sample the reviewers' direction codes agreed for 17 of 23 trials (74%; kappa 0.62) and the indicator judgements for 110 of 115 (96%).</w:t>
      </w:r>
    </w:p>
    <w:p>
      <w:pPr>
        <w:pStyle w:val="Heading2"/>
        <w:spacing w:after="120" w:before="240"/>
      </w:pPr>
      <w:r>
        <w:rPr>
          <w:rFonts w:ascii="Times New Roman" w:cs="Times New Roman" w:eastAsia="Times New Roman" w:hAnsi="Times New Roman"/>
          <w:b/>
          <w:bCs/>
          <w:i/>
          <w:iCs/>
          <w:sz w:val="24"/>
          <w:szCs w:val="24"/>
        </w:rPr>
        <w:t xml:space="preserve">3.5 Registered trials</w:t>
      </w:r>
    </w:p>
    <w:p>
      <w:pPr>
        <w:spacing w:after="160" w:line="400"/>
        <w:jc w:val="both"/>
      </w:pPr>
      <w:r>
        <w:rPr>
          <w:rFonts w:ascii="Times New Roman" w:cs="Times New Roman" w:eastAsia="Times New Roman" w:hAnsi="Times New Roman"/>
          <w:sz w:val="24"/>
          <w:szCs w:val="24"/>
        </w:rPr>
        <w:t xml:space="preserve">Of the 28 completed registrations, 19 were randomised and 15 of these had been completed by the end of 2023. A results report was included in this review for 9, results of 2 had been published outside its scope, and for 4 (26.7%) no results report was located (Supplementary Table S4).</w:t>
      </w:r>
    </w:p>
    <w:p>
      <w:pPr>
        <w:pStyle w:val="Heading1"/>
        <w:spacing w:after="180" w:before="360"/>
      </w:pPr>
      <w:r>
        <w:rPr>
          <w:rFonts w:ascii="Times New Roman" w:cs="Times New Roman" w:eastAsia="Times New Roman" w:hAnsi="Times New Roman"/>
          <w:b/>
          <w:bCs/>
          <w:sz w:val="28"/>
          <w:szCs w:val="28"/>
        </w:rPr>
        <w:t xml:space="preserve">4. Discussion</w:t>
      </w:r>
    </w:p>
    <w:p>
      <w:pPr>
        <w:pStyle w:val="Heading2"/>
        <w:spacing w:after="120" w:before="240"/>
      </w:pPr>
      <w:r>
        <w:rPr>
          <w:rFonts w:ascii="Times New Roman" w:cs="Times New Roman" w:eastAsia="Times New Roman" w:hAnsi="Times New Roman"/>
          <w:b/>
          <w:bCs/>
          <w:i/>
          <w:iCs/>
          <w:sz w:val="24"/>
          <w:szCs w:val="24"/>
        </w:rPr>
        <w:t xml:space="preserve">4.1 Principal findings</w:t>
      </w:r>
    </w:p>
    <w:p>
      <w:pPr>
        <w:spacing w:after="160" w:line="400"/>
        <w:jc w:val="both"/>
      </w:pPr>
      <w:r>
        <w:rPr>
          <w:rFonts w:ascii="Times New Roman" w:cs="Times New Roman" w:eastAsia="Times New Roman" w:hAnsi="Times New Roman"/>
          <w:sz w:val="24"/>
          <w:szCs w:val="24"/>
        </w:rPr>
        <w:t xml:space="preserve">This review identified 117 randomised trials of digitally delivered interventions that reported burnout in working populations. The evidence is recent: 65.0% of the trials were first reported from 2023 onwards, and the field changed after 2020 in who was studied and how interventions were delivered. It is concentrated in healthcare (62.4%), while teachers and employees of other sectors together contribute 31.6%. Most trials test psychological programmes that ask the individual worker to change (82.1%), whereas interventions that change training, work processes or practical conditions are a small and partly hidden part of the literature: 12 of 21 were found only by the searches without an intervention block. Design and reporting leave room for improvement: waitlist controls are common and were used in 40.8% of the most recent trials, the typical trial is small, only about half of the abstracts (49.6%) name the burnout instrument, and no results could be found for 4 of 15 registered trials completed by 2023. The rise since 2020 describes published trials, not trials started, and is compatible with, but does not show, an effect of the pandemic.</w:t>
      </w:r>
    </w:p>
    <w:p>
      <w:pPr>
        <w:pStyle w:val="Heading2"/>
        <w:spacing w:after="120" w:before="240"/>
      </w:pPr>
      <w:r>
        <w:rPr>
          <w:rFonts w:ascii="Times New Roman" w:cs="Times New Roman" w:eastAsia="Times New Roman" w:hAnsi="Times New Roman"/>
          <w:b/>
          <w:bCs/>
          <w:i/>
          <w:iCs/>
          <w:sz w:val="24"/>
          <w:szCs w:val="24"/>
        </w:rPr>
        <w:t xml:space="preserve">4.2 Comparison with previous reviews</w:t>
      </w:r>
    </w:p>
    <w:p>
      <w:pPr>
        <w:spacing w:after="160" w:line="400"/>
        <w:jc w:val="both"/>
      </w:pPr>
      <w:r>
        <w:rPr>
          <w:rFonts w:ascii="Times New Roman" w:cs="Times New Roman" w:eastAsia="Times New Roman" w:hAnsi="Times New Roman"/>
          <w:sz w:val="24"/>
          <w:szCs w:val="24"/>
        </w:rPr>
        <w:t xml:space="preserve">Earlier reviews were limited to one profession and pooled effects,</w:t>
      </w:r>
      <w:r>
        <w:rPr>
          <w:rFonts w:ascii="Times New Roman" w:cs="Times New Roman" w:eastAsia="Times New Roman" w:hAnsi="Times New Roman"/>
          <w:sz w:val="24"/>
          <w:szCs w:val="24"/>
          <w:vertAlign w:val="superscript"/>
        </w:rPr>
        <w:t xml:space="preserve">8</w:t>
      </w:r>
      <w:r>
        <w:rPr>
          <w:rFonts w:ascii="Times New Roman" w:cs="Times New Roman" w:eastAsia="Times New Roman" w:hAnsi="Times New Roman"/>
          <w:sz w:val="24"/>
          <w:szCs w:val="24"/>
        </w:rPr>
        <w:t xml:space="preserve"> covered healthcare workers regardless of delivery mode,</w:t>
      </w:r>
      <w:r>
        <w:rPr>
          <w:rFonts w:ascii="Times New Roman" w:cs="Times New Roman" w:eastAsia="Times New Roman" w:hAnsi="Times New Roman"/>
          <w:sz w:val="24"/>
          <w:szCs w:val="24"/>
          <w:vertAlign w:val="superscript"/>
        </w:rPr>
        <w:t xml:space="preserve">10</w:t>
      </w:r>
      <w:r>
        <w:rPr>
          <w:rFonts w:ascii="Times New Roman" w:cs="Times New Roman" w:eastAsia="Times New Roman" w:hAnsi="Times New Roman"/>
          <w:sz w:val="24"/>
          <w:szCs w:val="24"/>
        </w:rPr>
        <w:t xml:space="preserve"> or targeted stress and burnout prevention in nurses and physicians.</w:t>
      </w:r>
      <w:r>
        <w:rPr>
          <w:rFonts w:ascii="Times New Roman" w:cs="Times New Roman" w:eastAsia="Times New Roman" w:hAnsi="Times New Roman"/>
          <w:sz w:val="24"/>
          <w:szCs w:val="24"/>
          <w:vertAlign w:val="superscript"/>
        </w:rPr>
        <w:t xml:space="preserve">11</w:t>
      </w:r>
      <w:r>
        <w:rPr>
          <w:rFonts w:ascii="Times New Roman" w:cs="Times New Roman" w:eastAsia="Times New Roman" w:hAnsi="Times New Roman"/>
          <w:sz w:val="24"/>
          <w:szCs w:val="24"/>
        </w:rPr>
        <w:t xml:space="preserve"> By restricting design to randomised trials and outcome to burnout while admitting any occupation and mechanism, this review complements them (Supplementary Table S5).</w:t>
      </w:r>
    </w:p>
    <w:p>
      <w:pPr>
        <w:pStyle w:val="Heading2"/>
        <w:spacing w:after="120" w:before="240"/>
      </w:pPr>
      <w:r>
        <w:rPr>
          <w:rFonts w:ascii="Times New Roman" w:cs="Times New Roman" w:eastAsia="Times New Roman" w:hAnsi="Times New Roman"/>
          <w:b/>
          <w:bCs/>
          <w:i/>
          <w:iCs/>
          <w:sz w:val="24"/>
          <w:szCs w:val="24"/>
        </w:rPr>
        <w:t xml:space="preserve">4.3 Implications for trials and reporting</w:t>
      </w:r>
    </w:p>
    <w:p>
      <w:pPr>
        <w:spacing w:after="160" w:line="400"/>
        <w:jc w:val="both"/>
      </w:pPr>
      <w:r>
        <w:rPr>
          <w:rFonts w:ascii="Times New Roman" w:cs="Times New Roman" w:eastAsia="Times New Roman" w:hAnsi="Times New Roman"/>
          <w:sz w:val="24"/>
          <w:szCs w:val="24"/>
        </w:rPr>
        <w:t xml:space="preserve">Meta-analytic evidence in physicians suggests that organisation-directed interventions may be at least as effective as individual-directed ones,</w:t>
      </w:r>
      <w:r>
        <w:rPr>
          <w:rFonts w:ascii="Times New Roman" w:cs="Times New Roman" w:eastAsia="Times New Roman" w:hAnsi="Times New Roman"/>
          <w:sz w:val="24"/>
          <w:szCs w:val="24"/>
          <w:vertAlign w:val="superscript"/>
        </w:rPr>
        <w:t xml:space="preserve">5,6</w:t>
      </w:r>
      <w:r>
        <w:rPr>
          <w:rFonts w:ascii="Times New Roman" w:cs="Times New Roman" w:eastAsia="Times New Roman" w:hAnsi="Times New Roman"/>
          <w:sz w:val="24"/>
          <w:szCs w:val="24"/>
        </w:rPr>
        <w:t xml:space="preserve"> yet few digital trials target training, workflow or practical support. The ambient AI scribe trials are an example: they address documentation burden, a recognised driver of burnout, appeared in artificial-intelligence and informatics journals and do not use psychological terms, so reviews that search only for psychological interventions will miss them, as our own main search did. Waitlist designs can overestimate effects because participants told to wait may fare worse than with no intervention;</w:t>
      </w:r>
      <w:r>
        <w:rPr>
          <w:rFonts w:ascii="Times New Roman" w:cs="Times New Roman" w:eastAsia="Times New Roman" w:hAnsi="Times New Roman"/>
          <w:sz w:val="24"/>
          <w:szCs w:val="24"/>
          <w:vertAlign w:val="superscript"/>
        </w:rPr>
        <w:t xml:space="preserve">19</w:t>
      </w:r>
      <w:r>
        <w:rPr>
          <w:rFonts w:ascii="Times New Roman" w:cs="Times New Roman" w:eastAsia="Times New Roman" w:hAnsi="Times New Roman"/>
          <w:sz w:val="24"/>
          <w:szCs w:val="24"/>
        </w:rPr>
        <w:t xml:space="preserve"> comparisons with active controls, usual organisational support or alternative versions of a programme would show more about what the intervention adds. Burnout instruments are many, include shortened forms and rest on different concepts,</w:t>
      </w:r>
      <w:r>
        <w:rPr>
          <w:rFonts w:ascii="Times New Roman" w:cs="Times New Roman" w:eastAsia="Times New Roman" w:hAnsi="Times New Roman"/>
          <w:sz w:val="24"/>
          <w:szCs w:val="24"/>
          <w:vertAlign w:val="superscript"/>
        </w:rPr>
        <w:t xml:space="preserve">20</w:t>
      </w:r>
      <w:r>
        <w:rPr>
          <w:rFonts w:ascii="Times New Roman" w:cs="Times New Roman" w:eastAsia="Times New Roman" w:hAnsi="Times New Roman"/>
          <w:sz w:val="24"/>
          <w:szCs w:val="24"/>
        </w:rPr>
        <w:t xml:space="preserve"> and only about half of the abstracts named them, and few gave basic trial features. Following CONSORT and its e-health extension,</w:t>
      </w:r>
      <w:r>
        <w:rPr>
          <w:rFonts w:ascii="Times New Roman" w:cs="Times New Roman" w:eastAsia="Times New Roman" w:hAnsi="Times New Roman"/>
          <w:sz w:val="24"/>
          <w:szCs w:val="24"/>
          <w:vertAlign w:val="superscript"/>
        </w:rPr>
        <w:t xml:space="preserve">21,22</w:t>
      </w:r>
      <w:r>
        <w:rPr>
          <w:rFonts w:ascii="Times New Roman" w:cs="Times New Roman" w:eastAsia="Times New Roman" w:hAnsi="Times New Roman"/>
          <w:sz w:val="24"/>
          <w:szCs w:val="24"/>
        </w:rPr>
        <w:t xml:space="preserve"> abstracts should name the instrument and the primary outcome, and completed trials should publish results; the proportion without located results here is consistent with non-publication documented elsewhere,</w:t>
      </w:r>
      <w:r>
        <w:rPr>
          <w:rFonts w:ascii="Times New Roman" w:cs="Times New Roman" w:eastAsia="Times New Roman" w:hAnsi="Times New Roman"/>
          <w:sz w:val="24"/>
          <w:szCs w:val="24"/>
          <w:vertAlign w:val="superscript"/>
        </w:rPr>
        <w:t xml:space="preserve">23</w:t>
      </w:r>
      <w:r>
        <w:rPr>
          <w:rFonts w:ascii="Times New Roman" w:cs="Times New Roman" w:eastAsia="Times New Roman" w:hAnsi="Times New Roman"/>
          <w:sz w:val="24"/>
          <w:szCs w:val="24"/>
        </w:rPr>
        <w:t xml:space="preserve"> but we searched ClinicalTrials.gov only.</w:t>
      </w:r>
    </w:p>
    <w:p>
      <w:pPr>
        <w:pStyle w:val="Heading2"/>
        <w:spacing w:after="120" w:before="240"/>
      </w:pPr>
      <w:r>
        <w:rPr>
          <w:rFonts w:ascii="Times New Roman" w:cs="Times New Roman" w:eastAsia="Times New Roman" w:hAnsi="Times New Roman"/>
          <w:b/>
          <w:bCs/>
          <w:i/>
          <w:iCs/>
          <w:sz w:val="24"/>
          <w:szCs w:val="24"/>
        </w:rPr>
        <w:t xml:space="preserve">4.4 Strengths and limitations</w:t>
      </w:r>
    </w:p>
    <w:p>
      <w:pPr>
        <w:spacing w:after="160" w:line="400"/>
        <w:jc w:val="both"/>
      </w:pPr>
      <w:r>
        <w:rPr>
          <w:rFonts w:ascii="Times New Roman" w:cs="Times New Roman" w:eastAsia="Times New Roman" w:hAnsi="Times New Roman"/>
          <w:sz w:val="24"/>
          <w:szCs w:val="24"/>
        </w:rPr>
        <w:t xml:space="preserve">Strengths are the search across six databases and a registry with repeated gap checks, a ledger that records every decision with its reason, trial-level analysis and public data. The main limitation is the search. The first strategy was narrower than the eligibility criteria; we corrected this with later searches, each of which found trials the previous one had missed, and the final unified strategy was run in only four sources, so more eligible trials probably remain, particularly in Web of Science, Scopus and the databases we did not search (PsycINFO, Embase, the Cochrane register). Second, selection and charting were done first by an AI assistant and checked by one human reviewer on samples (30 reports and 23 trials), not on every record or variable, and the kappa values from these samples are imprecise. Third, eligibility and charting relied on abstracts, so the comparator, delivery mode and sample size may be incomplete, trials that measured burnout only as a secondary outcome reported in the full text can be missed (one was found through the registry; as a sensitivity check we read the open-access full texts of 15 of the 37 reports excluded on abstracts for lack of a burnout outcome, and none qualified: 0 of 15, exact 95% CI 0 to 21.8%), and the reporting indicators and direction codes describe abstracts only. Fourth, the protocol was not registered in advance. Finally, each trial received one category per variable, which simplifies multicomponent interventions, and the data for 2026 are incomplete. The map describes the evidence identified by these searches and is not a complete census of trials.</w:t>
      </w:r>
    </w:p>
    <w:p>
      <w:pPr>
        <w:pStyle w:val="Heading1"/>
        <w:spacing w:after="180" w:before="360"/>
      </w:pPr>
      <w:r>
        <w:rPr>
          <w:rFonts w:ascii="Times New Roman" w:cs="Times New Roman" w:eastAsia="Times New Roman" w:hAnsi="Times New Roman"/>
          <w:b/>
          <w:bCs/>
          <w:sz w:val="28"/>
          <w:szCs w:val="28"/>
        </w:rPr>
        <w:t xml:space="preserve">5. Conclusions</w:t>
      </w:r>
    </w:p>
    <w:p>
      <w:pPr>
        <w:spacing w:after="160" w:line="400"/>
        <w:jc w:val="both"/>
      </w:pPr>
      <w:r>
        <w:rPr>
          <w:rFonts w:ascii="Times New Roman" w:cs="Times New Roman" w:eastAsia="Times New Roman" w:hAnsi="Times New Roman"/>
          <w:sz w:val="24"/>
          <w:szCs w:val="24"/>
        </w:rPr>
        <w:t xml:space="preserve">Randomised evidence on digital interventions for occupational burnout has grown quickly since 2020 and now comprises 117 trials, concentrated in healthcare and in psychological programmes for individual workers. Recent trials rely more often on waitlist controls, many are small pilots, and abstracts often omit the burnout instrument and basic trial features. Future trials should include workers outside healthcare, test interventions that change training and work processes, use active or usual-practice comparators, and report the instrument and the results of every completed trial.</w:t>
      </w:r>
    </w:p>
    <w:p>
      <w:pPr>
        <w:pStyle w:val="Heading1"/>
        <w:spacing w:after="180" w:before="360"/>
      </w:pPr>
      <w:r>
        <w:rPr>
          <w:rFonts w:ascii="Times New Roman" w:cs="Times New Roman" w:eastAsia="Times New Roman" w:hAnsi="Times New Roman"/>
          <w:b/>
          <w:bCs/>
          <w:sz w:val="28"/>
          <w:szCs w:val="28"/>
        </w:rPr>
        <w:t xml:space="preserve">Declarations</w:t>
      </w:r>
    </w:p>
    <w:p>
      <w:pPr>
        <w:spacing w:after="160" w:line="400"/>
        <w:jc w:val="both"/>
      </w:pPr>
      <w:r>
        <w:rPr>
          <w:rFonts w:ascii="Times New Roman" w:cs="Times New Roman" w:eastAsia="Times New Roman" w:hAnsi="Times New Roman"/>
          <w:b/>
          <w:bCs/>
          <w:sz w:val="24"/>
          <w:szCs w:val="24"/>
        </w:rPr>
        <w:t xml:space="preserve">Funding:</w:t>
      </w:r>
      <w:r>
        <w:rPr>
          <w:rFonts w:ascii="Times New Roman" w:cs="Times New Roman" w:eastAsia="Times New Roman" w:hAnsi="Times New Roman"/>
          <w:sz w:val="24"/>
          <w:szCs w:val="24"/>
        </w:rPr>
        <w:t xml:space="preserve"> This research received no specific funding.</w:t>
      </w:r>
    </w:p>
    <w:p>
      <w:pPr>
        <w:spacing w:after="160" w:line="400"/>
        <w:jc w:val="both"/>
      </w:pPr>
      <w:r>
        <w:rPr>
          <w:rFonts w:ascii="Times New Roman" w:cs="Times New Roman" w:eastAsia="Times New Roman" w:hAnsi="Times New Roman"/>
          <w:b/>
          <w:bCs/>
          <w:sz w:val="24"/>
          <w:szCs w:val="24"/>
        </w:rPr>
        <w:t xml:space="preserve">Competing interests:</w:t>
      </w:r>
      <w:r>
        <w:rPr>
          <w:rFonts w:ascii="Times New Roman" w:cs="Times New Roman" w:eastAsia="Times New Roman" w:hAnsi="Times New Roman"/>
          <w:sz w:val="24"/>
          <w:szCs w:val="24"/>
        </w:rPr>
        <w:t xml:space="preserve"> The author declares no competing interests.</w:t>
      </w:r>
    </w:p>
    <w:p>
      <w:pPr>
        <w:spacing w:after="160" w:line="400"/>
        <w:jc w:val="both"/>
      </w:pPr>
      <w:r>
        <w:rPr>
          <w:rFonts w:ascii="Times New Roman" w:cs="Times New Roman" w:eastAsia="Times New Roman" w:hAnsi="Times New Roman"/>
          <w:b/>
          <w:bCs/>
          <w:sz w:val="24"/>
          <w:szCs w:val="24"/>
        </w:rPr>
        <w:t xml:space="preserve">Ethics approval:</w:t>
      </w:r>
      <w:r>
        <w:rPr>
          <w:rFonts w:ascii="Times New Roman" w:cs="Times New Roman" w:eastAsia="Times New Roman" w:hAnsi="Times New Roman"/>
          <w:sz w:val="24"/>
          <w:szCs w:val="24"/>
        </w:rPr>
        <w:t xml:space="preserve"> Not required; the review used published data only.</w:t>
      </w:r>
    </w:p>
    <w:p>
      <w:pPr>
        <w:spacing w:after="160" w:line="400"/>
        <w:jc w:val="both"/>
      </w:pPr>
      <w:r>
        <w:rPr>
          <w:rFonts w:ascii="Times New Roman" w:cs="Times New Roman" w:eastAsia="Times New Roman" w:hAnsi="Times New Roman"/>
          <w:b/>
          <w:bCs/>
          <w:sz w:val="24"/>
          <w:szCs w:val="24"/>
        </w:rPr>
        <w:t xml:space="preserve">Data availability:</w:t>
      </w:r>
      <w:r>
        <w:rPr>
          <w:rFonts w:ascii="Times New Roman" w:cs="Times New Roman" w:eastAsia="Times New Roman" w:hAnsi="Times New Roman"/>
          <w:sz w:val="24"/>
          <w:szCs w:val="24"/>
        </w:rPr>
        <w:t xml:space="preserve"> The ledger of all 301 assessed reports, the trial-level charting, the screening files, the abstract-coding files with the verification sample, the code and a data dictionary are in a public repository (link in the title page file, withheld here for blinded review). Abstracts retrieved from Web of Science and Scopus and full-text articles are not redistributed.</w:t>
      </w:r>
    </w:p>
    <w:p>
      <w:pPr>
        <w:pStyle w:val="Heading1"/>
        <w:spacing w:after="180" w:before="360"/>
      </w:pPr>
      <w:r>
        <w:rPr>
          <w:rFonts w:ascii="Times New Roman" w:cs="Times New Roman" w:eastAsia="Times New Roman" w:hAnsi="Times New Roman"/>
          <w:b/>
          <w:bCs/>
          <w:sz w:val="28"/>
          <w:szCs w:val="28"/>
        </w:rPr>
        <w:t xml:space="preserve">Declaration of generative AI and AI-assisted technologies in the writing process</w:t>
      </w:r>
    </w:p>
    <w:p>
      <w:pPr>
        <w:spacing w:after="160" w:line="400"/>
        <w:jc w:val="both"/>
      </w:pPr>
      <w:r>
        <w:rPr>
          <w:rFonts w:ascii="Times New Roman" w:cs="Times New Roman" w:eastAsia="Times New Roman" w:hAnsi="Times New Roman"/>
          <w:sz w:val="24"/>
          <w:szCs w:val="24"/>
        </w:rPr>
        <w:t xml:space="preserve">During the preparation of this work the author used Claude (Anthropic) to draft and edit the manuscript text from the released data files, to write code that builds the tables and figures, and to improve the language. After using this tool, the author reviewed and edited the content as needed and takes full responsibility for the content of the publication. The use of the tool in the research process (searching, screening, charting) is described in Section 2.7.</w:t>
      </w:r>
    </w:p>
    <w:p>
      <w:pPr>
        <w:pStyle w:val="Heading1"/>
        <w:spacing w:after="180" w:before="360"/>
      </w:pPr>
      <w:r>
        <w:rPr>
          <w:rFonts w:ascii="Times New Roman" w:cs="Times New Roman" w:eastAsia="Times New Roman" w:hAnsi="Times New Roman"/>
          <w:b/>
          <w:bCs/>
          <w:sz w:val="28"/>
          <w:szCs w:val="28"/>
        </w:rPr>
        <w:t xml:space="preserve">References</w:t>
      </w:r>
    </w:p>
    <w:p>
      <w:pPr>
        <w:spacing w:after="100" w:line="300"/>
        <w:ind w:left="440" w:hanging="440"/>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World Health Organization. Burn-out an "occupational phenomenon": International Classification of Diseases. WHO. May 28, 2019. Accessed September 20, 2026. https://www.who.int/news/item/28-05-2019-burn-out-an-occupational-phenomenon-international-classification-of-diseases</w:t>
      </w:r>
    </w:p>
    <w:p>
      <w:pPr>
        <w:spacing w:after="100" w:line="300"/>
        <w:ind w:left="440" w:hanging="440"/>
      </w:pPr>
      <w:r>
        <w:rPr>
          <w:rFonts w:ascii="Times New Roman" w:cs="Times New Roman" w:eastAsia="Times New Roman" w:hAnsi="Times New Roman"/>
          <w:sz w:val="22"/>
          <w:szCs w:val="22"/>
        </w:rPr>
        <w:t xml:space="preserve">2.	</w:t>
      </w:r>
      <w:r>
        <w:rPr>
          <w:rFonts w:ascii="Times New Roman" w:cs="Times New Roman" w:eastAsia="Times New Roman" w:hAnsi="Times New Roman"/>
          <w:sz w:val="22"/>
          <w:szCs w:val="22"/>
        </w:rPr>
        <w:t xml:space="preserve">Maslach C, Leiter MP. Understanding the burnout experience: recent research and its implications for psychiatry. </w:t>
      </w:r>
      <w:r>
        <w:rPr>
          <w:rFonts w:ascii="Times New Roman" w:cs="Times New Roman" w:eastAsia="Times New Roman" w:hAnsi="Times New Roman"/>
          <w:i/>
          <w:iCs/>
          <w:sz w:val="22"/>
          <w:szCs w:val="22"/>
        </w:rPr>
        <w:t xml:space="preserve">World Psychiatry</w:t>
      </w:r>
      <w:r>
        <w:rPr>
          <w:rFonts w:ascii="Times New Roman" w:cs="Times New Roman" w:eastAsia="Times New Roman" w:hAnsi="Times New Roman"/>
          <w:sz w:val="22"/>
          <w:szCs w:val="22"/>
        </w:rPr>
        <w:t xml:space="preserve">. 2016;15(2):103-111. doi:10.1002/wps.20311</w:t>
      </w:r>
    </w:p>
    <w:p>
      <w:pPr>
        <w:spacing w:after="100" w:line="300"/>
        <w:ind w:left="440" w:hanging="440"/>
      </w:pPr>
      <w:r>
        <w:rPr>
          <w:rFonts w:ascii="Times New Roman" w:cs="Times New Roman" w:eastAsia="Times New Roman" w:hAnsi="Times New Roman"/>
          <w:sz w:val="22"/>
          <w:szCs w:val="22"/>
        </w:rPr>
        <w:t xml:space="preserve">3.	</w:t>
      </w:r>
      <w:r>
        <w:rPr>
          <w:rFonts w:ascii="Times New Roman" w:cs="Times New Roman" w:eastAsia="Times New Roman" w:hAnsi="Times New Roman"/>
          <w:sz w:val="22"/>
          <w:szCs w:val="22"/>
        </w:rPr>
        <w:t xml:space="preserve">Rotenstein LS, Torre M, Ramos MA, et al. Prevalence of burnout among physicians: a systematic review. </w:t>
      </w:r>
      <w:r>
        <w:rPr>
          <w:rFonts w:ascii="Times New Roman" w:cs="Times New Roman" w:eastAsia="Times New Roman" w:hAnsi="Times New Roman"/>
          <w:i/>
          <w:iCs/>
          <w:sz w:val="22"/>
          <w:szCs w:val="22"/>
        </w:rPr>
        <w:t xml:space="preserve">JAMA</w:t>
      </w:r>
      <w:r>
        <w:rPr>
          <w:rFonts w:ascii="Times New Roman" w:cs="Times New Roman" w:eastAsia="Times New Roman" w:hAnsi="Times New Roman"/>
          <w:sz w:val="22"/>
          <w:szCs w:val="22"/>
        </w:rPr>
        <w:t xml:space="preserve">. 2018;320(11):1131-1150. doi:10.1001/jama.2018.12777</w:t>
      </w:r>
    </w:p>
    <w:p>
      <w:pPr>
        <w:spacing w:after="100" w:line="300"/>
        <w:ind w:left="440" w:hanging="440"/>
      </w:pPr>
      <w:r>
        <w:rPr>
          <w:rFonts w:ascii="Times New Roman" w:cs="Times New Roman" w:eastAsia="Times New Roman" w:hAnsi="Times New Roman"/>
          <w:sz w:val="22"/>
          <w:szCs w:val="22"/>
        </w:rPr>
        <w:t xml:space="preserve">4.	</w:t>
      </w:r>
      <w:r>
        <w:rPr>
          <w:rFonts w:ascii="Times New Roman" w:cs="Times New Roman" w:eastAsia="Times New Roman" w:hAnsi="Times New Roman"/>
          <w:sz w:val="22"/>
          <w:szCs w:val="22"/>
        </w:rPr>
        <w:t xml:space="preserve">West CP, Dyrbye LN, Shanafelt TD. Physician burnout: contributors, consequences and solutions. </w:t>
      </w:r>
      <w:r>
        <w:rPr>
          <w:rFonts w:ascii="Times New Roman" w:cs="Times New Roman" w:eastAsia="Times New Roman" w:hAnsi="Times New Roman"/>
          <w:i/>
          <w:iCs/>
          <w:sz w:val="22"/>
          <w:szCs w:val="22"/>
        </w:rPr>
        <w:t xml:space="preserve">J Intern Med</w:t>
      </w:r>
      <w:r>
        <w:rPr>
          <w:rFonts w:ascii="Times New Roman" w:cs="Times New Roman" w:eastAsia="Times New Roman" w:hAnsi="Times New Roman"/>
          <w:sz w:val="22"/>
          <w:szCs w:val="22"/>
        </w:rPr>
        <w:t xml:space="preserve">. 2018;283(6):516-529. doi:10.1111/joim.12752</w:t>
      </w:r>
    </w:p>
    <w:p>
      <w:pPr>
        <w:spacing w:after="100" w:line="300"/>
        <w:ind w:left="440" w:hanging="440"/>
      </w:pPr>
      <w:r>
        <w:rPr>
          <w:rFonts w:ascii="Times New Roman" w:cs="Times New Roman" w:eastAsia="Times New Roman" w:hAnsi="Times New Roman"/>
          <w:sz w:val="22"/>
          <w:szCs w:val="22"/>
        </w:rPr>
        <w:t xml:space="preserve">5.	</w:t>
      </w:r>
      <w:r>
        <w:rPr>
          <w:rFonts w:ascii="Times New Roman" w:cs="Times New Roman" w:eastAsia="Times New Roman" w:hAnsi="Times New Roman"/>
          <w:sz w:val="22"/>
          <w:szCs w:val="22"/>
        </w:rPr>
        <w:t xml:space="preserve">West CP, Dyrbye LN, Erwin PJ, Shanafelt TD. Interventions to prevent and reduce physician burnout: a systematic review and meta-analysis. </w:t>
      </w:r>
      <w:r>
        <w:rPr>
          <w:rFonts w:ascii="Times New Roman" w:cs="Times New Roman" w:eastAsia="Times New Roman" w:hAnsi="Times New Roman"/>
          <w:i/>
          <w:iCs/>
          <w:sz w:val="22"/>
          <w:szCs w:val="22"/>
        </w:rPr>
        <w:t xml:space="preserve">Lancet</w:t>
      </w:r>
      <w:r>
        <w:rPr>
          <w:rFonts w:ascii="Times New Roman" w:cs="Times New Roman" w:eastAsia="Times New Roman" w:hAnsi="Times New Roman"/>
          <w:sz w:val="22"/>
          <w:szCs w:val="22"/>
        </w:rPr>
        <w:t xml:space="preserve">. 2016;388(10057):2272-2281. doi:10.1016/S0140-6736(16)31279-X</w:t>
      </w:r>
    </w:p>
    <w:p>
      <w:pPr>
        <w:spacing w:after="100" w:line="300"/>
        <w:ind w:left="440" w:hanging="440"/>
      </w:pPr>
      <w:r>
        <w:rPr>
          <w:rFonts w:ascii="Times New Roman" w:cs="Times New Roman" w:eastAsia="Times New Roman" w:hAnsi="Times New Roman"/>
          <w:sz w:val="22"/>
          <w:szCs w:val="22"/>
        </w:rPr>
        <w:t xml:space="preserve">6.	</w:t>
      </w:r>
      <w:r>
        <w:rPr>
          <w:rFonts w:ascii="Times New Roman" w:cs="Times New Roman" w:eastAsia="Times New Roman" w:hAnsi="Times New Roman"/>
          <w:sz w:val="22"/>
          <w:szCs w:val="22"/>
        </w:rPr>
        <w:t xml:space="preserve">Panagioti M, Panagopoulou E, Bower P, et al. Controlled interventions to reduce burnout in physicians: a systematic review and meta-analysis. </w:t>
      </w:r>
      <w:r>
        <w:rPr>
          <w:rFonts w:ascii="Times New Roman" w:cs="Times New Roman" w:eastAsia="Times New Roman" w:hAnsi="Times New Roman"/>
          <w:i/>
          <w:iCs/>
          <w:sz w:val="22"/>
          <w:szCs w:val="22"/>
        </w:rPr>
        <w:t xml:space="preserve">JAMA Intern Med</w:t>
      </w:r>
      <w:r>
        <w:rPr>
          <w:rFonts w:ascii="Times New Roman" w:cs="Times New Roman" w:eastAsia="Times New Roman" w:hAnsi="Times New Roman"/>
          <w:sz w:val="22"/>
          <w:szCs w:val="22"/>
        </w:rPr>
        <w:t xml:space="preserve">. 2017;177(2):195-205. doi:10.1001/jamainternmed.2016.7674</w:t>
      </w:r>
    </w:p>
    <w:p>
      <w:pPr>
        <w:spacing w:after="100" w:line="300"/>
        <w:ind w:left="440" w:hanging="440"/>
      </w:pPr>
      <w:r>
        <w:rPr>
          <w:rFonts w:ascii="Times New Roman" w:cs="Times New Roman" w:eastAsia="Times New Roman" w:hAnsi="Times New Roman"/>
          <w:sz w:val="22"/>
          <w:szCs w:val="22"/>
        </w:rPr>
        <w:t xml:space="preserve">7.	</w:t>
      </w:r>
      <w:r>
        <w:rPr>
          <w:rFonts w:ascii="Times New Roman" w:cs="Times New Roman" w:eastAsia="Times New Roman" w:hAnsi="Times New Roman"/>
          <w:sz w:val="22"/>
          <w:szCs w:val="22"/>
        </w:rPr>
        <w:t xml:space="preserve">Park JH, Jung SE, Ha DJ, et al. E-healthcare interventions for nurse mental health: a systematic review. </w:t>
      </w:r>
      <w:r>
        <w:rPr>
          <w:rFonts w:ascii="Times New Roman" w:cs="Times New Roman" w:eastAsia="Times New Roman" w:hAnsi="Times New Roman"/>
          <w:i/>
          <w:iCs/>
          <w:sz w:val="22"/>
          <w:szCs w:val="22"/>
        </w:rPr>
        <w:t xml:space="preserve">Medicine (Baltimore)</w:t>
      </w:r>
      <w:r>
        <w:rPr>
          <w:rFonts w:ascii="Times New Roman" w:cs="Times New Roman" w:eastAsia="Times New Roman" w:hAnsi="Times New Roman"/>
          <w:sz w:val="22"/>
          <w:szCs w:val="22"/>
        </w:rPr>
        <w:t xml:space="preserve">. 2022;101(28):e29125. doi:10.1097/MD.0000000000029125</w:t>
      </w:r>
    </w:p>
    <w:p>
      <w:pPr>
        <w:spacing w:after="100" w:line="300"/>
        <w:ind w:left="440" w:hanging="440"/>
      </w:pPr>
      <w:r>
        <w:rPr>
          <w:rFonts w:ascii="Times New Roman" w:cs="Times New Roman" w:eastAsia="Times New Roman" w:hAnsi="Times New Roman"/>
          <w:sz w:val="22"/>
          <w:szCs w:val="22"/>
        </w:rPr>
        <w:t xml:space="preserve">8.	</w:t>
      </w:r>
      <w:r>
        <w:rPr>
          <w:rFonts w:ascii="Times New Roman" w:cs="Times New Roman" w:eastAsia="Times New Roman" w:hAnsi="Times New Roman"/>
          <w:sz w:val="22"/>
          <w:szCs w:val="22"/>
        </w:rPr>
        <w:t xml:space="preserve">Yang Y, Wen J, Wan H, et al. Digital health interventions for reducing occupational burnout in nurses: a systematic review and meta-analysis. </w:t>
      </w:r>
      <w:r>
        <w:rPr>
          <w:rFonts w:ascii="Times New Roman" w:cs="Times New Roman" w:eastAsia="Times New Roman" w:hAnsi="Times New Roman"/>
          <w:i/>
          <w:iCs/>
          <w:sz w:val="22"/>
          <w:szCs w:val="22"/>
        </w:rPr>
        <w:t xml:space="preserve">Front Public Health</w:t>
      </w:r>
      <w:r>
        <w:rPr>
          <w:rFonts w:ascii="Times New Roman" w:cs="Times New Roman" w:eastAsia="Times New Roman" w:hAnsi="Times New Roman"/>
          <w:sz w:val="22"/>
          <w:szCs w:val="22"/>
        </w:rPr>
        <w:t xml:space="preserve">. 2026;14:1879258. doi:10.3389/fpubh.2026.1879258</w:t>
      </w:r>
    </w:p>
    <w:p>
      <w:pPr>
        <w:spacing w:after="100" w:line="300"/>
        <w:ind w:left="440" w:hanging="440"/>
      </w:pPr>
      <w:r>
        <w:rPr>
          <w:rFonts w:ascii="Times New Roman" w:cs="Times New Roman" w:eastAsia="Times New Roman" w:hAnsi="Times New Roman"/>
          <w:sz w:val="22"/>
          <w:szCs w:val="22"/>
        </w:rPr>
        <w:t xml:space="preserve">9.	</w:t>
      </w:r>
      <w:r>
        <w:rPr>
          <w:rFonts w:ascii="Times New Roman" w:cs="Times New Roman" w:eastAsia="Times New Roman" w:hAnsi="Times New Roman"/>
          <w:sz w:val="22"/>
          <w:szCs w:val="22"/>
        </w:rPr>
        <w:t xml:space="preserve">Lampinen VS, Kämper E, Balla VR, Katajavuori N, Asikainen H. The effectiveness of online acceptance and commitment therapy-based interventions on depression, burnout, anxiety and stress in occupational contexts: a systematic narrative review. </w:t>
      </w:r>
      <w:r>
        <w:rPr>
          <w:rFonts w:ascii="Times New Roman" w:cs="Times New Roman" w:eastAsia="Times New Roman" w:hAnsi="Times New Roman"/>
          <w:i/>
          <w:iCs/>
          <w:sz w:val="22"/>
          <w:szCs w:val="22"/>
        </w:rPr>
        <w:t xml:space="preserve">Internet Interv</w:t>
      </w:r>
      <w:r>
        <w:rPr>
          <w:rFonts w:ascii="Times New Roman" w:cs="Times New Roman" w:eastAsia="Times New Roman" w:hAnsi="Times New Roman"/>
          <w:sz w:val="22"/>
          <w:szCs w:val="22"/>
        </w:rPr>
        <w:t xml:space="preserve">. 2026;43:100909. doi:10.1016/j.invent.2026.100909</w:t>
      </w:r>
    </w:p>
    <w:p>
      <w:pPr>
        <w:spacing w:after="100" w:line="300"/>
        <w:ind w:left="440" w:hanging="440"/>
      </w:pPr>
      <w:r>
        <w:rPr>
          <w:rFonts w:ascii="Times New Roman" w:cs="Times New Roman" w:eastAsia="Times New Roman" w:hAnsi="Times New Roman"/>
          <w:sz w:val="22"/>
          <w:szCs w:val="22"/>
        </w:rPr>
        <w:t xml:space="preserve">10.	</w:t>
      </w:r>
      <w:r>
        <w:rPr>
          <w:rFonts w:ascii="Times New Roman" w:cs="Times New Roman" w:eastAsia="Times New Roman" w:hAnsi="Times New Roman"/>
          <w:sz w:val="22"/>
          <w:szCs w:val="22"/>
        </w:rPr>
        <w:t xml:space="preserve">Kunzler AM, Helmreich I, Chmitorz A, et al. Psychological interventions to foster resilience in healthcare professionals. </w:t>
      </w:r>
      <w:r>
        <w:rPr>
          <w:rFonts w:ascii="Times New Roman" w:cs="Times New Roman" w:eastAsia="Times New Roman" w:hAnsi="Times New Roman"/>
          <w:i/>
          <w:iCs/>
          <w:sz w:val="22"/>
          <w:szCs w:val="22"/>
        </w:rPr>
        <w:t xml:space="preserve">Cochrane Database Syst Rev</w:t>
      </w:r>
      <w:r>
        <w:rPr>
          <w:rFonts w:ascii="Times New Roman" w:cs="Times New Roman" w:eastAsia="Times New Roman" w:hAnsi="Times New Roman"/>
          <w:sz w:val="22"/>
          <w:szCs w:val="22"/>
        </w:rPr>
        <w:t xml:space="preserve">. 2020;(7):CD012527. doi:10.1002/14651858.CD012527.pub2</w:t>
      </w:r>
    </w:p>
    <w:p>
      <w:pPr>
        <w:spacing w:after="100" w:line="300"/>
        <w:ind w:left="440" w:hanging="440"/>
      </w:pPr>
      <w:r>
        <w:rPr>
          <w:rFonts w:ascii="Times New Roman" w:cs="Times New Roman" w:eastAsia="Times New Roman" w:hAnsi="Times New Roman"/>
          <w:sz w:val="22"/>
          <w:szCs w:val="22"/>
        </w:rPr>
        <w:t xml:space="preserve">11.	</w:t>
      </w:r>
      <w:r>
        <w:rPr>
          <w:rFonts w:ascii="Times New Roman" w:cs="Times New Roman" w:eastAsia="Times New Roman" w:hAnsi="Times New Roman"/>
          <w:sz w:val="22"/>
          <w:szCs w:val="22"/>
        </w:rPr>
        <w:t xml:space="preserve">Adam D, Berschick J, Schiele JK, et al. Interventions to reduce stress and prevent burnout in healthcare professionals supported by digital applications: a scoping review. </w:t>
      </w:r>
      <w:r>
        <w:rPr>
          <w:rFonts w:ascii="Times New Roman" w:cs="Times New Roman" w:eastAsia="Times New Roman" w:hAnsi="Times New Roman"/>
          <w:i/>
          <w:iCs/>
          <w:sz w:val="22"/>
          <w:szCs w:val="22"/>
        </w:rPr>
        <w:t xml:space="preserve">Front Public Health</w:t>
      </w:r>
      <w:r>
        <w:rPr>
          <w:rFonts w:ascii="Times New Roman" w:cs="Times New Roman" w:eastAsia="Times New Roman" w:hAnsi="Times New Roman"/>
          <w:sz w:val="22"/>
          <w:szCs w:val="22"/>
        </w:rPr>
        <w:t xml:space="preserve">. 2023;11:1231266. doi:10.3389/fpubh.2023.1231266</w:t>
      </w:r>
    </w:p>
    <w:p>
      <w:pPr>
        <w:spacing w:after="100" w:line="300"/>
        <w:ind w:left="440" w:hanging="440"/>
      </w:pPr>
      <w:r>
        <w:rPr>
          <w:rFonts w:ascii="Times New Roman" w:cs="Times New Roman" w:eastAsia="Times New Roman" w:hAnsi="Times New Roman"/>
          <w:sz w:val="22"/>
          <w:szCs w:val="22"/>
        </w:rPr>
        <w:t xml:space="preserve">12.	</w:t>
      </w:r>
      <w:r>
        <w:rPr>
          <w:rFonts w:ascii="Times New Roman" w:cs="Times New Roman" w:eastAsia="Times New Roman" w:hAnsi="Times New Roman"/>
          <w:sz w:val="22"/>
          <w:szCs w:val="22"/>
        </w:rPr>
        <w:t xml:space="preserve">Arksey H, O'Malley L. Scoping studies: towards a methodological framework. </w:t>
      </w:r>
      <w:r>
        <w:rPr>
          <w:rFonts w:ascii="Times New Roman" w:cs="Times New Roman" w:eastAsia="Times New Roman" w:hAnsi="Times New Roman"/>
          <w:i/>
          <w:iCs/>
          <w:sz w:val="22"/>
          <w:szCs w:val="22"/>
        </w:rPr>
        <w:t xml:space="preserve">Int J Soc Res Methodol</w:t>
      </w:r>
      <w:r>
        <w:rPr>
          <w:rFonts w:ascii="Times New Roman" w:cs="Times New Roman" w:eastAsia="Times New Roman" w:hAnsi="Times New Roman"/>
          <w:sz w:val="22"/>
          <w:szCs w:val="22"/>
        </w:rPr>
        <w:t xml:space="preserve">. 2005;8(1):19-32. doi:10.1080/1364557032000119616</w:t>
      </w:r>
    </w:p>
    <w:p>
      <w:pPr>
        <w:spacing w:after="100" w:line="300"/>
        <w:ind w:left="440" w:hanging="440"/>
      </w:pPr>
      <w:r>
        <w:rPr>
          <w:rFonts w:ascii="Times New Roman" w:cs="Times New Roman" w:eastAsia="Times New Roman" w:hAnsi="Times New Roman"/>
          <w:sz w:val="22"/>
          <w:szCs w:val="22"/>
        </w:rPr>
        <w:t xml:space="preserve">13.	</w:t>
      </w:r>
      <w:r>
        <w:rPr>
          <w:rFonts w:ascii="Times New Roman" w:cs="Times New Roman" w:eastAsia="Times New Roman" w:hAnsi="Times New Roman"/>
          <w:sz w:val="22"/>
          <w:szCs w:val="22"/>
        </w:rPr>
        <w:t xml:space="preserve">Levac D, Colquhoun H, O'Brien KK. Scoping studies: advancing the methodology. </w:t>
      </w:r>
      <w:r>
        <w:rPr>
          <w:rFonts w:ascii="Times New Roman" w:cs="Times New Roman" w:eastAsia="Times New Roman" w:hAnsi="Times New Roman"/>
          <w:i/>
          <w:iCs/>
          <w:sz w:val="22"/>
          <w:szCs w:val="22"/>
        </w:rPr>
        <w:t xml:space="preserve">Implement Sci</w:t>
      </w:r>
      <w:r>
        <w:rPr>
          <w:rFonts w:ascii="Times New Roman" w:cs="Times New Roman" w:eastAsia="Times New Roman" w:hAnsi="Times New Roman"/>
          <w:sz w:val="22"/>
          <w:szCs w:val="22"/>
        </w:rPr>
        <w:t xml:space="preserve">. 2010;5:69. doi:10.1186/1748-5908-5-69</w:t>
      </w:r>
    </w:p>
    <w:p>
      <w:pPr>
        <w:spacing w:after="100" w:line="300"/>
        <w:ind w:left="440" w:hanging="440"/>
      </w:pPr>
      <w:r>
        <w:rPr>
          <w:rFonts w:ascii="Times New Roman" w:cs="Times New Roman" w:eastAsia="Times New Roman" w:hAnsi="Times New Roman"/>
          <w:sz w:val="22"/>
          <w:szCs w:val="22"/>
        </w:rPr>
        <w:t xml:space="preserve">14.	</w:t>
      </w:r>
      <w:r>
        <w:rPr>
          <w:rFonts w:ascii="Times New Roman" w:cs="Times New Roman" w:eastAsia="Times New Roman" w:hAnsi="Times New Roman"/>
          <w:sz w:val="22"/>
          <w:szCs w:val="22"/>
        </w:rPr>
        <w:t xml:space="preserve">Peters MDJ, Godfrey C, McInerney P, et al. Chapter 11: scoping reviews. In: Aromataris E, Munn Z, eds. </w:t>
      </w:r>
      <w:r>
        <w:rPr>
          <w:rFonts w:ascii="Times New Roman" w:cs="Times New Roman" w:eastAsia="Times New Roman" w:hAnsi="Times New Roman"/>
          <w:i/>
          <w:iCs/>
          <w:sz w:val="22"/>
          <w:szCs w:val="22"/>
        </w:rPr>
        <w:t xml:space="preserve">JBI Manual for Evidence Synthesis</w:t>
      </w:r>
      <w:r>
        <w:rPr>
          <w:rFonts w:ascii="Times New Roman" w:cs="Times New Roman" w:eastAsia="Times New Roman" w:hAnsi="Times New Roman"/>
          <w:sz w:val="22"/>
          <w:szCs w:val="22"/>
        </w:rPr>
        <w:t xml:space="preserve">. JBI; 2020. doi:10.46658/JBIMES-20-12</w:t>
      </w:r>
    </w:p>
    <w:p>
      <w:pPr>
        <w:spacing w:after="100" w:line="300"/>
        <w:ind w:left="440" w:hanging="440"/>
      </w:pPr>
      <w:r>
        <w:rPr>
          <w:rFonts w:ascii="Times New Roman" w:cs="Times New Roman" w:eastAsia="Times New Roman" w:hAnsi="Times New Roman"/>
          <w:sz w:val="22"/>
          <w:szCs w:val="22"/>
        </w:rPr>
        <w:t xml:space="preserve">15.	</w:t>
      </w:r>
      <w:r>
        <w:rPr>
          <w:rFonts w:ascii="Times New Roman" w:cs="Times New Roman" w:eastAsia="Times New Roman" w:hAnsi="Times New Roman"/>
          <w:sz w:val="22"/>
          <w:szCs w:val="22"/>
        </w:rPr>
        <w:t xml:space="preserve">Tricco AC, Lillie E, Zarin W, et al. PRISMA Extension for Scoping Reviews (PRISMA-ScR): checklist and explanation. </w:t>
      </w:r>
      <w:r>
        <w:rPr>
          <w:rFonts w:ascii="Times New Roman" w:cs="Times New Roman" w:eastAsia="Times New Roman" w:hAnsi="Times New Roman"/>
          <w:i/>
          <w:iCs/>
          <w:sz w:val="22"/>
          <w:szCs w:val="22"/>
        </w:rPr>
        <w:t xml:space="preserve">Ann Intern Med</w:t>
      </w:r>
      <w:r>
        <w:rPr>
          <w:rFonts w:ascii="Times New Roman" w:cs="Times New Roman" w:eastAsia="Times New Roman" w:hAnsi="Times New Roman"/>
          <w:sz w:val="22"/>
          <w:szCs w:val="22"/>
        </w:rPr>
        <w:t xml:space="preserve">. 2018;169(7):467-473. doi:10.7326/M18-0850</w:t>
      </w:r>
    </w:p>
    <w:p>
      <w:pPr>
        <w:spacing w:after="100" w:line="300"/>
        <w:ind w:left="440" w:hanging="440"/>
      </w:pPr>
      <w:r>
        <w:rPr>
          <w:rFonts w:ascii="Times New Roman" w:cs="Times New Roman" w:eastAsia="Times New Roman" w:hAnsi="Times New Roman"/>
          <w:sz w:val="22"/>
          <w:szCs w:val="22"/>
        </w:rPr>
        <w:t xml:space="preserve">16.	</w:t>
      </w:r>
      <w:r>
        <w:rPr>
          <w:rFonts w:ascii="Times New Roman" w:cs="Times New Roman" w:eastAsia="Times New Roman" w:hAnsi="Times New Roman"/>
          <w:sz w:val="22"/>
          <w:szCs w:val="22"/>
        </w:rPr>
        <w:t xml:space="preserve">Page MJ, McKenzie JE, Bossuyt PM, et al. The PRISMA 2020 statement: an updated guideline for reporting systematic reviews. </w:t>
      </w:r>
      <w:r>
        <w:rPr>
          <w:rFonts w:ascii="Times New Roman" w:cs="Times New Roman" w:eastAsia="Times New Roman" w:hAnsi="Times New Roman"/>
          <w:i/>
          <w:iCs/>
          <w:sz w:val="22"/>
          <w:szCs w:val="22"/>
        </w:rPr>
        <w:t xml:space="preserve">BMJ</w:t>
      </w:r>
      <w:r>
        <w:rPr>
          <w:rFonts w:ascii="Times New Roman" w:cs="Times New Roman" w:eastAsia="Times New Roman" w:hAnsi="Times New Roman"/>
          <w:sz w:val="22"/>
          <w:szCs w:val="22"/>
        </w:rPr>
        <w:t xml:space="preserve">. 2021;372:n71. doi:10.1136/bmj.n71</w:t>
      </w:r>
    </w:p>
    <w:p>
      <w:pPr>
        <w:spacing w:after="100" w:line="300"/>
        <w:ind w:left="440" w:hanging="440"/>
      </w:pPr>
      <w:r>
        <w:rPr>
          <w:rFonts w:ascii="Times New Roman" w:cs="Times New Roman" w:eastAsia="Times New Roman" w:hAnsi="Times New Roman"/>
          <w:sz w:val="22"/>
          <w:szCs w:val="22"/>
        </w:rPr>
        <w:t xml:space="preserve">17.	</w:t>
      </w:r>
      <w:r>
        <w:rPr>
          <w:rFonts w:ascii="Times New Roman" w:cs="Times New Roman" w:eastAsia="Times New Roman" w:hAnsi="Times New Roman"/>
          <w:sz w:val="22"/>
          <w:szCs w:val="22"/>
        </w:rPr>
        <w:t xml:space="preserve">Rethlefsen ML, Kirtley S, Waffenschmidt S, et al. PRISMA-S: an extension to the PRISMA statement for reporting literature searches in systematic reviews. </w:t>
      </w:r>
      <w:r>
        <w:rPr>
          <w:rFonts w:ascii="Times New Roman" w:cs="Times New Roman" w:eastAsia="Times New Roman" w:hAnsi="Times New Roman"/>
          <w:i/>
          <w:iCs/>
          <w:sz w:val="22"/>
          <w:szCs w:val="22"/>
        </w:rPr>
        <w:t xml:space="preserve">Syst Rev</w:t>
      </w:r>
      <w:r>
        <w:rPr>
          <w:rFonts w:ascii="Times New Roman" w:cs="Times New Roman" w:eastAsia="Times New Roman" w:hAnsi="Times New Roman"/>
          <w:sz w:val="22"/>
          <w:szCs w:val="22"/>
        </w:rPr>
        <w:t xml:space="preserve">. 2021;10(1):39. doi:10.1186/s13643-020-01542-z</w:t>
      </w:r>
    </w:p>
    <w:p>
      <w:pPr>
        <w:spacing w:after="100" w:line="300"/>
        <w:ind w:left="440" w:hanging="440"/>
      </w:pPr>
      <w:r>
        <w:rPr>
          <w:rFonts w:ascii="Times New Roman" w:cs="Times New Roman" w:eastAsia="Times New Roman" w:hAnsi="Times New Roman"/>
          <w:sz w:val="22"/>
          <w:szCs w:val="22"/>
        </w:rPr>
        <w:t xml:space="preserve">18.	</w:t>
      </w:r>
      <w:r>
        <w:rPr>
          <w:rFonts w:ascii="Times New Roman" w:cs="Times New Roman" w:eastAsia="Times New Roman" w:hAnsi="Times New Roman"/>
          <w:sz w:val="22"/>
          <w:szCs w:val="22"/>
        </w:rPr>
        <w:t xml:space="preserve">Clopper CJ, Pearson ES. The use of confidence or fiducial limits illustrated in the case of the binomial. </w:t>
      </w:r>
      <w:r>
        <w:rPr>
          <w:rFonts w:ascii="Times New Roman" w:cs="Times New Roman" w:eastAsia="Times New Roman" w:hAnsi="Times New Roman"/>
          <w:i/>
          <w:iCs/>
          <w:sz w:val="22"/>
          <w:szCs w:val="22"/>
        </w:rPr>
        <w:t xml:space="preserve">Biometrika</w:t>
      </w:r>
      <w:r>
        <w:rPr>
          <w:rFonts w:ascii="Times New Roman" w:cs="Times New Roman" w:eastAsia="Times New Roman" w:hAnsi="Times New Roman"/>
          <w:sz w:val="22"/>
          <w:szCs w:val="22"/>
        </w:rPr>
        <w:t xml:space="preserve">. 1934;26(4):404-413. doi:10.1093/biomet/26.4.404</w:t>
      </w:r>
    </w:p>
    <w:p>
      <w:pPr>
        <w:spacing w:after="100" w:line="300"/>
        <w:ind w:left="440" w:hanging="440"/>
      </w:pPr>
      <w:r>
        <w:rPr>
          <w:rFonts w:ascii="Times New Roman" w:cs="Times New Roman" w:eastAsia="Times New Roman" w:hAnsi="Times New Roman"/>
          <w:sz w:val="22"/>
          <w:szCs w:val="22"/>
        </w:rPr>
        <w:t xml:space="preserve">19.	</w:t>
      </w:r>
      <w:r>
        <w:rPr>
          <w:rFonts w:ascii="Times New Roman" w:cs="Times New Roman" w:eastAsia="Times New Roman" w:hAnsi="Times New Roman"/>
          <w:sz w:val="22"/>
          <w:szCs w:val="22"/>
        </w:rPr>
        <w:t xml:space="preserve">Furukawa TA, Noma H, Caldwell DM, et al. Waiting list may be a nocebo condition in psychotherapy trials: a contribution from network meta-analysis. </w:t>
      </w:r>
      <w:r>
        <w:rPr>
          <w:rFonts w:ascii="Times New Roman" w:cs="Times New Roman" w:eastAsia="Times New Roman" w:hAnsi="Times New Roman"/>
          <w:i/>
          <w:iCs/>
          <w:sz w:val="22"/>
          <w:szCs w:val="22"/>
        </w:rPr>
        <w:t xml:space="preserve">Acta Psychiatr Scand</w:t>
      </w:r>
      <w:r>
        <w:rPr>
          <w:rFonts w:ascii="Times New Roman" w:cs="Times New Roman" w:eastAsia="Times New Roman" w:hAnsi="Times New Roman"/>
          <w:sz w:val="22"/>
          <w:szCs w:val="22"/>
        </w:rPr>
        <w:t xml:space="preserve">. 2014;130(3):181-192. doi:10.1111/acps.12275</w:t>
      </w:r>
    </w:p>
    <w:p>
      <w:pPr>
        <w:spacing w:after="100" w:line="300"/>
        <w:ind w:left="440" w:hanging="440"/>
      </w:pPr>
      <w:r>
        <w:rPr>
          <w:rFonts w:ascii="Times New Roman" w:cs="Times New Roman" w:eastAsia="Times New Roman" w:hAnsi="Times New Roman"/>
          <w:sz w:val="22"/>
          <w:szCs w:val="22"/>
        </w:rPr>
        <w:t xml:space="preserve">20.	</w:t>
      </w:r>
      <w:r>
        <w:rPr>
          <w:rFonts w:ascii="Times New Roman" w:cs="Times New Roman" w:eastAsia="Times New Roman" w:hAnsi="Times New Roman"/>
          <w:sz w:val="22"/>
          <w:szCs w:val="22"/>
        </w:rPr>
        <w:t xml:space="preserve">Schaufeli WB, De Witte H, Desart S. Burnout Assessment Tool (BAT): development, validity, and reliability. </w:t>
      </w:r>
      <w:r>
        <w:rPr>
          <w:rFonts w:ascii="Times New Roman" w:cs="Times New Roman" w:eastAsia="Times New Roman" w:hAnsi="Times New Roman"/>
          <w:i/>
          <w:iCs/>
          <w:sz w:val="22"/>
          <w:szCs w:val="22"/>
        </w:rPr>
        <w:t xml:space="preserve">Int J Environ Res Public Health</w:t>
      </w:r>
      <w:r>
        <w:rPr>
          <w:rFonts w:ascii="Times New Roman" w:cs="Times New Roman" w:eastAsia="Times New Roman" w:hAnsi="Times New Roman"/>
          <w:sz w:val="22"/>
          <w:szCs w:val="22"/>
        </w:rPr>
        <w:t xml:space="preserve">. 2020;17(24):9495. doi:10.3390/ijerph17249495</w:t>
      </w:r>
    </w:p>
    <w:p>
      <w:pPr>
        <w:spacing w:after="100" w:line="300"/>
        <w:ind w:left="440" w:hanging="440"/>
      </w:pPr>
      <w:r>
        <w:rPr>
          <w:rFonts w:ascii="Times New Roman" w:cs="Times New Roman" w:eastAsia="Times New Roman" w:hAnsi="Times New Roman"/>
          <w:sz w:val="22"/>
          <w:szCs w:val="22"/>
        </w:rPr>
        <w:t xml:space="preserve">21.	</w:t>
      </w:r>
      <w:r>
        <w:rPr>
          <w:rFonts w:ascii="Times New Roman" w:cs="Times New Roman" w:eastAsia="Times New Roman" w:hAnsi="Times New Roman"/>
          <w:sz w:val="22"/>
          <w:szCs w:val="22"/>
        </w:rPr>
        <w:t xml:space="preserve">Schulz KF, Altman DG, Moher D; CONSORT Group. CONSORT 2010 statement: updated guidelines for reporting parallel group randomised trials. </w:t>
      </w:r>
      <w:r>
        <w:rPr>
          <w:rFonts w:ascii="Times New Roman" w:cs="Times New Roman" w:eastAsia="Times New Roman" w:hAnsi="Times New Roman"/>
          <w:i/>
          <w:iCs/>
          <w:sz w:val="22"/>
          <w:szCs w:val="22"/>
        </w:rPr>
        <w:t xml:space="preserve">BMJ</w:t>
      </w:r>
      <w:r>
        <w:rPr>
          <w:rFonts w:ascii="Times New Roman" w:cs="Times New Roman" w:eastAsia="Times New Roman" w:hAnsi="Times New Roman"/>
          <w:sz w:val="22"/>
          <w:szCs w:val="22"/>
        </w:rPr>
        <w:t xml:space="preserve">. 2010;340:c332. doi:10.1136/bmj.c332</w:t>
      </w:r>
    </w:p>
    <w:p>
      <w:pPr>
        <w:spacing w:after="100" w:line="300"/>
        <w:ind w:left="440" w:hanging="440"/>
      </w:pPr>
      <w:r>
        <w:rPr>
          <w:rFonts w:ascii="Times New Roman" w:cs="Times New Roman" w:eastAsia="Times New Roman" w:hAnsi="Times New Roman"/>
          <w:sz w:val="22"/>
          <w:szCs w:val="22"/>
        </w:rPr>
        <w:t xml:space="preserve">22.	</w:t>
      </w:r>
      <w:r>
        <w:rPr>
          <w:rFonts w:ascii="Times New Roman" w:cs="Times New Roman" w:eastAsia="Times New Roman" w:hAnsi="Times New Roman"/>
          <w:sz w:val="22"/>
          <w:szCs w:val="22"/>
        </w:rPr>
        <w:t xml:space="preserve">Eysenbach G; CONSORT-EHEALTH Group. CONSORT-EHEALTH: improving and standardizing evaluation reports of web-based and mobile health interventions. </w:t>
      </w:r>
      <w:r>
        <w:rPr>
          <w:rFonts w:ascii="Times New Roman" w:cs="Times New Roman" w:eastAsia="Times New Roman" w:hAnsi="Times New Roman"/>
          <w:i/>
          <w:iCs/>
          <w:sz w:val="22"/>
          <w:szCs w:val="22"/>
        </w:rPr>
        <w:t xml:space="preserve">J Med Internet Res</w:t>
      </w:r>
      <w:r>
        <w:rPr>
          <w:rFonts w:ascii="Times New Roman" w:cs="Times New Roman" w:eastAsia="Times New Roman" w:hAnsi="Times New Roman"/>
          <w:sz w:val="22"/>
          <w:szCs w:val="22"/>
        </w:rPr>
        <w:t xml:space="preserve">. 2011;13(4):e126. doi:10.2196/jmir.1923</w:t>
      </w:r>
    </w:p>
    <w:p>
      <w:pPr>
        <w:spacing w:after="100" w:line="300"/>
        <w:ind w:left="440" w:hanging="440"/>
      </w:pPr>
      <w:r>
        <w:rPr>
          <w:rFonts w:ascii="Times New Roman" w:cs="Times New Roman" w:eastAsia="Times New Roman" w:hAnsi="Times New Roman"/>
          <w:sz w:val="22"/>
          <w:szCs w:val="22"/>
        </w:rPr>
        <w:t xml:space="preserve">23.	</w:t>
      </w:r>
      <w:r>
        <w:rPr>
          <w:rFonts w:ascii="Times New Roman" w:cs="Times New Roman" w:eastAsia="Times New Roman" w:hAnsi="Times New Roman"/>
          <w:sz w:val="22"/>
          <w:szCs w:val="22"/>
        </w:rPr>
        <w:t xml:space="preserve">Chen R, Desai NR, Ross JS, et al. Publication and reporting of clinical trial results: cross sectional analysis across academic medical centers. </w:t>
      </w:r>
      <w:r>
        <w:rPr>
          <w:rFonts w:ascii="Times New Roman" w:cs="Times New Roman" w:eastAsia="Times New Roman" w:hAnsi="Times New Roman"/>
          <w:i/>
          <w:iCs/>
          <w:sz w:val="22"/>
          <w:szCs w:val="22"/>
        </w:rPr>
        <w:t xml:space="preserve">BMJ</w:t>
      </w:r>
      <w:r>
        <w:rPr>
          <w:rFonts w:ascii="Times New Roman" w:cs="Times New Roman" w:eastAsia="Times New Roman" w:hAnsi="Times New Roman"/>
          <w:sz w:val="22"/>
          <w:szCs w:val="22"/>
        </w:rPr>
        <w:t xml:space="preserve">. 2016;352:i637. doi:10.1136/bmj.i637</w:t>
      </w:r>
    </w:p>
    <w:sectPr>
      <w:footerReference w:type="default" r:id="rId6"/>
      <w:pgSz w:w="11907" w:h="16840" w:orient="portrait"/>
      <w:pgMar w:top="1440" w:right="1300" w:bottom="1440" w:left="1300" w:header="708" w:footer="708" w:gutter="0"/>
      <w:lnNumType w:countBy="1" w:restart="continuous"/>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2abf3944d15f9e0f5c726f1b191f6e1365301080.png"/><Relationship Id="rId9" Type="http://schemas.openxmlformats.org/officeDocument/2006/relationships/image" Target="media/ec661d1343038bbdce1e4e9d3098047e503304a1.png"/><Relationship Id="rId10" Type="http://schemas.openxmlformats.org/officeDocument/2006/relationships/image" Target="media/3502729188ac525a279d43052aa73863cfff35b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Randomised Trials of Digital Interventions Reporting Occupational Burnout Outcomes: A Scoping Review and Evidence Map</dc:title>
  <cp:lastModifiedBy>Un-named</cp:lastModifiedBy>
  <cp:revision>1</cp:revision>
  <dcterms:created xsi:type="dcterms:W3CDTF">2026-10-18T15:13:11.027Z</dcterms:created>
  <dcterms:modified xsi:type="dcterms:W3CDTF">2026-10-18T15:13:11.032Z</dcterms:modified>
</cp:coreProperties>
</file>

<file path=docProps/custom.xml><?xml version="1.0" encoding="utf-8"?>
<Properties xmlns="http://schemas.openxmlformats.org/officeDocument/2006/custom-properties" xmlns:vt="http://schemas.openxmlformats.org/officeDocument/2006/docPropsVTypes"/>
</file>