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0"/>
          <w:szCs w:val="30"/>
        </w:rPr>
        <w:t xml:space="preserve">Submission metadata</w:t>
      </w:r>
    </w:p>
    <w:p>
      <w:pPr>
        <w:spacing w:after="240"/>
        <w:jc w:val="center"/>
      </w:pPr>
      <w:r>
        <w:rPr>
          <w:rFonts w:ascii="Times New Roman" w:cs="Times New Roman" w:eastAsia="Times New Roman" w:hAnsi="Times New Roman"/>
          <w:b/>
          <w:bCs/>
          <w:sz w:val="26"/>
          <w:szCs w:val="26"/>
        </w:rPr>
        <w:t xml:space="preserve">Randomised Trials of Digital Interventions Reporting Occupational Burnout Outcomes: A Scoping Review and Evidence Map</w:t>
      </w:r>
    </w:p>
    <w:p>
      <w:pPr>
        <w:spacing w:after="140" w:line="320"/>
      </w:pPr>
      <w:r>
        <w:rPr>
          <w:rFonts w:ascii="Times New Roman" w:cs="Times New Roman" w:eastAsia="Times New Roman" w:hAnsi="Times New Roman"/>
          <w:sz w:val="22"/>
          <w:szCs w:val="22"/>
        </w:rPr>
        <w:t xml:space="preserve">Items in [square brackets] can only be supplied by the corresponding author. Everything else is taken from the final manuscript (paper/burnout_scoping_review_paper.docx) and the public repository.</w:t>
      </w:r>
    </w:p>
    <w:p>
      <w:pPr>
        <w:pStyle w:val="Heading1"/>
        <w:spacing w:after="140" w:before="320"/>
      </w:pPr>
      <w:r>
        <w:rPr>
          <w:rFonts w:ascii="Times New Roman" w:cs="Times New Roman" w:eastAsia="Times New Roman" w:hAnsi="Times New Roman"/>
          <w:b/>
          <w:bCs/>
          <w:sz w:val="26"/>
          <w:szCs w:val="26"/>
        </w:rPr>
        <w:t xml:space="preserve">1. Manuscript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tcBorders>
              <w:top w:val="single" w:color="999999" w:sz="4"/>
              <w:left w:val="single" w:color="999999" w:sz="4"/>
              <w:bottom w:val="single" w:color="999999" w:sz="4"/>
              <w:right w:val="single" w:color="999999" w:sz="4"/>
            </w:tcBorders>
            <w:shd w:fill="EDEDED" w:val="clear"/>
            <w:tcMar>
              <w:top w:type="dxa" w:w="60"/>
              <w:left w:type="dxa" w:w="90"/>
              <w:bottom w:type="dxa" w:w="60"/>
              <w:right w:type="dxa" w:w="90"/>
            </w:tcMar>
          </w:tcPr>
          <w:p>
            <w:r>
              <w:rPr>
                <w:rFonts w:ascii="Times New Roman" w:cs="Times New Roman" w:eastAsia="Times New Roman" w:hAnsi="Times New Roman"/>
                <w:sz w:val="22"/>
                <w:szCs w:val="22"/>
              </w:rPr>
              <w:t xml:space="preserve">Field</w:t>
            </w:r>
          </w:p>
        </w:tc>
        <w:tc>
          <w:tcPr>
            <w:tcW w:type="dxa" w:w="7114"/>
            <w:tcBorders>
              <w:top w:val="single" w:color="999999" w:sz="4"/>
              <w:left w:val="single" w:color="999999" w:sz="4"/>
              <w:bottom w:val="single" w:color="999999" w:sz="4"/>
              <w:right w:val="single" w:color="999999" w:sz="4"/>
            </w:tcBorders>
            <w:shd w:fill="EDEDED" w:val="clear"/>
            <w:tcMar>
              <w:top w:type="dxa" w:w="60"/>
              <w:left w:type="dxa" w:w="90"/>
              <w:bottom w:type="dxa" w:w="60"/>
              <w:right w:type="dxa" w:w="90"/>
            </w:tcMar>
          </w:tcPr>
          <w:p>
            <w:r>
              <w:rPr>
                <w:rFonts w:ascii="Times New Roman" w:cs="Times New Roman" w:eastAsia="Times New Roman" w:hAnsi="Times New Roman"/>
                <w:sz w:val="22"/>
                <w:szCs w:val="22"/>
              </w:rPr>
              <w:t xml:space="preserve">Entry</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Title</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Randomised Trials of Digital Interventions Reporting Occupational Burnout Outcomes: A Scoping Review and Evidence Map</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Running title</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Digital interventions and occupational burnout: an evidence map</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Article type</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Review article: scoping review and evidence map (to be confirmed with the editorial office); PRISMA-ScR and PRISMA 2020 flow diagram</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Keywords</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occupational burnout; digital health; randomised controlled trial; scoping review; evidence map; occupational health</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Suggested MeSH terms</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Burnout, Professional; Randomized Controlled Trials as Topic; Telemedicine; Mobile Applications; Internet-Based Intervention; Occupational Health; Review</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Counts</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abstract, 238 words; main text (introduction to conclusions, including headings and captions), 2762 words. Tables: 2. Figures: 3. Supplementary file: 1. References: 23.</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Files</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Main manuscript (Word); Blinded manuscript (Word); title page (Word); Figures 1-3 (PNG, in paper/figures); supplementary file with Tables S1-S5 and Appendices A-E (Word); retrospective protocol (Word); response to the pre-submission review (Word); dataset (GitHub, see section 4)</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Language</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English</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Search dates</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17-26 September 2026 (main search); 28-29 September 2026 (supplementary searches); 18 October 2026 (unified update search in Europe PMC, OpenAlex, PubMed, ERIC; last search run); Web of Science and Scopus last searched 29 September 2026</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Included evidence</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117 randomized trials (120 reports; 27,033 participants); 4,991 records identified, 2,481 screened, 301 reports assessed</w:t>
            </w:r>
          </w:p>
        </w:tc>
      </w:tr>
    </w:tbl>
    <w:p>
      <w:pPr>
        <w:pStyle w:val="Heading1"/>
        <w:spacing w:after="140" w:before="320"/>
      </w:pPr>
      <w:r>
        <w:rPr>
          <w:rFonts w:ascii="Times New Roman" w:cs="Times New Roman" w:eastAsia="Times New Roman" w:hAnsi="Times New Roman"/>
          <w:b/>
          <w:bCs/>
          <w:sz w:val="26"/>
          <w:szCs w:val="26"/>
        </w:rPr>
        <w:t xml:space="preserve">2. Authors and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tcBorders>
              <w:top w:val="single" w:color="999999" w:sz="4"/>
              <w:left w:val="single" w:color="999999" w:sz="4"/>
              <w:bottom w:val="single" w:color="999999" w:sz="4"/>
              <w:right w:val="single" w:color="999999" w:sz="4"/>
            </w:tcBorders>
            <w:shd w:fill="EDEDED" w:val="clear"/>
            <w:tcMar>
              <w:top w:type="dxa" w:w="60"/>
              <w:left w:type="dxa" w:w="90"/>
              <w:bottom w:type="dxa" w:w="60"/>
              <w:right w:type="dxa" w:w="90"/>
            </w:tcMar>
          </w:tcPr>
          <w:p>
            <w:r>
              <w:rPr>
                <w:rFonts w:ascii="Times New Roman" w:cs="Times New Roman" w:eastAsia="Times New Roman" w:hAnsi="Times New Roman"/>
                <w:sz w:val="22"/>
                <w:szCs w:val="22"/>
              </w:rPr>
              <w:t xml:space="preserve">Field</w:t>
            </w:r>
          </w:p>
        </w:tc>
        <w:tc>
          <w:tcPr>
            <w:tcW w:type="dxa" w:w="7114"/>
            <w:tcBorders>
              <w:top w:val="single" w:color="999999" w:sz="4"/>
              <w:left w:val="single" w:color="999999" w:sz="4"/>
              <w:bottom w:val="single" w:color="999999" w:sz="4"/>
              <w:right w:val="single" w:color="999999" w:sz="4"/>
            </w:tcBorders>
            <w:shd w:fill="EDEDED" w:val="clear"/>
            <w:tcMar>
              <w:top w:type="dxa" w:w="60"/>
              <w:left w:type="dxa" w:w="90"/>
              <w:bottom w:type="dxa" w:w="60"/>
              <w:right w:type="dxa" w:w="90"/>
            </w:tcMar>
          </w:tcPr>
          <w:p>
            <w:r>
              <w:rPr>
                <w:rFonts w:ascii="Times New Roman" w:cs="Times New Roman" w:eastAsia="Times New Roman" w:hAnsi="Times New Roman"/>
                <w:sz w:val="22"/>
                <w:szCs w:val="22"/>
              </w:rPr>
              <w:t xml:space="preserve">Entry</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Author (full name)</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[full name as it should appear]</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ORCID</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[ORCID iD]</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Affiliation</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[department, institution, city, country]</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Corresponding author</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[full name]</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Postal address</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[address]</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Email</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m.reza.qeta@gmail.com</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Author contributions (CRediT)</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[if sole author: Conceptualization, Methodology, Investigation, Data curation, Formal analysis, Validation, Writing - original draft, Writing - review and editing]. Second-reviewer functions (blind eligibility sample, verification of abstract coding, decisions on borderline reports) were carried out by the corresponding author.</w:t>
            </w:r>
          </w:p>
        </w:tc>
      </w:tr>
    </w:tbl>
    <w:p>
      <w:pPr>
        <w:pStyle w:val="Heading1"/>
        <w:spacing w:after="140" w:before="320"/>
      </w:pPr>
      <w:r>
        <w:rPr>
          <w:rFonts w:ascii="Times New Roman" w:cs="Times New Roman" w:eastAsia="Times New Roman" w:hAnsi="Times New Roman"/>
          <w:b/>
          <w:bCs/>
          <w:sz w:val="26"/>
          <w:szCs w:val="26"/>
        </w:rPr>
        <w:t xml:space="preserve">3. Abstract (as in the manuscript)</w:t>
      </w:r>
    </w:p>
    <w:p>
      <w:pPr>
        <w:spacing w:after="140" w:line="320"/>
      </w:pPr>
      <w:r>
        <w:rPr>
          <w:rFonts w:ascii="Times New Roman" w:cs="Times New Roman" w:eastAsia="Times New Roman" w:hAnsi="Times New Roman"/>
          <w:sz w:val="22"/>
          <w:szCs w:val="22"/>
        </w:rPr>
        <w:t xml:space="preserve">Objectives: To map randomised trials of digitally delivered interventions in working populations that reported occupational burnout as an outcome.</w:t>
      </w:r>
    </w:p>
    <w:p>
      <w:pPr>
        <w:spacing w:after="140" w:line="320"/>
      </w:pPr>
      <w:r>
        <w:rPr>
          <w:rFonts w:ascii="Times New Roman" w:cs="Times New Roman" w:eastAsia="Times New Roman" w:hAnsi="Times New Roman"/>
          <w:sz w:val="22"/>
          <w:szCs w:val="22"/>
        </w:rPr>
        <w:t xml:space="preserve">Study design: Scoping review and evidence map, reported according to PRISMA-ScR.</w:t>
      </w:r>
    </w:p>
    <w:p>
      <w:pPr>
        <w:spacing w:after="140" w:line="320"/>
      </w:pPr>
      <w:r>
        <w:rPr>
          <w:rFonts w:ascii="Times New Roman" w:cs="Times New Roman" w:eastAsia="Times New Roman" w:hAnsi="Times New Roman"/>
          <w:sz w:val="22"/>
          <w:szCs w:val="22"/>
        </w:rPr>
        <w:t xml:space="preserve">Methods: We searched Europe PMC, OpenAlex, ERIC, Web of Science, Scopus and PubMed (17 September to 18 October 2026) and ClinicalTrials.gov. A first strategy that required a psychological-intervention term was followed by strategies without it, because the eligibility criteria admitted any mechanism. Reports were assessed against five ordered criteria, mostly from abstracts, and trials were charted by occupation, delivery mode, approach, comparator and burnout instrument. A human reviewer checked samples of the AI-assisted eligibility decisions and of the abstract-level coding.</w:t>
      </w:r>
    </w:p>
    <w:p>
      <w:pPr>
        <w:spacing w:after="140" w:line="320"/>
      </w:pPr>
      <w:r>
        <w:rPr>
          <w:rFonts w:ascii="Times New Roman" w:cs="Times New Roman" w:eastAsia="Times New Roman" w:hAnsi="Times New Roman"/>
          <w:sz w:val="22"/>
          <w:szCs w:val="22"/>
        </w:rPr>
        <w:t xml:space="preserve">Results: Of 4,991 records, 2,481 were screened and 301 reports assessed. We included 120 reports of 117 trials (27,033 participants in 108 trials reporting numbers). Most trials (65.0%) were first reported from 2023 onwards, and 73 studied healthcare workers. Web programmes (49) and smartphone apps (21) predominated; 21 trials tested non-psychological mechanisms. Waitlist controls were used in 40.8% of trials from 2023. About half of the abstracts (58) named the burnout instrument, and 31 gave a registration number. Of 15 randomised registrations completed by 2023, 4 had no located results.</w:t>
      </w:r>
    </w:p>
    <w:p>
      <w:pPr>
        <w:spacing w:after="140" w:line="320"/>
      </w:pPr>
      <w:r>
        <w:rPr>
          <w:rFonts w:ascii="Times New Roman" w:cs="Times New Roman" w:eastAsia="Times New Roman" w:hAnsi="Times New Roman"/>
          <w:sz w:val="22"/>
          <w:szCs w:val="22"/>
        </w:rPr>
        <w:t xml:space="preserve">Conclusions: The evidence has grown quickly but is concentrated in healthcare, increasingly waitlist-controlled and inconsistently reported in abstracts. Actively controlled trials outside healthcare, trials of work-system technologies, explicit reporting of burnout instruments and publication of completed trials are priorities.</w:t>
      </w:r>
    </w:p>
    <w:p>
      <w:pPr>
        <w:spacing w:after="140" w:line="320"/>
      </w:pPr>
      <w:r>
        <w:rPr>
          <w:rFonts w:ascii="Times New Roman" w:cs="Times New Roman" w:eastAsia="Times New Roman" w:hAnsi="Times New Roman"/>
          <w:b/>
          <w:bCs/>
          <w:sz w:val="22"/>
          <w:szCs w:val="22"/>
        </w:rPr>
        <w:t xml:space="preserve">Keywords:</w:t>
      </w:r>
      <w:r>
        <w:rPr>
          <w:rFonts w:ascii="Times New Roman" w:cs="Times New Roman" w:eastAsia="Times New Roman" w:hAnsi="Times New Roman"/>
          <w:sz w:val="22"/>
          <w:szCs w:val="22"/>
        </w:rPr>
        <w:t xml:space="preserve"> occupational burnout; digital health; randomised controlled trial; scoping review; evidence map; occupational health</w:t>
      </w:r>
    </w:p>
    <w:p>
      <w:pPr>
        <w:pStyle w:val="Heading1"/>
        <w:spacing w:after="140" w:before="320"/>
      </w:pPr>
      <w:r>
        <w:rPr>
          <w:rFonts w:ascii="Times New Roman" w:cs="Times New Roman" w:eastAsia="Times New Roman" w:hAnsi="Times New Roman"/>
          <w:b/>
          <w:bCs/>
          <w:sz w:val="26"/>
          <w:szCs w:val="26"/>
        </w:rPr>
        <w:t xml:space="preserve">4. Declarations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tcBorders>
              <w:top w:val="single" w:color="999999" w:sz="4"/>
              <w:left w:val="single" w:color="999999" w:sz="4"/>
              <w:bottom w:val="single" w:color="999999" w:sz="4"/>
              <w:right w:val="single" w:color="999999" w:sz="4"/>
            </w:tcBorders>
            <w:shd w:fill="EDEDED" w:val="clear"/>
            <w:tcMar>
              <w:top w:type="dxa" w:w="60"/>
              <w:left w:type="dxa" w:w="90"/>
              <w:bottom w:type="dxa" w:w="60"/>
              <w:right w:type="dxa" w:w="90"/>
            </w:tcMar>
          </w:tcPr>
          <w:p>
            <w:r>
              <w:rPr>
                <w:rFonts w:ascii="Times New Roman" w:cs="Times New Roman" w:eastAsia="Times New Roman" w:hAnsi="Times New Roman"/>
                <w:sz w:val="22"/>
                <w:szCs w:val="22"/>
              </w:rPr>
              <w:t xml:space="preserve">Item</w:t>
            </w:r>
          </w:p>
        </w:tc>
        <w:tc>
          <w:tcPr>
            <w:tcW w:type="dxa" w:w="7114"/>
            <w:tcBorders>
              <w:top w:val="single" w:color="999999" w:sz="4"/>
              <w:left w:val="single" w:color="999999" w:sz="4"/>
              <w:bottom w:val="single" w:color="999999" w:sz="4"/>
              <w:right w:val="single" w:color="999999" w:sz="4"/>
            </w:tcBorders>
            <w:shd w:fill="EDEDED" w:val="clear"/>
            <w:tcMar>
              <w:top w:type="dxa" w:w="60"/>
              <w:left w:type="dxa" w:w="90"/>
              <w:bottom w:type="dxa" w:w="60"/>
              <w:right w:type="dxa" w:w="90"/>
            </w:tcMar>
          </w:tcPr>
          <w:p>
            <w:r>
              <w:rPr>
                <w:rFonts w:ascii="Times New Roman" w:cs="Times New Roman" w:eastAsia="Times New Roman" w:hAnsi="Times New Roman"/>
                <w:sz w:val="22"/>
                <w:szCs w:val="22"/>
              </w:rPr>
              <w:t xml:space="preserve">Statement</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Funding</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This research received no specific funding.</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Competing interests</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The author declares no competing interests.</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Ethics approval and consent</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Not required; the review used published data only.</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Registration and protocol</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The review was not registered in advance. A retrospective protocol that lists every step added after the work began is provided (protocol_retrospective.docx). [OSF retrospective registration DOI, if registered.]</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Reporting guideline</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PRISMA-ScR checklist (manuscript Appendix E); PRISMA 2020 flow diagram (Figure 1)</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Use of artificial intelligence</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During the preparation of this work the author used Claude (Anthropic) to draft and edit the manuscript text from the released data files, to write code that builds the tables and figures, and to improve the language; the author reviewed and edited the content and takes full responsibility for it. Use of the tool in the research process is described in Section 2.7 of the manuscript (manuscript Section 2.8)</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Data availability</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All data and code: https://github.com/fyodora2/5R (withheld from the blinded manuscript). The ledger of all 301 assessed reports, trial-level charting, screening files, reporting-indicator and effect-direction codes, verification samples and a data dictionary (data/DATA_DICTIONARY.md) are included. Abstracts retrieved from Web of Science and Scopus and full-text articles are not redistributed. [Archived version DOI, e.g. Zenodo, if the journal requires one.]</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Code availability</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https://github.com/fyodora2/5R (scripts/final, paper/)</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Acknowledgements</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[optional]</w:t>
            </w:r>
          </w:p>
        </w:tc>
      </w:tr>
    </w:tbl>
    <w:p>
      <w:pPr>
        <w:pStyle w:val="Heading1"/>
        <w:spacing w:after="140" w:before="320"/>
      </w:pPr>
      <w:r>
        <w:rPr>
          <w:rFonts w:ascii="Times New Roman" w:cs="Times New Roman" w:eastAsia="Times New Roman" w:hAnsi="Times New Roman"/>
          <w:b/>
          <w:bCs/>
          <w:sz w:val="26"/>
          <w:szCs w:val="26"/>
        </w:rPr>
        <w:t xml:space="preserve">5. Key points (for journals that ask for them)</w:t>
      </w:r>
    </w:p>
    <w:p>
      <w:pPr>
        <w:pStyle w:val="ListParagraph"/>
        <w:numPr>
          <w:ilvl w:val="0"/>
          <w:numId w:val="2"/>
        </w:numPr>
        <w:spacing w:after="80" w:line="300"/>
      </w:pPr>
      <w:r>
        <w:rPr>
          <w:rFonts w:ascii="Times New Roman" w:cs="Times New Roman" w:eastAsia="Times New Roman" w:hAnsi="Times New Roman"/>
          <w:b/>
          <w:bCs/>
          <w:sz w:val="22"/>
          <w:szCs w:val="22"/>
        </w:rPr>
        <w:t xml:space="preserve">Question:</w:t>
      </w:r>
      <w:r>
        <w:rPr>
          <w:rFonts w:ascii="Times New Roman" w:cs="Times New Roman" w:eastAsia="Times New Roman" w:hAnsi="Times New Roman"/>
          <w:sz w:val="22"/>
          <w:szCs w:val="22"/>
        </w:rPr>
        <w:t xml:space="preserve"> What randomised evidence exists on digitally delivered interventions that report occupational burnout as an outcome?</w:t>
      </w:r>
    </w:p>
    <w:p>
      <w:pPr>
        <w:pStyle w:val="ListParagraph"/>
        <w:numPr>
          <w:ilvl w:val="0"/>
          <w:numId w:val="2"/>
        </w:numPr>
        <w:spacing w:after="80" w:line="300"/>
      </w:pPr>
      <w:r>
        <w:rPr>
          <w:rFonts w:ascii="Times New Roman" w:cs="Times New Roman" w:eastAsia="Times New Roman" w:hAnsi="Times New Roman"/>
          <w:b/>
          <w:bCs/>
          <w:sz w:val="22"/>
          <w:szCs w:val="22"/>
        </w:rPr>
        <w:t xml:space="preserve">Findings:</w:t>
      </w:r>
      <w:r>
        <w:rPr>
          <w:rFonts w:ascii="Times New Roman" w:cs="Times New Roman" w:eastAsia="Times New Roman" w:hAnsi="Times New Roman"/>
          <w:sz w:val="22"/>
          <w:szCs w:val="22"/>
        </w:rPr>
        <w:t xml:space="preserve"> In this scoping review of 117 randomised trials, 62.4% studied healthcare workers, 65.0% were first reported from 2023 onwards, 17.9% tested a non-psychological mechanism, and about half (49.6%) of the abstracts named the burnout instrument.</w:t>
      </w:r>
    </w:p>
    <w:p>
      <w:pPr>
        <w:pStyle w:val="ListParagraph"/>
        <w:numPr>
          <w:ilvl w:val="0"/>
          <w:numId w:val="2"/>
        </w:numPr>
        <w:spacing w:after="80" w:line="300"/>
      </w:pPr>
      <w:r>
        <w:rPr>
          <w:rFonts w:ascii="Times New Roman" w:cs="Times New Roman" w:eastAsia="Times New Roman" w:hAnsi="Times New Roman"/>
          <w:b/>
          <w:bCs/>
          <w:sz w:val="22"/>
          <w:szCs w:val="22"/>
        </w:rPr>
        <w:t xml:space="preserve">Meaning:</w:t>
      </w:r>
      <w:r>
        <w:rPr>
          <w:rFonts w:ascii="Times New Roman" w:cs="Times New Roman" w:eastAsia="Times New Roman" w:hAnsi="Times New Roman"/>
          <w:sz w:val="22"/>
          <w:szCs w:val="22"/>
        </w:rPr>
        <w:t xml:space="preserve"> The evidence is recent and concentrated in healthcare; actively controlled trials outside healthcare, work-system technologies, explicit instrument reporting and publication of completed trials are priorities.</w:t>
      </w:r>
    </w:p>
    <w:p>
      <w:pPr>
        <w:pStyle w:val="Heading1"/>
        <w:spacing w:after="140" w:before="320"/>
      </w:pPr>
      <w:r>
        <w:rPr>
          <w:rFonts w:ascii="Times New Roman" w:cs="Times New Roman" w:eastAsia="Times New Roman" w:hAnsi="Times New Roman"/>
          <w:b/>
          <w:bCs/>
          <w:sz w:val="26"/>
          <w:szCs w:val="26"/>
        </w:rPr>
        <w:t xml:space="preserve">6. Cover letter (draft)</w:t>
      </w:r>
    </w:p>
    <w:p>
      <w:pPr>
        <w:spacing w:after="140" w:line="320"/>
      </w:pPr>
      <w:r>
        <w:rPr>
          <w:rFonts w:ascii="Times New Roman" w:cs="Times New Roman" w:eastAsia="Times New Roman" w:hAnsi="Times New Roman"/>
          <w:sz w:val="22"/>
          <w:szCs w:val="22"/>
        </w:rPr>
        <w:t xml:space="preserve">[Date]</w:t>
      </w:r>
    </w:p>
    <w:p>
      <w:pPr>
        <w:spacing w:after="140" w:line="320"/>
      </w:pPr>
      <w:r>
        <w:rPr>
          <w:rFonts w:ascii="Times New Roman" w:cs="Times New Roman" w:eastAsia="Times New Roman" w:hAnsi="Times New Roman"/>
          <w:sz w:val="22"/>
          <w:szCs w:val="22"/>
        </w:rPr>
        <w:t xml:space="preserve">[Editor name], Editor-in-Chief, [journal name]</w:t>
      </w:r>
    </w:p>
    <w:p>
      <w:pPr>
        <w:spacing w:after="140" w:line="320"/>
      </w:pPr>
      <w:r>
        <w:rPr>
          <w:rFonts w:ascii="Times New Roman" w:cs="Times New Roman" w:eastAsia="Times New Roman" w:hAnsi="Times New Roman"/>
          <w:sz w:val="22"/>
          <w:szCs w:val="22"/>
        </w:rPr>
        <w:t xml:space="preserve">Dear [Editor name],</w:t>
      </w:r>
    </w:p>
    <w:p>
      <w:pPr>
        <w:spacing w:after="140" w:line="320"/>
      </w:pPr>
      <w:r>
        <w:rPr>
          <w:rFonts w:ascii="Times New Roman" w:cs="Times New Roman" w:eastAsia="Times New Roman" w:hAnsi="Times New Roman"/>
          <w:sz w:val="22"/>
          <w:szCs w:val="22"/>
        </w:rPr>
        <w:t xml:space="preserve">Please consider our manuscript, "Randomised Trials of Digital Interventions Reporting Occupational Burnout Outcomes: A Scoping Review and Evidence Map", for publication as a scoping review in [journal name].</w:t>
      </w:r>
    </w:p>
    <w:p>
      <w:pPr>
        <w:spacing w:after="140" w:line="320"/>
      </w:pPr>
      <w:r>
        <w:rPr>
          <w:rFonts w:ascii="Times New Roman" w:cs="Times New Roman" w:eastAsia="Times New Roman" w:hAnsi="Times New Roman"/>
          <w:sz w:val="22"/>
          <w:szCs w:val="22"/>
        </w:rPr>
        <w:t xml:space="preserve">Digital programmes are widely offered to reduce occupational burnout, yet randomised evidence has been reviewed only within single professions, single approaches or broader mental-health outcomes. We searched five databases and ClinicalTrials.gov, and after finding that the first strings missed trials of non-psychological interventions and of virtual delivery, we repeated the search without the intervention block and with additional delivery terms and controlled vocabulary. From 4,991 records we included 117 randomized trials (120 reports). The evidence is recent, concentrated in healthcare and in psychological programmes for individual workers, increasingly waitlist-controlled, and inconsistently reported: about half of the abstracts named the burnout instrument, and results could not be found for 4 of 15 randomised registrations completed by 2023.</w:t>
      </w:r>
    </w:p>
    <w:p>
      <w:pPr>
        <w:spacing w:after="140" w:line="320"/>
      </w:pPr>
      <w:r>
        <w:rPr>
          <w:rFonts w:ascii="Times New Roman" w:cs="Times New Roman" w:eastAsia="Times New Roman" w:hAnsi="Times New Roman"/>
          <w:sz w:val="22"/>
          <w:szCs w:val="22"/>
        </w:rPr>
        <w:t xml:space="preserve">We believe the article suits the readers of [journal name] because it maps where trials exist and where they do not, and it gives trialists concrete reporting recommendations. Every eligibility decision is recorded with a reason, a blind second-reviewer sample and a verification sample of the abstract coding are reported with their agreement, and the data and code are public.</w:t>
      </w:r>
    </w:p>
    <w:p>
      <w:pPr>
        <w:spacing w:after="140" w:line="320"/>
      </w:pPr>
      <w:r>
        <w:rPr>
          <w:rFonts w:ascii="Times New Roman" w:cs="Times New Roman" w:eastAsia="Times New Roman" w:hAnsi="Times New Roman"/>
          <w:sz w:val="22"/>
          <w:szCs w:val="22"/>
        </w:rPr>
        <w:t xml:space="preserve">The manuscript is not under consideration elsewhere and has not been published. The review was not registered in advance; a retrospective protocol is supplied and the limitations that follow from this, from the single-reviewer design with an AI agent, and from the databases not searched (PsycINFO, Embase, CENTRAL) are stated in the Discussion. [Suggested reviewers and exclusions: to be chosen by the author; suitable expertise areas are systematic and scoping review methodology, occupational health psychology, and digital mental-health trials.]</w:t>
      </w:r>
    </w:p>
    <w:p>
      <w:pPr>
        <w:spacing w:after="140" w:line="320"/>
      </w:pPr>
      <w:r>
        <w:rPr>
          <w:rFonts w:ascii="Times New Roman" w:cs="Times New Roman" w:eastAsia="Times New Roman" w:hAnsi="Times New Roman"/>
          <w:sz w:val="22"/>
          <w:szCs w:val="22"/>
        </w:rPr>
        <w:t xml:space="preserve">Sincerely,</w:t>
      </w:r>
    </w:p>
    <w:p>
      <w:pPr>
        <w:spacing w:after="140" w:line="320"/>
      </w:pPr>
      <w:r>
        <w:rPr>
          <w:rFonts w:ascii="Times New Roman" w:cs="Times New Roman" w:eastAsia="Times New Roman" w:hAnsi="Times New Roman"/>
          <w:sz w:val="22"/>
          <w:szCs w:val="22"/>
        </w:rPr>
        <w:t xml:space="preserve">[Name], [affiliation], m.reza.qeta@gmail.com</w:t>
      </w:r>
    </w:p>
    <w:p>
      <w:pPr>
        <w:pStyle w:val="Heading1"/>
        <w:spacing w:after="140" w:before="320"/>
      </w:pPr>
      <w:r>
        <w:rPr>
          <w:rFonts w:ascii="Times New Roman" w:cs="Times New Roman" w:eastAsia="Times New Roman" w:hAnsi="Times New Roman"/>
          <w:b/>
          <w:bCs/>
          <w:sz w:val="26"/>
          <w:szCs w:val="26"/>
        </w:rPr>
        <w:t xml:space="preserve">7. Submission checklist</w:t>
      </w:r>
    </w:p>
    <w:p>
      <w:pPr>
        <w:pStyle w:val="ListParagraph"/>
        <w:numPr>
          <w:ilvl w:val="0"/>
          <w:numId w:val="2"/>
        </w:numPr>
        <w:spacing w:after="80" w:line="300"/>
      </w:pPr>
      <w:r>
        <w:rPr>
          <w:rFonts w:ascii="Times New Roman" w:cs="Times New Roman" w:eastAsia="Times New Roman" w:hAnsi="Times New Roman"/>
          <w:sz w:val="22"/>
          <w:szCs w:val="22"/>
        </w:rPr>
        <w:t xml:space="preserve">Replace every [bracketed] item above and the author line on the manuscript title page (the manuscript still contains [Name], [affiliation] and [postal address]).</w:t>
      </w:r>
    </w:p>
    <w:p>
      <w:pPr>
        <w:pStyle w:val="ListParagraph"/>
        <w:numPr>
          <w:ilvl w:val="0"/>
          <w:numId w:val="2"/>
        </w:numPr>
        <w:spacing w:after="80" w:line="300"/>
      </w:pPr>
      <w:r>
        <w:rPr>
          <w:rFonts w:ascii="Times New Roman" w:cs="Times New Roman" w:eastAsia="Times New Roman" w:hAnsi="Times New Roman"/>
          <w:sz w:val="22"/>
          <w:szCs w:val="22"/>
        </w:rPr>
        <w:t xml:space="preserve">Choose the journal, then adapt structure and length to its instructions (abstract style, word limit, reference style). The manuscript follows a structured abstract of about 300 words and numbered references in order of citation.</w:t>
      </w:r>
    </w:p>
    <w:p>
      <w:pPr>
        <w:pStyle w:val="ListParagraph"/>
        <w:numPr>
          <w:ilvl w:val="0"/>
          <w:numId w:val="2"/>
        </w:numPr>
        <w:spacing w:after="80" w:line="300"/>
      </w:pPr>
      <w:r>
        <w:rPr>
          <w:rFonts w:ascii="Times New Roman" w:cs="Times New Roman" w:eastAsia="Times New Roman" w:hAnsi="Times New Roman"/>
          <w:sz w:val="22"/>
          <w:szCs w:val="22"/>
        </w:rPr>
        <w:t xml:space="preserve">Upload Figures 1-3 as separate files from paper/figures if the journal does not accept figures inside the Word file.</w:t>
      </w:r>
    </w:p>
    <w:p>
      <w:pPr>
        <w:pStyle w:val="ListParagraph"/>
        <w:numPr>
          <w:ilvl w:val="0"/>
          <w:numId w:val="2"/>
        </w:numPr>
        <w:spacing w:after="80" w:line="300"/>
      </w:pPr>
      <w:r>
        <w:rPr>
          <w:rFonts w:ascii="Times New Roman" w:cs="Times New Roman" w:eastAsia="Times New Roman" w:hAnsi="Times New Roman"/>
          <w:sz w:val="22"/>
          <w:szCs w:val="22"/>
        </w:rPr>
        <w:t xml:space="preserve">Add a licence file to the repository (for example CC BY 4.0 for data and MIT for code) and, if required, archive a release with a DOI.</w:t>
      </w:r>
    </w:p>
    <w:p>
      <w:pPr>
        <w:pStyle w:val="ListParagraph"/>
        <w:numPr>
          <w:ilvl w:val="0"/>
          <w:numId w:val="2"/>
        </w:numPr>
        <w:spacing w:after="80" w:line="300"/>
      </w:pPr>
      <w:r>
        <w:rPr>
          <w:rFonts w:ascii="Times New Roman" w:cs="Times New Roman" w:eastAsia="Times New Roman" w:hAnsi="Times New Roman"/>
          <w:sz w:val="22"/>
          <w:szCs w:val="22"/>
        </w:rPr>
        <w:t xml:space="preserve">Decide whether to register the retrospective protocol on OSF and add the DOI to the protocol and the declarations.</w:t>
      </w:r>
    </w:p>
    <w:p>
      <w:pPr>
        <w:pStyle w:val="ListParagraph"/>
        <w:numPr>
          <w:ilvl w:val="0"/>
          <w:numId w:val="2"/>
        </w:numPr>
        <w:spacing w:after="80" w:line="300"/>
      </w:pPr>
      <w:r>
        <w:rPr>
          <w:rFonts w:ascii="Times New Roman" w:cs="Times New Roman" w:eastAsia="Times New Roman" w:hAnsi="Times New Roman"/>
          <w:sz w:val="22"/>
          <w:szCs w:val="22"/>
        </w:rPr>
        <w:t xml:space="preserve">Open questions that could change the numbers: two WeChat 'three good things' trials (R182, R183) excluded because their abstracts report no burnout outcome; the file supplied for one included trial (S070) is incomplete, so its burnout instrument is not confirmed.</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2026-10-18T15:13:13.170Z</dcterms:created>
  <dcterms:modified xsi:type="dcterms:W3CDTF">2026-10-18T15:13:13.170Z</dcterms:modified>
</cp:coreProperties>
</file>

<file path=docProps/custom.xml><?xml version="1.0" encoding="utf-8"?>
<Properties xmlns="http://schemas.openxmlformats.org/officeDocument/2006/custom-properties" xmlns:vt="http://schemas.openxmlformats.org/officeDocument/2006/docPropsVTypes"/>
</file>