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EURUSD Release Sequence Analysis</w:t>
      </w:r>
    </w:p>
    <w:p>
      <w:r>
        <w:rPr>
          <w:sz w:val="20"/>
        </w:rPr>
        <w:t>Report date: 6 October 2026 | Release window: 3-12 August 2026</w:t>
      </w:r>
    </w:p>
    <w:p>
      <w:r>
        <w:rPr>
          <w:b/>
        </w:rPr>
        <w:t>Overall assessment: Mildly bullish EUR/USD after all three release groups. The initial dollar support from ISM weakens after payroll and wage deterioration. Monthly CPI acceleration then limits the EUR/USD upside case.</w:t>
      </w:r>
    </w:p>
    <w:p>
      <w:r>
        <w:rPr>
          <w:sz w:val="20"/>
        </w:rPr>
        <w:t>Method: Actual minus previous (A-P) deltas only. Payroll comparisons use the displayed A-P column consistently. Index changes are in points; rate changes are in percentage points (pp).</w:t>
      </w:r>
    </w:p>
    <w:p>
      <w:pPr>
        <w:pStyle w:val="Heading1"/>
      </w:pPr>
      <w:r>
        <w:t>ISM manufacturing and services</w:t>
      </w:r>
    </w:p>
    <w:p>
      <w:r>
        <w:rPr>
          <w:b/>
        </w:rPr>
        <w:t xml:space="preserve">Release dates: 3 and 5 August 2026. </w:t>
      </w:r>
      <w:r>
        <w:t>Manufacturing PMI (+2.3), employment (+3.1) and new orders (+0.7) strengthen, while prices paid ease (-1.9). This initially favors USD and weighs on EUR/USD. Services activity (+3.7), orders (+2.1) and prices paid (+2.6) reinforce demand and inflation pressure, but employment deteriorates (-3.8). The combined ISM signal is mildly bearish EUR/USD, with a labor-market warning.</w:t>
      </w:r>
    </w:p>
    <w:p>
      <w:pPr>
        <w:pStyle w:val="Heading1"/>
      </w:pPr>
      <w:r>
        <w:t>Nonfarm payrolls</w:t>
      </w:r>
    </w:p>
    <w:p>
      <w:r>
        <w:rPr>
          <w:b/>
        </w:rPr>
        <w:t xml:space="preserve">Release date: 7 August 2026. </w:t>
      </w:r>
      <w:r>
        <w:t>Payroll momentum deteriorates by 80k, comprising government (-61k) and private payrolls (-19k). Government accounts for about 76% of the deterioration, limiting evidence of broad private-sector weakness. Wage growth slows by 0.2 pp monthly and 0.3 pp annually. Unemployment falls 0.1 pp, but participation also falls 0.1 pp, making the unemployment improvement less convincing; these deltas do not establish its cause. Hours and U6 are unchanged. The balance favors USD weakness and shifts the EUR/USD bias bullish.</w:t>
      </w:r>
    </w:p>
    <w:p>
      <w:pPr>
        <w:pStyle w:val="Heading1"/>
      </w:pPr>
      <w:r>
        <w:t>Consumer price inflation</w:t>
      </w:r>
    </w:p>
    <w:p>
      <w:r>
        <w:rPr>
          <w:b/>
        </w:rPr>
        <w:t xml:space="preserve">Release date: 12 August 2026. </w:t>
      </w:r>
      <w:r>
        <w:t>Monthly headline inflation accelerates by 0.5 pp and core inflation by 0.2 pp. However, headline and core annual inflation each slow by 0.1 pp. Giving monthly changes greater weight for the latest inflation direction, CPI is a mildly dollar-positive counterweight. It supports a possible EUR/USD pullback and reduces the bullish conviction established after NFP.</w:t>
      </w:r>
    </w:p>
    <w:p>
      <w:pPr>
        <w:pStyle w:val="Heading1"/>
      </w:pPr>
      <w:r>
        <w:t>Final interpretation</w:t>
      </w:r>
    </w:p>
    <w:p>
      <w:r>
        <w:t>Bias progression: mildly bearish after ISM, bullish after NFP, then mildly bullish after CPI. Weaker employment and wages tilt the sequence toward easier Fed policy, while renewed monthly inflation pressure limits that case. This is a qualitative US-data bias, assuming unchanged euro-area conditions; the deltas do not establish an exchange-rate target or observed price reaction.</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EURUSD Release Sequence Analysis</dc:title>
  <dc:subject>ISM NFP and CPI implications for EURUSD using actual minus previous deltas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