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b/>
          <w:bCs/>
          <w:sz w:val="40"/>
          <w:szCs w:val="40"/>
          <w:u w:val="single"/>
        </w:rPr>
      </w:pPr>
      <w:r>
        <w:rPr>
          <w:b/>
          <w:bCs/>
          <w:sz w:val="40"/>
          <w:szCs w:val="40"/>
          <w:u w:val="single"/>
        </w:rPr>
        <w:t>Tuberculosis (TB) Global Trends Analysis (2014–2024)</w:t>
      </w:r>
    </w:p>
    <w:p>
      <w:pPr>
        <w:pStyle w:val="style0"/>
        <w:rPr/>
      </w:pPr>
    </w:p>
    <w:p>
      <w:pPr>
        <w:pStyle w:val="style0"/>
        <w:rPr>
          <w:b/>
          <w:bCs/>
          <w:sz w:val="24"/>
          <w:szCs w:val="24"/>
        </w:rPr>
      </w:pPr>
      <w:r>
        <w:rPr>
          <w:b/>
          <w:bCs/>
          <w:sz w:val="24"/>
          <w:szCs w:val="24"/>
        </w:rPr>
        <w:t>By</w:t>
      </w:r>
      <w:r>
        <w:rPr>
          <w:b/>
          <w:bCs/>
          <w:sz w:val="24"/>
          <w:szCs w:val="24"/>
          <w:lang w:val="en-US"/>
        </w:rPr>
        <w:t xml:space="preserve"> : Israq Bin Ahmed Fyroz</w:t>
      </w:r>
      <w:r>
        <w:rPr>
          <w:b/>
          <w:bCs/>
          <w:sz w:val="24"/>
          <w:szCs w:val="24"/>
        </w:rPr>
        <w:t xml:space="preserve"> — Future Public Health Researcher</w:t>
      </w:r>
    </w:p>
    <w:p>
      <w:pPr>
        <w:pStyle w:val="style0"/>
        <w:rPr/>
      </w:pPr>
    </w:p>
    <w:p>
      <w:pPr>
        <w:pStyle w:val="style0"/>
        <w:rPr/>
      </w:pPr>
    </w:p>
    <w:p>
      <w:pPr>
        <w:pStyle w:val="style0"/>
        <w:rPr>
          <w:b/>
          <w:bCs/>
          <w:sz w:val="24"/>
          <w:szCs w:val="24"/>
        </w:rPr>
      </w:pPr>
      <w:r>
        <w:rPr>
          <w:b/>
          <w:bCs/>
          <w:sz w:val="24"/>
          <w:szCs w:val="24"/>
        </w:rPr>
        <w:t>Executive Summary</w:t>
      </w:r>
    </w:p>
    <w:p>
      <w:pPr>
        <w:pStyle w:val="style0"/>
        <w:rPr/>
      </w:pPr>
      <w:r>
        <w:t>Tuberculosis (TB) remains a critical global public health challenge, affecting millions annually. This report analyzes global TB notifications and estimated incidence data from 2014 to 2024, focusing on age and sex distributions. Using WHO data compiled from annual global TB reports, we explore trends, disparities, and public health implications to better understand the ongoing fight against TB.</w:t>
      </w:r>
    </w:p>
    <w:p>
      <w:pPr>
        <w:pStyle w:val="style0"/>
        <w:rPr/>
      </w:pPr>
    </w:p>
    <w:p>
      <w:pPr>
        <w:pStyle w:val="style0"/>
        <w:rPr>
          <w:b/>
          <w:bCs/>
          <w:sz w:val="24"/>
          <w:szCs w:val="24"/>
        </w:rPr>
      </w:pPr>
      <w:r>
        <w:rPr>
          <w:b/>
          <w:bCs/>
          <w:sz w:val="24"/>
          <w:szCs w:val="24"/>
        </w:rPr>
        <w:t>Data and Methods</w:t>
      </w:r>
    </w:p>
    <w:p>
      <w:pPr>
        <w:pStyle w:val="style0"/>
        <w:rPr/>
      </w:pPr>
      <w:r>
        <w:t>Data were extracted from the WHO Global Tuberculosis Reports spanning 2014 to 2024. Key variables included:</w:t>
      </w:r>
    </w:p>
    <w:p>
      <w:pPr>
        <w:pStyle w:val="style0"/>
        <w:rPr/>
      </w:pPr>
    </w:p>
    <w:p>
      <w:pPr>
        <w:pStyle w:val="style0"/>
        <w:rPr/>
      </w:pPr>
      <w:r>
        <w:t>Year (2014–2024)</w:t>
      </w:r>
    </w:p>
    <w:p>
      <w:pPr>
        <w:pStyle w:val="style0"/>
        <w:rPr/>
      </w:pPr>
      <w:r>
        <w:t>Age Group: 0–14 (Children), ≥15 (Adults)</w:t>
      </w:r>
    </w:p>
    <w:p>
      <w:pPr>
        <w:pStyle w:val="style0"/>
        <w:rPr/>
      </w:pPr>
      <w:r>
        <w:t>Sex: Male, Female, Both</w:t>
      </w:r>
    </w:p>
    <w:p>
      <w:pPr>
        <w:pStyle w:val="style0"/>
        <w:rPr/>
      </w:pPr>
      <w:r>
        <w:t>Case Notifications: Reported TB cases</w:t>
      </w:r>
    </w:p>
    <w:p>
      <w:pPr>
        <w:pStyle w:val="style0"/>
        <w:rPr/>
      </w:pPr>
      <w:r>
        <w:t>Estimated Incidence: Estimated total TB cases (including unreported)</w:t>
      </w:r>
    </w:p>
    <w:p>
      <w:pPr>
        <w:pStyle w:val="style0"/>
        <w:rPr/>
      </w:pPr>
    </w:p>
    <w:p>
      <w:pPr>
        <w:pStyle w:val="style0"/>
        <w:rPr/>
      </w:pPr>
      <w:r>
        <w:t>Data were organized and cleaned in Excel, with missing values labeled as "NA". Pivot tables and charts were generated in WPS Office (Android) to summarize and visualize trends.</w:t>
      </w:r>
    </w:p>
    <w:p>
      <w:pPr>
        <w:pStyle w:val="style0"/>
        <w:rPr/>
      </w:pPr>
    </w:p>
    <w:p>
      <w:pPr>
        <w:pStyle w:val="style0"/>
        <w:rPr/>
      </w:pPr>
    </w:p>
    <w:p>
      <w:pPr>
        <w:pStyle w:val="style0"/>
        <w:rPr>
          <w:b/>
          <w:bCs/>
          <w:sz w:val="24"/>
          <w:szCs w:val="24"/>
        </w:rPr>
      </w:pPr>
      <w:r>
        <w:rPr>
          <w:b/>
          <w:bCs/>
          <w:sz w:val="24"/>
          <w:szCs w:val="24"/>
        </w:rPr>
        <w:t>Key Findings</w:t>
      </w:r>
    </w:p>
    <w:p>
      <w:pPr>
        <w:pStyle w:val="style0"/>
        <w:rPr/>
      </w:pPr>
    </w:p>
    <w:p>
      <w:pPr>
        <w:pStyle w:val="style0"/>
        <w:rPr/>
      </w:pPr>
      <w:r>
        <w:t>1. Age Distribution</w:t>
      </w:r>
    </w:p>
    <w:p>
      <w:pPr>
        <w:pStyle w:val="style0"/>
        <w:rPr/>
      </w:pPr>
      <w:r>
        <w:t>Adults (≥15 years) consistently represent the majority of TB cases (~90%).</w:t>
      </w:r>
    </w:p>
    <w:p>
      <w:pPr>
        <w:pStyle w:val="style0"/>
        <w:rPr/>
      </w:pPr>
      <w:r>
        <w:t>Children (0–14 years) contribute roughly 6–12% of global notifications, increasing slightly over the decade due to improved reporting.</w:t>
      </w:r>
    </w:p>
    <w:p>
      <w:pPr>
        <w:pStyle w:val="style0"/>
        <w:rPr/>
      </w:pPr>
    </w:p>
    <w:p>
      <w:pPr>
        <w:pStyle w:val="style0"/>
        <w:rPr/>
      </w:pPr>
      <w:r>
        <w:t>2. Sex Distribution</w:t>
      </w:r>
    </w:p>
    <w:p>
      <w:pPr>
        <w:pStyle w:val="style0"/>
        <w:rPr/>
      </w:pPr>
      <w:r>
        <w:t>TB burden is higher among males, with male-to-female ratios around 1.7:1 in notifications.</w:t>
      </w:r>
    </w:p>
    <w:p>
      <w:pPr>
        <w:pStyle w:val="style0"/>
        <w:rPr/>
      </w:pPr>
      <w:r>
        <w:t>Adult men represent approximately 54–56% of cases, women 33–35%, and children around 11–12%.</w:t>
      </w:r>
    </w:p>
    <w:p>
      <w:pPr>
        <w:pStyle w:val="style0"/>
        <w:rPr/>
      </w:pPr>
      <w:r>
        <w:t>Regional variation exists but the male predominance is a consistent global pattern.</w:t>
      </w:r>
    </w:p>
    <w:p>
      <w:pPr>
        <w:pStyle w:val="style0"/>
        <w:rPr/>
      </w:pPr>
    </w:p>
    <w:p>
      <w:pPr>
        <w:pStyle w:val="style0"/>
        <w:rPr/>
      </w:pPr>
      <w:r>
        <w:t>3. Temporal Trends</w:t>
      </w:r>
    </w:p>
    <w:p>
      <w:pPr>
        <w:pStyle w:val="style0"/>
        <w:rPr/>
      </w:pPr>
      <w:r>
        <w:t>Notifications and incidence show gradual declines prior to 2020, followed by a slight increase in 2021, likely linked to COVID-19 disruptions.</w:t>
      </w:r>
    </w:p>
    <w:p>
      <w:pPr>
        <w:pStyle w:val="style0"/>
        <w:rPr/>
      </w:pPr>
      <w:r>
        <w:t>Data quality and reporting improved over time, especially in countries like India and Indonesia.</w:t>
      </w:r>
    </w:p>
    <w:p>
      <w:pPr>
        <w:pStyle w:val="style0"/>
        <w:rPr/>
      </w:pPr>
      <w:r>
        <w:t>Overall notifications grew from about 10.9 million in 2014 to 19 million by 2024.</w:t>
      </w:r>
    </w:p>
    <w:p>
      <w:pPr>
        <w:pStyle w:val="style0"/>
        <w:rPr/>
      </w:pPr>
    </w:p>
    <w:p>
      <w:pPr>
        <w:pStyle w:val="style0"/>
        <w:rPr>
          <w:b/>
          <w:bCs/>
          <w:sz w:val="24"/>
          <w:szCs w:val="24"/>
        </w:rPr>
      </w:pPr>
      <w:r>
        <w:rPr>
          <w:b/>
          <w:bCs/>
          <w:sz w:val="24"/>
          <w:szCs w:val="24"/>
        </w:rPr>
        <w:t>Visualizations</w:t>
      </w:r>
    </w:p>
    <w:p>
      <w:pPr>
        <w:pStyle w:val="style0"/>
        <w:rPr/>
      </w:pPr>
      <w:r>
        <w:t>Three pivot chart analyses were created to depict:</w:t>
      </w:r>
    </w:p>
    <w:p>
      <w:pPr>
        <w:pStyle w:val="style0"/>
        <w:rPr/>
      </w:pPr>
      <w:r>
        <w:t>TB notifications by age group</w:t>
      </w:r>
    </w:p>
    <w:p>
      <w:pPr>
        <w:pStyle w:val="style0"/>
        <w:rPr/>
      </w:pPr>
      <w:r>
        <w:t>TB notifications by sex</w:t>
      </w:r>
    </w:p>
    <w:p>
      <w:pPr>
        <w:pStyle w:val="style0"/>
        <w:rPr/>
      </w:pPr>
      <w:r>
        <w:t>TB notifications over time (2014–2024)</w:t>
      </w:r>
    </w:p>
    <w:p>
      <w:pPr>
        <w:pStyle w:val="style0"/>
        <w:rPr/>
      </w:pPr>
      <w:r>
        <w:t>These charts clearly illustrate the dominance of adult cases, male predominance, and the temporal increase in reported cases.</w:t>
      </w:r>
    </w:p>
    <w:p>
      <w:pPr>
        <w:pStyle w:val="style0"/>
        <w:rPr/>
      </w:pPr>
    </w:p>
    <w:p>
      <w:pPr>
        <w:pStyle w:val="style0"/>
        <w:rPr>
          <w:b/>
          <w:bCs/>
        </w:rPr>
      </w:pPr>
      <w:r>
        <w:rPr>
          <w:b/>
          <w:bCs/>
        </w:rPr>
        <w:t>Public Health Implications</w:t>
      </w:r>
    </w:p>
    <w:p>
      <w:pPr>
        <w:pStyle w:val="style0"/>
        <w:rPr/>
      </w:pPr>
      <w:r>
        <w:t>Targeted interventions: Prioritize men and adult populations for TB screening and treatment.</w:t>
      </w:r>
    </w:p>
    <w:p>
      <w:pPr>
        <w:pStyle w:val="style0"/>
        <w:rPr/>
      </w:pPr>
      <w:r>
        <w:t>Focus on children: Increased efforts needed for childhood TB diagnosis and preventive treatment.</w:t>
      </w:r>
    </w:p>
    <w:p>
      <w:pPr>
        <w:pStyle w:val="style0"/>
        <w:rPr/>
      </w:pPr>
    </w:p>
    <w:p>
      <w:pPr>
        <w:pStyle w:val="style0"/>
        <w:rPr/>
      </w:pPr>
      <w:r>
        <w:t>Data improvement: Continued refinement in data collection and disaggregation will support more tailored public health responses.</w:t>
      </w:r>
    </w:p>
    <w:p>
      <w:pPr>
        <w:pStyle w:val="style0"/>
        <w:rPr/>
      </w:pPr>
      <w:r>
        <w:t>Post-pandemic recovery: Address the reversal in downward trends linked to the COVID-19 pandemic’s impact on health services.</w:t>
      </w:r>
    </w:p>
    <w:p>
      <w:pPr>
        <w:pStyle w:val="style0"/>
        <w:rPr>
          <w:b/>
          <w:bCs/>
          <w:sz w:val="24"/>
          <w:szCs w:val="24"/>
        </w:rPr>
      </w:pPr>
    </w:p>
    <w:p>
      <w:pPr>
        <w:pStyle w:val="style0"/>
        <w:rPr>
          <w:b/>
          <w:bCs/>
          <w:sz w:val="24"/>
          <w:szCs w:val="24"/>
        </w:rPr>
      </w:pPr>
      <w:r>
        <w:rPr>
          <w:b/>
          <w:bCs/>
          <w:sz w:val="24"/>
          <w:szCs w:val="24"/>
        </w:rPr>
        <w:t>Limitations</w:t>
      </w:r>
    </w:p>
    <w:p>
      <w:pPr>
        <w:pStyle w:val="style0"/>
        <w:rPr/>
      </w:pPr>
      <w:r>
        <w:t>Some data fields were not consistently reported (marked as NA).</w:t>
      </w:r>
    </w:p>
    <w:p>
      <w:pPr>
        <w:pStyle w:val="style0"/>
        <w:rPr/>
      </w:pPr>
      <w:r>
        <w:t>Estimated incidence relies on modeling assumptions that may underrepresent male burden.</w:t>
      </w:r>
    </w:p>
    <w:p>
      <w:pPr>
        <w:pStyle w:val="style0"/>
        <w:rPr/>
      </w:pPr>
      <w:r>
        <w:t>Childhood TB data are challenged by inconsistent definitions and reporting.</w:t>
      </w:r>
    </w:p>
    <w:p>
      <w:pPr>
        <w:pStyle w:val="style0"/>
        <w:rPr/>
      </w:pPr>
    </w:p>
    <w:p>
      <w:pPr>
        <w:pStyle w:val="style0"/>
        <w:rPr/>
      </w:pPr>
    </w:p>
    <w:p>
      <w:pPr>
        <w:pStyle w:val="style0"/>
        <w:rPr>
          <w:b/>
          <w:bCs/>
          <w:sz w:val="24"/>
          <w:szCs w:val="24"/>
        </w:rPr>
      </w:pPr>
      <w:r>
        <w:rPr>
          <w:b/>
          <w:bCs/>
          <w:sz w:val="24"/>
          <w:szCs w:val="24"/>
        </w:rPr>
        <w:t>Conclusion</w:t>
      </w:r>
    </w:p>
    <w:p>
      <w:pPr>
        <w:pStyle w:val="style0"/>
        <w:rPr/>
      </w:pPr>
      <w:r>
        <w:t>This analysis demonstrates significant trends in TB epidemiology over the past decade, highlighting age and sex disparities and the impact of recent global events. Publishing this work on LinkedIn and GitHub will maximize visibility and contribute to public health knowledge-sharing.</w:t>
      </w:r>
    </w:p>
    <w:p>
      <w:pPr>
        <w:pStyle w:val="style0"/>
        <w:rPr/>
      </w:pPr>
    </w:p>
    <w:p>
      <w:pPr>
        <w:pStyle w:val="style0"/>
        <w:rPr/>
      </w:pPr>
      <w:r>
        <w:t>Thank you for reading. Feel free to connect or reach out for collaboration or data requests!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474</Words>
  <Characters>2812</Characters>
  <Application>WPS Office</Application>
  <Paragraphs>62</Paragraphs>
  <CharactersWithSpaces>3236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2026-01-22T05:53:06Z</dcterms:created>
  <dc:creator>RMX3268</dc:creator>
  <lastModifiedBy>RMX3268</lastModifiedBy>
  <dcterms:modified xsi:type="dcterms:W3CDTF">2026-01-22T06:17:16Z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5f2ec9023b4e43f4b627e3c12e099ce0</vt:lpwstr>
  </property>
</Properties>
</file>