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4BCFC" w14:textId="4D629FBB" w:rsidR="00566862" w:rsidRDefault="00CC376D">
      <w:pPr>
        <w:pStyle w:val="Heading1"/>
        <w:rPr>
          <w:rFonts w:eastAsia="Times New Roman"/>
          <w:kern w:val="36"/>
          <w:sz w:val="48"/>
          <w:szCs w:val="48"/>
          <w14:ligatures w14:val="none"/>
        </w:rPr>
      </w:pPr>
      <w:r>
        <w:rPr>
          <w:rFonts w:eastAsia="Times New Roman"/>
        </w:rPr>
        <w:t>COVID-19 Weekly Surveillance Analysis — Bangladesh</w:t>
      </w:r>
    </w:p>
    <w:p w14:paraId="6B430422" w14:textId="1B569008" w:rsidR="00566862" w:rsidRDefault="00566862">
      <w:pPr>
        <w:pStyle w:val="Heading2"/>
        <w:rPr>
          <w:rFonts w:eastAsia="Times New Roman"/>
        </w:rPr>
      </w:pPr>
    </w:p>
    <w:p w14:paraId="05027E79" w14:textId="77777777" w:rsidR="00566862" w:rsidRDefault="00566862">
      <w:pPr>
        <w:rPr>
          <w:rFonts w:eastAsia="Times New Roman"/>
        </w:rPr>
      </w:pPr>
      <w:r>
        <w:rPr>
          <w:rFonts w:eastAsia="Times New Roman"/>
          <w:noProof/>
        </w:rPr>
        <mc:AlternateContent>
          <mc:Choice Requires="wps">
            <w:drawing>
              <wp:inline distT="0" distB="0" distL="0" distR="0" wp14:anchorId="7A1056E4" wp14:editId="5FE26163">
                <wp:extent cx="5943600" cy="1270"/>
                <wp:effectExtent l="0" t="31750" r="0" b="36830"/>
                <wp:docPr id="145757121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0748E2"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BBA8DA5" w14:textId="77777777" w:rsidR="00566862" w:rsidRDefault="00566862">
      <w:pPr>
        <w:pStyle w:val="Heading3"/>
        <w:rPr>
          <w:rFonts w:eastAsia="Times New Roman"/>
        </w:rPr>
      </w:pPr>
      <w:r>
        <w:rPr>
          <w:rFonts w:eastAsia="Times New Roman"/>
        </w:rPr>
        <w:t>Background</w:t>
      </w:r>
    </w:p>
    <w:p w14:paraId="4ED8DACB" w14:textId="77777777" w:rsidR="00566862" w:rsidRDefault="00566862">
      <w:pPr>
        <w:pStyle w:val="NormalWeb"/>
      </w:pPr>
      <w:r>
        <w:t>Since early 2020, Bangladesh has reported COVID-19 cases and deaths as part of national and global surveillance systems. Weekly monitoring of epidemic trends is essential for detecting transmission surges, guiding public health interventions, and informing resource allocation. This mini-report presents findings from descriptive surveillance analysis of weekly COVID-19 cases and deaths in Bangladesh based on publicly available time-series data.</w:t>
      </w:r>
    </w:p>
    <w:p w14:paraId="704E6E24" w14:textId="77777777" w:rsidR="00566862" w:rsidRDefault="00566862">
      <w:pPr>
        <w:rPr>
          <w:rFonts w:eastAsia="Times New Roman"/>
        </w:rPr>
      </w:pPr>
      <w:r>
        <w:rPr>
          <w:rFonts w:eastAsia="Times New Roman"/>
          <w:noProof/>
        </w:rPr>
        <mc:AlternateContent>
          <mc:Choice Requires="wps">
            <w:drawing>
              <wp:inline distT="0" distB="0" distL="0" distR="0" wp14:anchorId="0ABEF6D9" wp14:editId="5B109B2D">
                <wp:extent cx="5943600" cy="1270"/>
                <wp:effectExtent l="0" t="31750" r="0" b="36830"/>
                <wp:docPr id="175382276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3E5A14"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BE45776" w14:textId="77777777" w:rsidR="00566862" w:rsidRDefault="00566862">
      <w:pPr>
        <w:pStyle w:val="Heading3"/>
        <w:rPr>
          <w:rFonts w:eastAsia="Times New Roman"/>
        </w:rPr>
      </w:pPr>
      <w:r>
        <w:rPr>
          <w:rFonts w:eastAsia="Times New Roman"/>
        </w:rPr>
        <w:t>Data and Methods</w:t>
      </w:r>
    </w:p>
    <w:p w14:paraId="51FC116C" w14:textId="77777777" w:rsidR="00566862" w:rsidRDefault="00566862">
      <w:pPr>
        <w:pStyle w:val="NormalWeb"/>
      </w:pPr>
      <w:r>
        <w:t>Data were obtained from the Johns Hopkins University COVID-19 global dataset. Daily cumulative case and death counts were converted to daily incident figures, then aggregated into weekly totals. Duplicate weekly entries were removed to ensure data quality. Descriptive analysis focused on identifying epidemic waves, detecting week-to-week spikes in cases and deaths, and examining temporal patterns between cases and mortality. No statistical modeling was performed; findings are based on visual inspection of weekly trends.</w:t>
      </w:r>
    </w:p>
    <w:p w14:paraId="4E3547FB" w14:textId="77777777" w:rsidR="00566862" w:rsidRDefault="00566862">
      <w:pPr>
        <w:rPr>
          <w:rFonts w:eastAsia="Times New Roman"/>
        </w:rPr>
      </w:pPr>
      <w:r>
        <w:rPr>
          <w:rFonts w:eastAsia="Times New Roman"/>
          <w:noProof/>
        </w:rPr>
        <mc:AlternateContent>
          <mc:Choice Requires="wps">
            <w:drawing>
              <wp:inline distT="0" distB="0" distL="0" distR="0" wp14:anchorId="271DFDF7" wp14:editId="44A4C6CB">
                <wp:extent cx="5943600" cy="1270"/>
                <wp:effectExtent l="0" t="31750" r="0" b="36830"/>
                <wp:docPr id="200530193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6FABCE"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D1749AA" w14:textId="77777777" w:rsidR="00566862" w:rsidRDefault="00566862">
      <w:pPr>
        <w:pStyle w:val="Heading3"/>
        <w:rPr>
          <w:rFonts w:eastAsia="Times New Roman"/>
        </w:rPr>
      </w:pPr>
      <w:r>
        <w:rPr>
          <w:rFonts w:eastAsia="Times New Roman"/>
        </w:rPr>
        <w:t>Results</w:t>
      </w:r>
    </w:p>
    <w:p w14:paraId="3171E4A9" w14:textId="77777777" w:rsidR="00566862" w:rsidRDefault="00566862">
      <w:pPr>
        <w:pStyle w:val="NormalWeb"/>
      </w:pPr>
      <w:r>
        <w:rPr>
          <w:rStyle w:val="Strong"/>
        </w:rPr>
        <w:t>Weekly case trends</w:t>
      </w:r>
      <w:r>
        <w:br/>
        <w:t>Weekly COVID-19 case counts in Bangladesh demonstrated multiple distinct epidemic waves over the surveillance period. These waves were characterized by rapid increases in reported cases followed by gradual declines. Several weeks recorded abrupt surges, with increases exceeding 50 percent compared to the immediately preceding week. Such sharp week-to-week rises indicate periods of accelerated community transmission. The magnitude of weekly case counts varied considerably across waves, with later epidemic waves generally reporting higher absolute case numbers than earlier periods. Between waves, case counts declined but did not return to baseline levels observed at the onset of the pandemic.</w:t>
      </w:r>
    </w:p>
    <w:p w14:paraId="795E026E" w14:textId="77777777" w:rsidR="00566862" w:rsidRDefault="00566862">
      <w:pPr>
        <w:pStyle w:val="NormalWeb"/>
      </w:pPr>
      <w:r>
        <w:rPr>
          <w:rStyle w:val="Strong"/>
        </w:rPr>
        <w:t>Spike detection</w:t>
      </w:r>
      <w:r>
        <w:br/>
        <w:t>Multiple weeks met criteria for epidemic spikes based on substantial proportional increases in cases. These spikes appeared clustered within distinct time windows, suggesting discrete transmission events or periods of heightened community spread. The pattern of repeated spikes interspersed with periods of decline is consistent with successive introduction or dominance of viral variants, seasonal effects on transmission, or fluctuations in population mobility and adherence to public health measures. The frequency and intensity of spikes varied, with some waves displaying sharper acceleration than others.</w:t>
      </w:r>
    </w:p>
    <w:p w14:paraId="26902A67" w14:textId="77777777" w:rsidR="00566862" w:rsidRDefault="00566862">
      <w:pPr>
        <w:pStyle w:val="NormalWeb"/>
      </w:pPr>
      <w:r>
        <w:rPr>
          <w:rStyle w:val="Strong"/>
        </w:rPr>
        <w:t>Death trends and temporal lag</w:t>
      </w:r>
      <w:r>
        <w:br/>
        <w:t>Weekly COVID-19 deaths followed a similar wave pattern to cases but with a notable temporal lag of approximately one to three weeks. This delay is consistent with the natural history of severe COVID-19, where progression from infection to critical illness and death typically occurs over a period of days to weeks. Peaks in weekly deaths generally corresponded to preceding peaks in cases, though the magnitude of increase in deaths was not always proportional to the increase in cases. Later epidemic waves exhibited relatively lower death counts compared to case counts when contrasted with earlier waves, suggesting a possible decline in case fatality over time.</w:t>
      </w:r>
    </w:p>
    <w:p w14:paraId="03B76F3D" w14:textId="77777777" w:rsidR="00566862" w:rsidRDefault="00566862">
      <w:pPr>
        <w:rPr>
          <w:rFonts w:eastAsia="Times New Roman"/>
        </w:rPr>
      </w:pPr>
      <w:r>
        <w:rPr>
          <w:rFonts w:eastAsia="Times New Roman"/>
          <w:noProof/>
        </w:rPr>
        <mc:AlternateContent>
          <mc:Choice Requires="wps">
            <w:drawing>
              <wp:inline distT="0" distB="0" distL="0" distR="0" wp14:anchorId="006B4054" wp14:editId="2D8F7D2E">
                <wp:extent cx="5943600" cy="1270"/>
                <wp:effectExtent l="0" t="31750" r="0" b="36830"/>
                <wp:docPr id="135821966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A60884"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F332505" w14:textId="77777777" w:rsidR="00566862" w:rsidRDefault="00566862">
      <w:pPr>
        <w:pStyle w:val="Heading3"/>
        <w:rPr>
          <w:rFonts w:eastAsia="Times New Roman"/>
        </w:rPr>
      </w:pPr>
      <w:r>
        <w:rPr>
          <w:rFonts w:eastAsia="Times New Roman"/>
        </w:rPr>
        <w:t>Interpretation</w:t>
      </w:r>
    </w:p>
    <w:p w14:paraId="581FEA96" w14:textId="77777777" w:rsidR="00566862" w:rsidRDefault="00566862">
      <w:pPr>
        <w:pStyle w:val="NormalWeb"/>
      </w:pPr>
      <w:r>
        <w:t>The observed epidemic waves likely reflect the interplay of multiple factors affecting SARS-CoV-2 transmission dynamics in Bangladesh. The emergence and circulation of viral variants with increased transmissibility may have contributed to successive waves and abrupt spikes in cases. Changes in population mobility, social mixing patterns, and adherence to non-pharmaceutical interventions such as masking and physical distancing may also have influenced transmission intensity during different periods.</w:t>
      </w:r>
    </w:p>
    <w:p w14:paraId="5B77580E" w14:textId="77777777" w:rsidR="00566862" w:rsidRDefault="00566862">
      <w:pPr>
        <w:pStyle w:val="NormalWeb"/>
      </w:pPr>
      <w:r>
        <w:t>The temporal lag between case and death peaks is consistent with clinical progression patterns and highlights the utility of case surveillance as an early warning indicator for subsequent increases in severe outcomes. The relatively lower mortality observed in later waves compared to earlier periods may reflect several factors, including improved clinical management, increased population immunity from prior infection or vaccination, shifts in age distribution of cases toward younger populations, or changes in virulence of circulating variants. However, without detailed stratified data on vaccination coverage, age distribution, and variant prevalence, definitive conclusions regarding these mechanisms cannot be drawn from aggregate trends alone.</w:t>
      </w:r>
    </w:p>
    <w:p w14:paraId="0C79E994" w14:textId="77777777" w:rsidR="00566862" w:rsidRDefault="00566862">
      <w:pPr>
        <w:pStyle w:val="NormalWeb"/>
      </w:pPr>
      <w:r>
        <w:t>The persistence of epidemic waves despite prior transmission underscores the potential for waning immunity, immune escape by emerging variants, and the importance of sustained surveillance and response capacity. The detection of sharp week-to-week spikes suggests that transmission can accelerate rapidly under favorable conditions, necessitating readiness for timely public health action.</w:t>
      </w:r>
    </w:p>
    <w:p w14:paraId="3C029A19" w14:textId="77777777" w:rsidR="00566862" w:rsidRDefault="00566862">
      <w:pPr>
        <w:rPr>
          <w:rFonts w:eastAsia="Times New Roman"/>
        </w:rPr>
      </w:pPr>
      <w:r>
        <w:rPr>
          <w:rFonts w:eastAsia="Times New Roman"/>
          <w:noProof/>
        </w:rPr>
        <mc:AlternateContent>
          <mc:Choice Requires="wps">
            <w:drawing>
              <wp:inline distT="0" distB="0" distL="0" distR="0" wp14:anchorId="74C21D0F" wp14:editId="55E1BB80">
                <wp:extent cx="5943600" cy="1270"/>
                <wp:effectExtent l="0" t="31750" r="0" b="36830"/>
                <wp:docPr id="54122910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252D11"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ADE87EC" w14:textId="77777777" w:rsidR="00566862" w:rsidRDefault="00566862">
      <w:pPr>
        <w:pStyle w:val="Heading3"/>
        <w:rPr>
          <w:rFonts w:eastAsia="Times New Roman"/>
        </w:rPr>
      </w:pPr>
      <w:r>
        <w:rPr>
          <w:rFonts w:eastAsia="Times New Roman"/>
        </w:rPr>
        <w:t>Public Health Implications</w:t>
      </w:r>
    </w:p>
    <w:p w14:paraId="56115694" w14:textId="77777777" w:rsidR="00566862" w:rsidRDefault="00566862">
      <w:pPr>
        <w:pStyle w:val="NormalWeb"/>
      </w:pPr>
      <w:r>
        <w:t>Continued weekly surveillance of COVID-19 cases and deaths remains essential for early detection of resurgent transmission and for guiding public health decision-making. The identification of abrupt case increases should trigger enhanced monitoring, investigation of potential causes, and consideration of appropriate interventions to limit further spread. Maintaining laboratory and genomic surveillance capacity is important for detecting and characterizing emerging variants that may contribute to epidemic waves.</w:t>
      </w:r>
    </w:p>
    <w:p w14:paraId="7233508B" w14:textId="77777777" w:rsidR="00566862" w:rsidRDefault="00566862">
      <w:pPr>
        <w:pStyle w:val="NormalWeb"/>
      </w:pPr>
      <w:r>
        <w:t>Health systems should remain prepared for surges in severe cases and deaths following increases in reported cases, given the consistent temporal lag observed between these indicators. Ensuring adequate hospital capacity, oxygen supplies, and clinical management protocols can mitigate mortality during periods of high transmission.</w:t>
      </w:r>
    </w:p>
    <w:p w14:paraId="35A5CA1A" w14:textId="77777777" w:rsidR="00566862" w:rsidRDefault="00566862">
      <w:pPr>
        <w:pStyle w:val="NormalWeb"/>
      </w:pPr>
      <w:r>
        <w:t>Ongoing efforts to maintain and improve population immunity through vaccination, particularly among high-risk groups, may help reduce the severity of future waves. Public health messaging should emphasize the continued importance of preventive measures during periods of increased transmission. Coordination between surveillance, laboratory, and response functions is critical for timely and effective epidemic preparedness and response.</w:t>
      </w:r>
    </w:p>
    <w:p w14:paraId="3447069C" w14:textId="77777777" w:rsidR="00566862" w:rsidRDefault="00566862">
      <w:pPr>
        <w:rPr>
          <w:rFonts w:eastAsia="Times New Roman"/>
        </w:rPr>
      </w:pPr>
      <w:r>
        <w:rPr>
          <w:rFonts w:eastAsia="Times New Roman"/>
          <w:noProof/>
        </w:rPr>
        <mc:AlternateContent>
          <mc:Choice Requires="wps">
            <w:drawing>
              <wp:inline distT="0" distB="0" distL="0" distR="0" wp14:anchorId="4FE30713" wp14:editId="53933B1E">
                <wp:extent cx="5943600" cy="1270"/>
                <wp:effectExtent l="0" t="31750" r="0" b="36830"/>
                <wp:docPr id="136721170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4D64EA"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3D56D3C" w14:textId="77777777" w:rsidR="00566862" w:rsidRDefault="00566862">
      <w:pPr>
        <w:pStyle w:val="Heading3"/>
        <w:rPr>
          <w:rFonts w:eastAsia="Times New Roman"/>
        </w:rPr>
      </w:pPr>
      <w:r>
        <w:rPr>
          <w:rFonts w:eastAsia="Times New Roman"/>
        </w:rPr>
        <w:t>Limitations</w:t>
      </w:r>
    </w:p>
    <w:p w14:paraId="4DCC531D" w14:textId="77777777" w:rsidR="00566862" w:rsidRDefault="00566862">
      <w:pPr>
        <w:pStyle w:val="NormalWeb"/>
      </w:pPr>
      <w:r>
        <w:t>This analysis is based on aggregate weekly counts and does not account for potential variations in testing intensity, reporting completeness, or changes in case definitions over time. Trends may be influenced by differences in healthcare-seeking behavior, diagnostic capacity, and reporting practices across different periods. The absence of stratified data by age, geographic region, vaccination status, or variant type limits the ability to draw detailed inferences regarding specific drivers of observed trends. Lag patterns between cases and deaths are described qualitatively rather than quantified statistically. These findings should be interpreted as descriptive surveillance observations and complemented with more detailed epidemiological and laboratory investigations to inform public health action.</w:t>
      </w:r>
    </w:p>
    <w:p w14:paraId="329D61D8" w14:textId="77777777" w:rsidR="00566862" w:rsidRDefault="00566862">
      <w:pPr>
        <w:rPr>
          <w:rFonts w:eastAsia="Times New Roman"/>
        </w:rPr>
      </w:pPr>
      <w:r>
        <w:rPr>
          <w:rFonts w:eastAsia="Times New Roman"/>
          <w:noProof/>
        </w:rPr>
        <mc:AlternateContent>
          <mc:Choice Requires="wps">
            <w:drawing>
              <wp:inline distT="0" distB="0" distL="0" distR="0" wp14:anchorId="524FD839" wp14:editId="5C26D2E1">
                <wp:extent cx="5943600" cy="1270"/>
                <wp:effectExtent l="0" t="31750" r="0" b="36830"/>
                <wp:docPr id="177994841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377B57"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ABF5AEF" w14:textId="77777777" w:rsidR="00566862" w:rsidRDefault="00566862">
      <w:pPr>
        <w:pStyle w:val="NormalWeb"/>
      </w:pPr>
      <w:r>
        <w:rPr>
          <w:rStyle w:val="Strong"/>
        </w:rPr>
        <w:t>Report Date:</w:t>
      </w:r>
      <w:r>
        <w:t xml:space="preserve"> February 2026</w:t>
      </w:r>
      <w:r>
        <w:br/>
      </w:r>
      <w:r>
        <w:rPr>
          <w:rStyle w:val="Strong"/>
        </w:rPr>
        <w:t>Prepared by:</w:t>
      </w:r>
      <w:r>
        <w:t xml:space="preserve"> Public Health Surveillance Unit</w:t>
      </w:r>
    </w:p>
    <w:p w14:paraId="7FB42B88" w14:textId="77777777" w:rsidR="00566862" w:rsidRDefault="00566862"/>
    <w:sectPr w:rsidR="005668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862"/>
    <w:rsid w:val="002267BD"/>
    <w:rsid w:val="00566862"/>
    <w:rsid w:val="00577329"/>
    <w:rsid w:val="00BC2795"/>
    <w:rsid w:val="00CC3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93CE2E"/>
  <w15:chartTrackingRefBased/>
  <w15:docId w15:val="{CFE00D2D-A96E-6142-A884-8CC55522D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6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68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68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68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6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8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68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68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6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6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6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862"/>
    <w:rPr>
      <w:rFonts w:eastAsiaTheme="majorEastAsia" w:cstheme="majorBidi"/>
      <w:color w:val="272727" w:themeColor="text1" w:themeTint="D8"/>
    </w:rPr>
  </w:style>
  <w:style w:type="paragraph" w:styleId="Title">
    <w:name w:val="Title"/>
    <w:basedOn w:val="Normal"/>
    <w:next w:val="Normal"/>
    <w:link w:val="TitleChar"/>
    <w:uiPriority w:val="10"/>
    <w:qFormat/>
    <w:rsid w:val="00566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862"/>
    <w:pPr>
      <w:spacing w:before="160"/>
      <w:jc w:val="center"/>
    </w:pPr>
    <w:rPr>
      <w:i/>
      <w:iCs/>
      <w:color w:val="404040" w:themeColor="text1" w:themeTint="BF"/>
    </w:rPr>
  </w:style>
  <w:style w:type="character" w:customStyle="1" w:styleId="QuoteChar">
    <w:name w:val="Quote Char"/>
    <w:basedOn w:val="DefaultParagraphFont"/>
    <w:link w:val="Quote"/>
    <w:uiPriority w:val="29"/>
    <w:rsid w:val="00566862"/>
    <w:rPr>
      <w:i/>
      <w:iCs/>
      <w:color w:val="404040" w:themeColor="text1" w:themeTint="BF"/>
    </w:rPr>
  </w:style>
  <w:style w:type="paragraph" w:styleId="ListParagraph">
    <w:name w:val="List Paragraph"/>
    <w:basedOn w:val="Normal"/>
    <w:uiPriority w:val="34"/>
    <w:qFormat/>
    <w:rsid w:val="00566862"/>
    <w:pPr>
      <w:ind w:left="720"/>
      <w:contextualSpacing/>
    </w:pPr>
  </w:style>
  <w:style w:type="character" w:styleId="IntenseEmphasis">
    <w:name w:val="Intense Emphasis"/>
    <w:basedOn w:val="DefaultParagraphFont"/>
    <w:uiPriority w:val="21"/>
    <w:qFormat/>
    <w:rsid w:val="00566862"/>
    <w:rPr>
      <w:i/>
      <w:iCs/>
      <w:color w:val="0F4761" w:themeColor="accent1" w:themeShade="BF"/>
    </w:rPr>
  </w:style>
  <w:style w:type="paragraph" w:styleId="IntenseQuote">
    <w:name w:val="Intense Quote"/>
    <w:basedOn w:val="Normal"/>
    <w:next w:val="Normal"/>
    <w:link w:val="IntenseQuoteChar"/>
    <w:uiPriority w:val="30"/>
    <w:qFormat/>
    <w:rsid w:val="00566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6862"/>
    <w:rPr>
      <w:i/>
      <w:iCs/>
      <w:color w:val="0F4761" w:themeColor="accent1" w:themeShade="BF"/>
    </w:rPr>
  </w:style>
  <w:style w:type="character" w:styleId="IntenseReference">
    <w:name w:val="Intense Reference"/>
    <w:basedOn w:val="DefaultParagraphFont"/>
    <w:uiPriority w:val="32"/>
    <w:qFormat/>
    <w:rsid w:val="00566862"/>
    <w:rPr>
      <w:b/>
      <w:bCs/>
      <w:smallCaps/>
      <w:color w:val="0F4761" w:themeColor="accent1" w:themeShade="BF"/>
      <w:spacing w:val="5"/>
    </w:rPr>
  </w:style>
  <w:style w:type="paragraph" w:styleId="NormalWeb">
    <w:name w:val="Normal (Web)"/>
    <w:basedOn w:val="Normal"/>
    <w:uiPriority w:val="99"/>
    <w:semiHidden/>
    <w:unhideWhenUsed/>
    <w:rsid w:val="00566862"/>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668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1043</Words>
  <Characters>5948</Characters>
  <Application>Microsoft Office Word</Application>
  <DocSecurity>0</DocSecurity>
  <Lines>49</Lines>
  <Paragraphs>13</Paragraphs>
  <ScaleCrop>false</ScaleCrop>
  <Company/>
  <LinksUpToDate>false</LinksUpToDate>
  <CharactersWithSpaces>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Israq Bin Ahmed Fyroz</dc:creator>
  <cp:keywords/>
  <dc:description/>
  <cp:lastModifiedBy>Israq Bin Ahmed Fyroz</cp:lastModifiedBy>
  <cp:revision>2</cp:revision>
  <dcterms:created xsi:type="dcterms:W3CDTF">2026-02-10T16:22:00Z</dcterms:created>
  <dcterms:modified xsi:type="dcterms:W3CDTF">2026-02-10T16:22:00Z</dcterms:modified>
</cp:coreProperties>
</file>