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before="80" w:after="80" w:line="240" w:lineRule="auto"/>
      </w:pPr>
      <w:r>
        <w:rPr>
          <w:rFonts w:ascii="Arial Unicode MS" w:hAnsi="Arial Unicode MS" w:eastAsia="Arial Unicode MS"/>
          <w:b/>
          <w:color w:val="69751A"/>
          <w:sz w:val="17"/>
        </w:rPr>
        <w:t>使用说明  /  面向研究人员与演示评审</w:t>
      </w:r>
    </w:p>
    <w:p>
      <w:pPr>
        <w:pStyle w:val="Title"/>
        <w:spacing w:before="0" w:after="220" w:line="240" w:lineRule="auto"/>
      </w:pPr>
      <w:r>
        <w:rPr>
          <w:rFonts w:ascii="Arial Unicode MS" w:hAnsi="Arial Unicode MS" w:eastAsia="Arial Unicode MS"/>
          <w:b/>
          <w:color w:val="000000"/>
          <w:sz w:val="54"/>
        </w:rPr>
        <w:t>BioFlow Studio 操作流程手册</w:t>
      </w:r>
    </w:p>
    <w:p>
      <w:pPr>
        <w:spacing w:before="0" w:after="520" w:line="288" w:lineRule="auto"/>
      </w:pPr>
      <w:r>
        <w:rPr>
          <w:rFonts w:ascii="Arial Unicode MS" w:hAnsi="Arial Unicode MS" w:eastAsia="Arial Unicode MS"/>
          <w:b w:val="0"/>
          <w:color w:val="66695F"/>
          <w:sz w:val="28"/>
        </w:rPr>
        <w:t>生命科学智能体工作台的首次使用与面试演示路径</w:t>
      </w:r>
    </w:p>
    <w:p>
      <w:pPr>
        <w:spacing w:before="0" w:after="160" w:line="312" w:lineRule="auto"/>
      </w:pPr>
      <w:r>
        <w:rPr>
          <w:rFonts w:ascii="Arial Unicode MS" w:hAnsi="Arial Unicode MS" w:eastAsia="Arial Unicode MS"/>
          <w:b w:val="0"/>
          <w:color w:val="262823"/>
          <w:sz w:val="22"/>
        </w:rPr>
        <w:t>第一次进入页面，只需要沿着一条主线完成任务：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0"/>
        <w:gridCol w:w="2010"/>
        <w:gridCol w:w="2010"/>
        <w:gridCol w:w="2010"/>
        <w:gridCol w:w="2010"/>
      </w:tblGrid>
      <w:tr>
        <w:tc>
          <w:tcPr>
            <w:tcW w:type="dxa" w:w="18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01 目标</w:t>
            </w:r>
          </w:p>
        </w:tc>
        <w:tc>
          <w:tcPr>
            <w:tcW w:type="dxa" w:w="18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02 数据</w:t>
            </w:r>
          </w:p>
        </w:tc>
        <w:tc>
          <w:tcPr>
            <w:tcW w:type="dxa" w:w="18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03 证据</w:t>
            </w:r>
          </w:p>
        </w:tc>
        <w:tc>
          <w:tcPr>
            <w:tcW w:type="dxa" w:w="18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04 工作流</w:t>
            </w:r>
          </w:p>
        </w:tc>
        <w:tc>
          <w:tcPr>
            <w:tcW w:type="dxa" w:w="18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05 交付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明确研究问题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上传 CSV / TSV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查看 RAG 依据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调整节点与布局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运行并查看结果</w:t>
            </w:r>
          </w:p>
        </w:tc>
      </w:tr>
    </w:tbl>
    <w:p>
      <w:pPr>
        <w:spacing w:after="20"/>
      </w:pPr>
    </w:p>
    <w:p>
      <w:pPr>
        <w:spacing w:before="0" w:after="2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本手册把页面上的每个入口翻译成可执行步骤，并为每一步给出完成信号。你可以把它当作日常操作手册，也可以直接照着最后的七分钟演示脚本完成面试展示。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94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3816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建议阅读方式</w:t>
            </w:r>
          </w:p>
        </w:tc>
        <w:tc>
          <w:tcPr>
            <w:tcW w:type="dxa" w:w="4320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第一次使用者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先看三分钟快速上手，再按章节操作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能独立上传数据并启动一次工作流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面试演示者</w:t>
            </w:r>
          </w:p>
        </w:tc>
        <w:tc>
          <w:tcPr>
            <w:tcW w:type="dxa" w:w="381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直接执行第十章七分钟演示脚本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能讲清智能体判断、证据与结果之间的关系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前端开发者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结合页面区域说明和交互规范 PPTX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能定位每个交互对应的产品意图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三分钟快速上手</w:t>
      </w:r>
    </w:p>
    <w:p>
      <w:pPr>
        <w:spacing w:before="0" w:after="18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系统默认使用本地 3000 端口。进入工作台后，首次访问会自动显示站内使用指引；如果关闭了引导，可点击顶部的使用指引重新打开。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01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确认研究目标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先阅读顶部的研究目标，确认它与本次实验的问题一致。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目标区显示比较组、数据类型和候选基因交付目标。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02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上传数据文件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在左侧数据集区域点击上传，选择 CSV 或 TSV。计数矩阵与样本元数据可以分开上传。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弹窗显示结构检查状态、字段识别和缺失值摘要。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03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完成四项澄清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依次选择数据格式、比较方案、研究物种和交付物。每次选择都会影响后续计划。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生成分析计划按钮从禁用变为可用。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04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审批分析计划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打开分析计划，阅读六个步骤与证据来源，点击批准并执行。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任务状态进入运行中，证据流水线开始实时更新。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05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查看结果交付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运行结束后打开结果、代码、日志或 3D 标签，查看火山图、代码流、血缘和结构预览。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结果面板显示候选基因、参数快照和可下载报告。</w:t>
      </w:r>
    </w:p>
    <w:p>
      <w:pPr>
        <w:spacing w:before="0" w:after="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如果你只需要演示界面，不想等待完整计算，可以使用现有演示配置运行一次；面试时重点讲清每个阶段如何反馈，而不是只展示最终图表。</w:t>
      </w: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页面区域说明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BioFlow Studio 把任务导航、智能体对话、证据链、可编辑工作流和结果检查器放在同一工作台内。下面的分区说明帮助你在第一次进入时快速建立空间认知。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1728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194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在哪里</w:t>
            </w:r>
          </w:p>
        </w:tc>
        <w:tc>
          <w:tcPr>
            <w:tcW w:type="dxa" w:w="3816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负责什么</w:t>
            </w:r>
          </w:p>
        </w:tc>
        <w:tc>
          <w:tcPr>
            <w:tcW w:type="dxa" w:w="2592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常用动作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主导航栏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最左侧窄栏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切换工作台、能力中心和文件入口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点击文件查看项目文件</w:t>
            </w:r>
          </w:p>
        </w:tc>
      </w:tr>
      <w:tr>
        <w:tc>
          <w:tcPr>
            <w:tcW w:type="dxa" w:w="172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任务侧栏</w:t>
            </w:r>
          </w:p>
        </w:tc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左侧第二栏</w:t>
            </w:r>
          </w:p>
        </w:tc>
        <w:tc>
          <w:tcPr>
            <w:tcW w:type="dxa" w:w="381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管理项目、任务和数据集</w:t>
            </w:r>
          </w:p>
        </w:tc>
        <w:tc>
          <w:tcPr>
            <w:tcW w:type="dxa" w:w="259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切换任务、上传文件、新建任务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目标与对话区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中间上方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呈现研究问题和智能体回复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输入追问、切换智能体模式</w:t>
            </w:r>
          </w:p>
        </w:tc>
      </w:tr>
      <w:tr>
        <w:tc>
          <w:tcPr>
            <w:tcW w:type="dxa" w:w="172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证据流水线</w:t>
            </w:r>
          </w:p>
        </w:tc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目标区下方</w:t>
            </w:r>
          </w:p>
        </w:tc>
        <w:tc>
          <w:tcPr>
            <w:tcW w:type="dxa" w:w="381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展示意图、检索、重排和参数绑定</w:t>
            </w:r>
          </w:p>
        </w:tc>
        <w:tc>
          <w:tcPr>
            <w:tcW w:type="dxa" w:w="259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点击步骤打开证据检查器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工作流画布</w:t>
            </w:r>
          </w:p>
        </w:tc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中间主体</w:t>
            </w:r>
          </w:p>
        </w:tc>
        <w:tc>
          <w:tcPr>
            <w:tcW w:type="dxa" w:w="381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呈现可拖拽的分析节点和边</w:t>
            </w:r>
          </w:p>
        </w:tc>
        <w:tc>
          <w:tcPr>
            <w:tcW w:type="dxa" w:w="25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拖拽节点、缩放、平移、保存版本</w:t>
            </w:r>
          </w:p>
        </w:tc>
      </w:tr>
      <w:tr>
        <w:tc>
          <w:tcPr>
            <w:tcW w:type="dxa" w:w="172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检查器</w:t>
            </w:r>
          </w:p>
        </w:tc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右侧或移动端抽屉</w:t>
            </w:r>
          </w:p>
        </w:tc>
        <w:tc>
          <w:tcPr>
            <w:tcW w:type="dxa" w:w="381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查看待办、日志、代码、结果和 3D</w:t>
            </w:r>
          </w:p>
        </w:tc>
        <w:tc>
          <w:tcPr>
            <w:tcW w:type="dxa" w:w="259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7"/>
              </w:rPr>
              <w:t>切换标签、重试节点、下载产物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按钮反馈的阅读方式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绿色主按钮代表当前最重要的下一步，例如生成分析计划、批准并执行和运行工作流。描边按钮通常打开检查器、配置或布局。点击后如果出现右下角提示，说明操作已被工作台接收；如果状态没有变化，优先检查当前任务是否仍在等待澄清或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2088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92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页面表现</w:t>
            </w:r>
          </w:p>
        </w:tc>
        <w:tc>
          <w:tcPr>
            <w:tcW w:type="dxa" w:w="360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用户下一步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待补充信息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澄清卡片显示未完成项</w:t>
            </w:r>
          </w:p>
        </w:tc>
        <w:tc>
          <w:tcPr>
            <w:tcW w:type="dxa" w:w="36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完成四项选择</w:t>
            </w:r>
          </w:p>
        </w:tc>
      </w:tr>
      <w:tr>
        <w:tc>
          <w:tcPr>
            <w:tcW w:type="dxa" w:w="208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待审批</w:t>
            </w:r>
          </w:p>
        </w:tc>
        <w:tc>
          <w:tcPr>
            <w:tcW w:type="dxa" w:w="439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分析计划卡片出现批准按钮</w:t>
            </w:r>
          </w:p>
        </w:tc>
        <w:tc>
          <w:tcPr>
            <w:tcW w:type="dxa" w:w="360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先阅读证据，再批准并执行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运行中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节点和日志持续更新</w:t>
            </w:r>
          </w:p>
        </w:tc>
        <w:tc>
          <w:tcPr>
            <w:tcW w:type="dxa" w:w="36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查看代码流或取消运行</w:t>
            </w:r>
          </w:p>
        </w:tc>
      </w:tr>
      <w:tr>
        <w:tc>
          <w:tcPr>
            <w:tcW w:type="dxa" w:w="208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失败</w:t>
            </w:r>
          </w:p>
        </w:tc>
        <w:tc>
          <w:tcPr>
            <w:tcW w:type="dxa" w:w="439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节点红色标记并给出原因</w:t>
            </w:r>
          </w:p>
        </w:tc>
        <w:tc>
          <w:tcPr>
            <w:tcW w:type="dxa" w:w="360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查看失败证据或重试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已完成</w:t>
            </w:r>
          </w:p>
        </w:tc>
        <w:tc>
          <w:tcPr>
            <w:tcW w:type="dxa" w:w="43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结果、代码和报告可查看</w:t>
            </w:r>
          </w:p>
        </w:tc>
        <w:tc>
          <w:tcPr>
            <w:tcW w:type="dxa" w:w="36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检查血缘并下载交付物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上传数据并完成字段建议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当前演示围绕 bulk RNA-seq 差异表达展开。文件上传后由服务端解析表头和结构摘要，前端只展示字段、样本数、缺失值和分组候选，适合在演示中解释数据边界和隐私意识。</w:t>
      </w: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文件准备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2232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608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3240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页面识别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counts.csv</w:t>
            </w:r>
          </w:p>
        </w:tc>
        <w:tc>
          <w:tcPr>
            <w:tcW w:type="dxa" w:w="4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基因或转录本为行，样本为列</w:t>
            </w:r>
          </w:p>
        </w:tc>
        <w:tc>
          <w:tcPr>
            <w:tcW w:type="dxa" w:w="32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计数矩阵，进入 DESeq2</w:t>
            </w:r>
          </w:p>
        </w:tc>
      </w:tr>
      <w:tr>
        <w:tc>
          <w:tcPr>
            <w:tcW w:type="dxa" w:w="223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sample_metadata.tsv</w:t>
            </w:r>
          </w:p>
        </w:tc>
        <w:tc>
          <w:tcPr>
            <w:tcW w:type="dxa" w:w="460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样本名与 condition 等实验字段</w:t>
            </w:r>
          </w:p>
        </w:tc>
        <w:tc>
          <w:tcPr>
            <w:tcW w:type="dxa" w:w="324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样本元数据，可识别比较字段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其他 CSV / TSV</w:t>
            </w:r>
          </w:p>
        </w:tc>
        <w:tc>
          <w:tcPr>
            <w:tcW w:type="dxa" w:w="46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候选基因、注释或实验记录</w:t>
            </w:r>
          </w:p>
        </w:tc>
        <w:tc>
          <w:tcPr>
            <w:tcW w:type="dxa" w:w="32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通用表格，等待智能体判断用途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操作步骤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A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打开上传弹窗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点击左侧数据集旁的上传，或在对话框左下角点击添加项目文件。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弹窗出现 CSV / TSV 选择入口。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B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选择文件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选择一个或多个文件。上传期间不要重复点击，等待服务端完成结构检查。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文件旁出现结构已就绪或需要字段映射。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C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查看字段建议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打开文件详情，关注识别到的 sample、condition 字段以及缺失值警告。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你能解释智能体为什么推荐某个分组字段。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7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0F1C5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69751A"/>
                <w:sz w:val="26"/>
              </w:rPr>
              <w:t>D</w:t>
            </w:r>
          </w:p>
        </w:tc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262823"/>
                <w:sz w:val="21"/>
              </w:rPr>
              <w:t>应用到分析上下文</w:t>
            </w:r>
          </w:p>
        </w:tc>
        <w:tc>
          <w:tcPr>
            <w:tcW w:type="dxa" w:w="54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8" w:type="dxa"/>
              <w:start w:w="140" w:type="dxa"/>
              <w:bottom w:w="88" w:type="dxa"/>
              <w:end w:w="140" w:type="dxa"/>
            </w:tcMar>
            <w:vAlign w:val="center"/>
            <w:shd w:fill="FFFFFF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21"/>
              </w:rPr>
              <w:t>点击应用建议，系统自动填入可确定的澄清项。</w:t>
            </w:r>
          </w:p>
        </w:tc>
      </w:tr>
    </w:tbl>
    <w:p>
      <w:pPr>
        <w:spacing w:before="40" w:after="100" w:line="276" w:lineRule="auto"/>
      </w:pPr>
      <w:r>
        <w:rPr>
          <w:rFonts w:ascii="Arial Unicode MS" w:hAnsi="Arial Unicode MS" w:eastAsia="Arial Unicode MS"/>
          <w:b/>
          <w:color w:val="69751A"/>
          <w:sz w:val="18"/>
        </w:rPr>
        <w:t xml:space="preserve">验收信号  </w:t>
      </w:r>
      <w:r>
        <w:rPr>
          <w:rFonts w:ascii="Arial Unicode MS" w:hAnsi="Arial Unicode MS" w:eastAsia="Arial Unicode MS"/>
          <w:b w:val="0"/>
          <w:color w:val="66695F"/>
          <w:sz w:val="18"/>
        </w:rPr>
        <w:t>澄清卡片的完成数量增加，剩余问题更少。</w:t>
      </w:r>
    </w:p>
    <w:p>
      <w:pPr>
        <w:pStyle w:val="Heading1"/>
        <w:keepNext/>
        <w:pageBreakBefore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澄清审批与智能体决策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智能体不会在信息不足时直接运行。它先把自然语言问题转成结构化上下文，再让用户确认关键假设，这一步是生命科学场景里可复现和可审计的基础。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872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澄清项</w:t>
            </w:r>
          </w:p>
        </w:tc>
        <w:tc>
          <w:tcPr>
            <w:tcW w:type="dxa" w:w="4176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它决定什么</w:t>
            </w:r>
          </w:p>
        </w:tc>
        <w:tc>
          <w:tcPr>
            <w:tcW w:type="dxa" w:w="4032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面试时怎么讲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数据格式</w:t>
            </w:r>
          </w:p>
        </w:tc>
        <w:tc>
          <w:tcPr>
            <w:tcW w:type="dxa" w:w="41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从 FASTQ、公共数据库还是 Count 矩阵开始</w:t>
            </w:r>
          </w:p>
        </w:tc>
        <w:tc>
          <w:tcPr>
            <w:tcW w:type="dxa" w:w="40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不同起点会改变质控、比对和定量步骤</w:t>
            </w:r>
          </w:p>
        </w:tc>
      </w:tr>
      <w:tr>
        <w:tc>
          <w:tcPr>
            <w:tcW w:type="dxa" w:w="18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比较方案</w:t>
            </w:r>
          </w:p>
        </w:tc>
        <w:tc>
          <w:tcPr>
            <w:tcW w:type="dxa" w:w="41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对照组与处理组的设计矩阵</w:t>
            </w:r>
          </w:p>
        </w:tc>
        <w:tc>
          <w:tcPr>
            <w:tcW w:type="dxa" w:w="403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决定统计模型和对比方向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研究物种</w:t>
            </w:r>
          </w:p>
        </w:tc>
        <w:tc>
          <w:tcPr>
            <w:tcW w:type="dxa" w:w="41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注释、基因 ID 和参考数据库</w:t>
            </w:r>
          </w:p>
        </w:tc>
        <w:tc>
          <w:tcPr>
            <w:tcW w:type="dxa" w:w="40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影响结果解释和知识库检索</w:t>
            </w:r>
          </w:p>
        </w:tc>
      </w:tr>
      <w:tr>
        <w:tc>
          <w:tcPr>
            <w:tcW w:type="dxa" w:w="18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交付物</w:t>
            </w:r>
          </w:p>
        </w:tc>
        <w:tc>
          <w:tcPr>
            <w:tcW w:type="dxa" w:w="41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火山图、代码、报告或候选基因</w:t>
            </w:r>
          </w:p>
        </w:tc>
        <w:tc>
          <w:tcPr>
            <w:tcW w:type="dxa" w:w="403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把分析路径和最终交付绑定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审批前检查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研究目标与对话中的原始问题一致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数据格式和比较方案没有依赖猜测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证据流水线已经列出项目文件、技能包和文献来源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分析计划包含预期时长、步骤数和不外传数据的说明</w:t>
      </w: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审批后可追溯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批准并执行后，证据流水线会按时间更新。点击意图识别、检索与重排等步骤可以打开检查器，查看来源和绑定参数；这让智能体的决策过程可以被研究人员复盘，而不是只看到一个黑盒结论。</w:t>
      </w: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编辑工作流与保存版本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分析计划是可编辑的工作流，不是静态流程图。画布支持节点拖拽、边关系预览、缩放和平移；布局变更会自动保存，用户也可以主动创建版本快照。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94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672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操作方式</w:t>
            </w:r>
          </w:p>
        </w:tc>
        <w:tc>
          <w:tcPr>
            <w:tcW w:type="dxa" w:w="446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验收信号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选择节点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单击节点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右侧检查器切换到节点证据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移动节点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按住节点拖拽</w:t>
            </w:r>
          </w:p>
        </w:tc>
        <w:tc>
          <w:tcPr>
            <w:tcW w:type="dxa" w:w="446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节点位置改变，出现保存中提示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缩放画布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点击加减按钮或滚轮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画布比例在 0.55 到 1.6 之间变化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平移画布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拖拽空白区域</w:t>
            </w:r>
          </w:p>
        </w:tc>
        <w:tc>
          <w:tcPr>
            <w:tcW w:type="dxa" w:w="446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节点整体随视图移动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保存快照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点击保存布局版本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版本计数增加，提示已保存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恢复默认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布局弹窗选择重置</w:t>
            </w:r>
          </w:p>
        </w:tc>
        <w:tc>
          <w:tcPr>
            <w:tcW w:type="dxa" w:w="446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节点、缩放和辅助连线恢复默认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面试演示时的讲法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先把画布当成智能体的计划解释器：每个节点对应一个可执行阶段，每条边表达数据或证据依赖。然后拖动一个节点展示布局持久化，再刷新页面或打开布局弹窗说明版本快照仍然可用。</w:t>
      </w: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多端适配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大屏保留左侧任务栏和右侧检查器；中屏把检查器收进抽屉，并保留工具按钮；移动端将主导航移到底部，任务栏改为文件入口，画布和对话区按纵向排列。拖拽分隔线在触控设备上使用 Pointer Events，因此不依赖鼠标。</w:t>
      </w: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运行过程与结果交付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运行工作流时，页面同时反馈任务状态、RAG 证据、代码流和日志。演示重点是让面试官看到智能体如何把问题变成可验证的分析过程。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656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观察面板</w:t>
            </w:r>
          </w:p>
        </w:tc>
        <w:tc>
          <w:tcPr>
            <w:tcW w:type="dxa" w:w="4320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你会看到什么</w:t>
            </w:r>
          </w:p>
        </w:tc>
        <w:tc>
          <w:tcPr>
            <w:tcW w:type="dxa" w:w="4104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解释重点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证据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检索命中、重排结果、参数绑定</w:t>
            </w:r>
          </w:p>
        </w:tc>
        <w:tc>
          <w:tcPr>
            <w:tcW w:type="dxa" w:w="41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RAG 全链路如何降低幻觉风险</w:t>
            </w:r>
          </w:p>
        </w:tc>
      </w:tr>
      <w:tr>
        <w:tc>
          <w:tcPr>
            <w:tcW w:type="dxa" w:w="165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代码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Python 代码按片段流式输出</w:t>
            </w:r>
          </w:p>
        </w:tc>
        <w:tc>
          <w:tcPr>
            <w:tcW w:type="dxa" w:w="410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生成过程可见，并且和节点、参数关联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日志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节点开始、完成和错误事件</w:t>
            </w:r>
          </w:p>
        </w:tc>
        <w:tc>
          <w:tcPr>
            <w:tcW w:type="dxa" w:w="41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长任务不是黑盒，用户能判断进度</w:t>
            </w:r>
          </w:p>
        </w:tc>
      </w:tr>
      <w:tr>
        <w:tc>
          <w:tcPr>
            <w:tcW w:type="dxa" w:w="165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结果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火山图、候选基因和摘要指标</w:t>
            </w:r>
          </w:p>
        </w:tc>
        <w:tc>
          <w:tcPr>
            <w:tcW w:type="dxa" w:w="410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统计结果有可视化和数值摘要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血缘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输入、转换、分析、证据到产物</w:t>
            </w:r>
          </w:p>
        </w:tc>
        <w:tc>
          <w:tcPr>
            <w:tcW w:type="dxa" w:w="41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每个交付物都可以回到来源</w:t>
            </w:r>
          </w:p>
        </w:tc>
      </w:tr>
      <w:tr>
        <w:tc>
          <w:tcPr>
            <w:tcW w:type="dxa" w:w="165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3D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蛋白结构轻量预览和残基选择</w:t>
            </w:r>
          </w:p>
        </w:tc>
        <w:tc>
          <w:tcPr>
            <w:tcW w:type="dxa" w:w="410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跨越转录组与结构生物学的展示能力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失败与重试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如果某个节点失败，页面会在对话和画布中标红，并说明失败原因。点击查看失败原因可以进入证据面板，确认输入和参数后再点击重试节点；重试不会清空已经完成的上游结果。</w:t>
      </w: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交付物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结果面板提供火山图 SVG 下载，报告按钮生成分析报告，代码面板提供复制和下载入口。演示时不要只下载文件，先打开血缘卡片说明 counts.csv 如何经过设计矩阵和 DESeq2 变成结果。</w:t>
      </w: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七分钟面试演示脚本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下面的节奏适合在面试官希望快速判断产品理解、前端交互和工程化程度时使用。每个时间点都对应一个可见反馈。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c>
          <w:tcPr>
            <w:tcW w:type="dxa" w:w="1080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2952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演示动作</w:t>
            </w:r>
          </w:p>
        </w:tc>
        <w:tc>
          <w:tcPr>
            <w:tcW w:type="dxa" w:w="3672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要讲的产品判断</w:t>
            </w:r>
          </w:p>
        </w:tc>
        <w:tc>
          <w:tcPr>
            <w:tcW w:type="dxa" w:w="2376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可见反馈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00:00</w:t>
            </w:r>
          </w:p>
        </w:tc>
        <w:tc>
          <w:tcPr>
            <w:tcW w:type="dxa" w:w="29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打开使用指引并快速略过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第一次进入的人不需要培训成本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五步引导高亮真实控件</w:t>
            </w:r>
          </w:p>
        </w:tc>
      </w:tr>
      <w:tr>
        <w:tc>
          <w:tcPr>
            <w:tcW w:type="dxa" w:w="108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00:45</w:t>
            </w:r>
          </w:p>
        </w:tc>
        <w:tc>
          <w:tcPr>
            <w:tcW w:type="dxa" w:w="295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说明 RNA-seq 研究目标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智能体先理解问题，再选择工具</w:t>
            </w:r>
          </w:p>
        </w:tc>
        <w:tc>
          <w:tcPr>
            <w:tcW w:type="dxa" w:w="23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目标区和对话区给出上下文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01:30</w:t>
            </w:r>
          </w:p>
        </w:tc>
        <w:tc>
          <w:tcPr>
            <w:tcW w:type="dxa" w:w="29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打开 counts.csv 和元数据详情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数据结构先校验，避免直接猜参数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字段、样本数、缺失值和建议</w:t>
            </w:r>
          </w:p>
        </w:tc>
      </w:tr>
      <w:tr>
        <w:tc>
          <w:tcPr>
            <w:tcW w:type="dxa" w:w="108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02:20</w:t>
            </w:r>
          </w:p>
        </w:tc>
        <w:tc>
          <w:tcPr>
            <w:tcW w:type="dxa" w:w="295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完成四项澄清并生成计划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关键假设交给用户确认</w:t>
            </w:r>
          </w:p>
        </w:tc>
        <w:tc>
          <w:tcPr>
            <w:tcW w:type="dxa" w:w="23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计划卡片与绑定证据出现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03:30</w:t>
            </w:r>
          </w:p>
        </w:tc>
        <w:tc>
          <w:tcPr>
            <w:tcW w:type="dxa" w:w="29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批准并执行，打开证据与代码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RAG 和代码生成过程可解释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流水线更新，代码按片段流出</w:t>
            </w:r>
          </w:p>
        </w:tc>
      </w:tr>
      <w:tr>
        <w:tc>
          <w:tcPr>
            <w:tcW w:type="dxa" w:w="108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05:00</w:t>
            </w:r>
          </w:p>
        </w:tc>
        <w:tc>
          <w:tcPr>
            <w:tcW w:type="dxa" w:w="295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打开结果、血缘和 3D</w:t>
            </w:r>
          </w:p>
        </w:tc>
        <w:tc>
          <w:tcPr>
            <w:tcW w:type="dxa" w:w="3672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交付物可以回溯到输入和知识来源</w:t>
            </w:r>
          </w:p>
        </w:tc>
        <w:tc>
          <w:tcPr>
            <w:tcW w:type="dxa" w:w="23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火山图、候选基因、血缘和结构预览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06:20</w:t>
            </w:r>
          </w:p>
        </w:tc>
        <w:tc>
          <w:tcPr>
            <w:tcW w:type="dxa" w:w="295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拖动节点并保存布局版本</w:t>
            </w:r>
          </w:p>
        </w:tc>
        <w:tc>
          <w:tcPr>
            <w:tcW w:type="dxa" w:w="36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工作流可配置且能复盘</w:t>
            </w:r>
          </w:p>
        </w:tc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6"/>
              </w:rPr>
              <w:t>保存提示和版本计数更新</w:t>
            </w:r>
          </w:p>
        </w:tc>
      </w:tr>
    </w:tbl>
    <w:p>
      <w:pPr>
        <w:spacing w:after="20"/>
      </w:pPr>
    </w:p>
    <w:p>
      <w:pPr>
        <w:spacing w:before="0" w:after="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收尾句  这个工作台的价值不只是把按钮做出来，而是让研究问题、数据结构、知识证据、执行代码和最终结果在一个可追踪的交互链里闭环。</w:t>
      </w:r>
    </w:p>
    <w:p>
      <w:r>
        <w:br w:type="page"/>
      </w: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演示前检查清单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开始面试或录屏前，用下面的清单做一次端到端自测。每项都应当能在页面上看到明确反馈。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默认地址是 http://127.0.0.1:3000/，页面不是 404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首次访问引导会出现，点击顶部使用指引可以再次打开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左侧任务、项目、文件和上传入口可点击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上传 CSV / TSV 后能看到服务端结构摘要和字段建议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四项澄清完成后，生成分析计划按钮可用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分析计划能展示步骤、时长和证据来源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批准并执行后任务进入运行中，证据流水线与日志会更新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代码面板能显示流式代码，结果面板能显示火山图和候选基因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失败节点能查看原因并重试，血缘能定位到来源节点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3D 结构预览支持旋转和残基选择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拖拽节点、调整边界、保存布局版本后刷新仍能恢复</w:t>
      </w:r>
    </w:p>
    <w:p>
      <w:pPr>
        <w:spacing w:before="0" w:after="100" w:line="300" w:lineRule="auto"/>
      </w:pPr>
      <w:r>
        <w:rPr>
          <w:rFonts w:ascii="Arial Unicode MS" w:hAnsi="Arial Unicode MS" w:eastAsia="Arial Unicode MS"/>
          <w:b/>
          <w:color w:val="69751A"/>
          <w:sz w:val="21"/>
        </w:rPr>
        <w:t xml:space="preserve">□  </w:t>
      </w:r>
      <w:r>
        <w:rPr>
          <w:rFonts w:ascii="Arial Unicode MS" w:hAnsi="Arial Unicode MS" w:eastAsia="Arial Unicode MS"/>
          <w:b w:val="0"/>
          <w:color w:val="262823"/>
          <w:sz w:val="21"/>
        </w:rPr>
        <w:t>大屏、中屏和移动端都能打开检查器，空白区域点击可关闭弹窗</w:t>
      </w:r>
    </w:p>
    <w:p>
      <w:pPr>
        <w:pStyle w:val="Heading2"/>
        <w:keepNext/>
        <w:spacing w:before="180" w:after="140" w:line="264" w:lineRule="auto"/>
      </w:pPr>
      <w:r>
        <w:rPr>
          <w:rFonts w:ascii="Arial Unicode MS" w:hAnsi="Arial Unicode MS" w:eastAsia="Arial Unicode MS"/>
          <w:b/>
          <w:color w:val="262823"/>
          <w:sz w:val="25"/>
        </w:rPr>
        <w:t>常见排查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2448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384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4176"/>
            <w:shd w:fill="69751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3000 端口打不开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是否有旧的 Next 进程占用</w:t>
            </w:r>
          </w:p>
        </w:tc>
        <w:tc>
          <w:tcPr>
            <w:tcW w:type="dxa" w:w="41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结束旧进程后再运行 npm run dev 或 npm run start</w:t>
            </w:r>
          </w:p>
        </w:tc>
      </w:tr>
      <w:tr>
        <w:tc>
          <w:tcPr>
            <w:tcW w:type="dxa" w:w="244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页面白屏或 404</w:t>
            </w:r>
          </w:p>
        </w:tc>
        <w:tc>
          <w:tcPr>
            <w:tcW w:type="dxa" w:w="338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是否混用了不同构建缓存</w:t>
            </w:r>
          </w:p>
        </w:tc>
        <w:tc>
          <w:tcPr>
            <w:tcW w:type="dxa" w:w="41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清理对应 .next 缓存，重新构建并从 3000 访问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引导没有出现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浏览器是否已有完成标记</w:t>
            </w:r>
          </w:p>
        </w:tc>
        <w:tc>
          <w:tcPr>
            <w:tcW w:type="dxa" w:w="41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点击使用指引；需要重置时清除 bioflow-studio-guide-v1</w:t>
            </w:r>
          </w:p>
        </w:tc>
      </w:tr>
      <w:tr>
        <w:tc>
          <w:tcPr>
            <w:tcW w:type="dxa" w:w="2448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数据一直等待</w:t>
            </w:r>
          </w:p>
        </w:tc>
        <w:tc>
          <w:tcPr>
            <w:tcW w:type="dxa" w:w="338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是否仍在澄清或审批状态</w:t>
            </w:r>
          </w:p>
        </w:tc>
        <w:tc>
          <w:tcPr>
            <w:tcW w:type="dxa" w:w="4176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先完成澄清，再批准分析计划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40" w:line="264" w:lineRule="auto"/>
      </w:pPr>
      <w:r>
        <w:rPr>
          <w:rFonts w:ascii="Arial Unicode MS" w:hAnsi="Arial Unicode MS" w:eastAsia="Arial Unicode MS"/>
          <w:b/>
          <w:color w:val="262823"/>
          <w:sz w:val="34"/>
        </w:rPr>
        <w:t>下一阶段工作路线</w:t>
      </w:r>
    </w:p>
    <w:p>
      <w:pPr>
        <w:spacing w:before="0" w:after="14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当前版本已经具备可演示的前端闭环。后续迭代应优先强化真实数据与真实智能体服务的接入，而不是继续堆叠静态文案。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94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744"/>
            <w:shd w:fill="56635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验收方式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现在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站内引导、操作手册和视觉规范对齐</w:t>
            </w:r>
          </w:p>
        </w:tc>
        <w:tc>
          <w:tcPr>
            <w:tcW w:type="dxa" w:w="37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新用户能按五步路径完成一次演示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下一轮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接入真实模型和向量库</w:t>
            </w:r>
          </w:p>
        </w:tc>
        <w:tc>
          <w:tcPr>
            <w:tcW w:type="dxa" w:w="37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替换演示事件后仍能保持证据链和流式反馈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数据增强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支持更多组学输入与任务模板</w:t>
            </w:r>
          </w:p>
        </w:tc>
        <w:tc>
          <w:tcPr>
            <w:tcW w:type="dxa" w:w="37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单细胞、蛋白质和基因组任务可复用组件</w:t>
            </w:r>
          </w:p>
        </w:tc>
      </w:tr>
      <w:tr>
        <w:tc>
          <w:tcPr>
            <w:tcW w:type="dxa" w:w="19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质量闭环</w:t>
            </w:r>
          </w:p>
        </w:tc>
        <w:tc>
          <w:tcPr>
            <w:tcW w:type="dxa" w:w="4320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加入自动化回归和可访问性检查</w:t>
            </w:r>
          </w:p>
        </w:tc>
        <w:tc>
          <w:tcPr>
            <w:tcW w:type="dxa" w:w="3744"/>
            <w:shd w:fill="F4F4E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Arial Unicode MS" w:hAnsi="Arial Unicode MS" w:eastAsia="Arial Unicode MS"/>
                <w:b w:val="0"/>
                <w:color w:val="262823"/>
                <w:sz w:val="18"/>
              </w:rPr>
              <w:t>每次提交通过格式、类型、构建和 smoke</w:t>
            </w:r>
          </w:p>
        </w:tc>
      </w:tr>
    </w:tbl>
    <w:p>
      <w:pPr>
        <w:spacing w:after="20"/>
      </w:pPr>
    </w:p>
    <w:p>
      <w:pPr>
        <w:spacing w:before="0" w:after="0" w:line="324" w:lineRule="auto"/>
      </w:pPr>
      <w:r>
        <w:rPr>
          <w:rFonts w:ascii="Arial Unicode MS" w:hAnsi="Arial Unicode MS" w:eastAsia="Arial Unicode MS"/>
          <w:b w:val="0"/>
          <w:color w:val="262823"/>
          <w:sz w:val="21"/>
        </w:rPr>
        <w:t>推荐的产品优先级是：先保证用户知道下一步，再保证智能体的判断有依据，最后扩展更多分析能力。这样可以在有限面试时间里同时展示产品思考、前端交互和工程化落地。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6695F"/>
        <w:sz w:val="16"/>
      </w:rPr>
      <w:t xml:space="preserve">BioFlow Studio  ·  操作流程手册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 Unicode MS" w:hAnsi="Arial Unicode MS" w:eastAsia="Arial Unicode MS"/>
        <w:b/>
        <w:color w:val="66695F"/>
        <w:sz w:val="16"/>
      </w:rPr>
      <w:t>BIOFLOW STUDIO  /  LIFE SCIENCE AGENT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28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28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282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BioFlow Studio 操作流程手册</dc:title>
  <dc:subject>生命科学智能体工作台的首次使用与面试演示路径</dc:subject>
  <dc:creator>BioFlow Studio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