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 w:after="80"/>
      </w:pPr>
      <w:r>
        <w:rPr>
          <w:rFonts w:ascii="Arial" w:cs="Arial" w:eastAsia="Arial" w:hAnsi="Arial"/>
          <w:b/>
          <w:bCs/>
          <w:color w:val="1F4E79"/>
          <w:sz w:val="48"/>
          <w:szCs w:val="48"/>
        </w:rPr>
        <w:t xml:space="preserve">Interview Research Report</w:t>
      </w:r>
    </w:p>
    <w:p>
      <w:pPr>
        <w:spacing w:before="0" w:after="60"/>
      </w:pPr>
      <w:r>
        <w:rPr>
          <w:rFonts w:ascii="Arial" w:cs="Arial" w:eastAsia="Arial" w:hAnsi="Arial"/>
          <w:color w:val="2E75B6"/>
          <w:sz w:val="32"/>
          <w:szCs w:val="32"/>
        </w:rPr>
        <w:t xml:space="preserve">Delphyr · Michel Abdel Malek</w:t>
      </w:r>
    </w:p>
    <w:p>
      <w:pPr>
        <w:spacing w:before="0" w:after="240"/>
      </w:pPr>
      <w:r>
        <w:rPr>
          <w:rFonts w:ascii="Arial" w:cs="Arial" w:eastAsia="Arial" w:hAnsi="Arial"/>
          <w:i/>
          <w:iCs/>
          <w:color w:val="555555"/>
          <w:sz w:val="22"/>
          <w:szCs w:val="22"/>
        </w:rPr>
        <w:t xml:space="preserve">First engagement interview · Amsterdam, NL · March 2026</w:t>
      </w:r>
    </w:p>
    <w:p>
      <w:pPr>
        <w:spacing w:before="4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  Name note: The company is Delphyr (delphyr.ai) — not Zelphyr. Confirm spelling before the call.</w:t>
            </w:r>
          </w:p>
        </w:tc>
      </w:tr>
    </w:tbl>
    <w:p>
      <w:pPr>
        <w:spacing w:before="16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1. Company Overview</w:t>
      </w:r>
    </w:p>
    <w:p>
      <w:pPr>
        <w:pStyle w:val="Heading2"/>
        <w:spacing w:before="280" w:after="80"/>
      </w:pPr>
      <w:r>
        <w:rPr>
          <w:rFonts w:ascii="Arial" w:cs="Arial" w:eastAsia="Arial" w:hAnsi="Arial"/>
          <w:b/>
          <w:bCs/>
          <w:color w:val="2E75B6"/>
          <w:sz w:val="26"/>
          <w:szCs w:val="26"/>
        </w:rPr>
        <w:t xml:space="preserve">Fast Facts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Full name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Delphyr B.V.</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Founded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2023</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Headquarters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Amsterdam, Netherlands</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Stage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Seed — freshly funded (March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Latest raise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€1.75 million (March 3, 2026)</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Earlier funding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€275K convertible loan — Innovatiefonds Noord-Holland (2024)</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Notable investors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Founders of Hugging Face + DEGIRO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Compliance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GDPR · ISO 27001 · SOC2 · Regulated as a medical device</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Infrastructure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European-only · data processed within practice environment</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Website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delphyr.ai</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Mission &amp; Positioning</w:t>
      </w:r>
    </w:p>
    <w:p>
      <w:pPr>
        <w:spacing w:before="60" w:after="80"/>
      </w:pPr>
      <w:r>
        <w:rPr>
          <w:rFonts w:ascii="Arial" w:cs="Arial" w:eastAsia="Arial" w:hAnsi="Arial"/>
          <w:color w:val="333333"/>
          <w:sz w:val="22"/>
          <w:szCs w:val="22"/>
        </w:rPr>
        <w:t xml:space="preserve">Delphyr's mission is to reduce the administrative burden on healthcare professionals so they can focus on patient care. The company positions itself as an intelligence layer that sits on top of existing EHR systems — not a replacement — adding AI-powered capabilities without forcing workflow changes or new dashboards.</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Key positioning phrase: "Not another screen." Delphyr lives directly inside existing clinical systems.</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Product Capabilities</w:t>
      </w:r>
    </w:p>
    <w:p>
      <w:pPr>
        <w:spacing w:before="60" w:after="80"/>
      </w:pPr>
      <w:r>
        <w:rPr>
          <w:rFonts w:ascii="Arial" w:cs="Arial" w:eastAsia="Arial" w:hAnsi="Arial"/>
          <w:color w:val="333333"/>
          <w:sz w:val="22"/>
          <w:szCs w:val="22"/>
        </w:rPr>
        <w:t xml:space="preserve">The platform targets hospitals, primary care (GP) practices, and mental healthcare settings. Core features:</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Smart search &amp; summarization — consolidates patient data from notes, lab results, and correspondence into a single view</w:t>
      </w:r>
    </w:p>
    <w:p>
      <w:pPr>
        <w:pStyle w:val="ListParagraph"/>
        <w:numPr>
          <w:ilvl w:val="0"/>
          <w:numId w:val="2"/>
        </w:numPr>
        <w:spacing w:before="40" w:after="40"/>
      </w:pPr>
      <w:r>
        <w:rPr>
          <w:rFonts w:ascii="Arial" w:cs="Arial" w:eastAsia="Arial" w:hAnsi="Arial"/>
          <w:color w:val="333333"/>
          <w:sz w:val="22"/>
          <w:szCs w:val="22"/>
        </w:rPr>
        <w:t xml:space="preserve">Clinical guidelines access — instant retrieval of relevant guidelines and trusted medical sources</w:t>
      </w:r>
    </w:p>
    <w:p>
      <w:pPr>
        <w:pStyle w:val="ListParagraph"/>
        <w:numPr>
          <w:ilvl w:val="0"/>
          <w:numId w:val="2"/>
        </w:numPr>
        <w:spacing w:before="40" w:after="40"/>
      </w:pPr>
      <w:r>
        <w:rPr>
          <w:rFonts w:ascii="Arial" w:cs="Arial" w:eastAsia="Arial" w:hAnsi="Arial"/>
          <w:color w:val="333333"/>
          <w:sz w:val="22"/>
          <w:szCs w:val="22"/>
        </w:rPr>
        <w:t xml:space="preserve">Workflow optimization — prepares patient summaries, consult notes, drafts responses for correspondence and e-consults</w:t>
      </w:r>
    </w:p>
    <w:p>
      <w:pPr>
        <w:pStyle w:val="ListParagraph"/>
        <w:numPr>
          <w:ilvl w:val="0"/>
          <w:numId w:val="2"/>
        </w:numPr>
        <w:spacing w:before="40" w:after="40"/>
      </w:pPr>
      <w:r>
        <w:rPr>
          <w:rFonts w:ascii="Arial" w:cs="Arial" w:eastAsia="Arial" w:hAnsi="Arial"/>
          <w:color w:val="333333"/>
          <w:sz w:val="22"/>
          <w:szCs w:val="22"/>
        </w:rPr>
        <w:t xml:space="preserve">Ambient listening — securely captures consultations and auto-converts them into structured clinical notes, linked directly to the patient record</w:t>
      </w:r>
    </w:p>
    <w:p>
      <w:pPr>
        <w:spacing w:before="80" w:after="0"/>
      </w:pPr>
      <w:r>
        <w:t xml:space="preserve"/>
      </w:r>
    </w:p>
    <w:p>
      <w:pPr>
        <w:pStyle w:val="Heading3"/>
        <w:spacing w:before="200" w:after="60"/>
      </w:pPr>
      <w:r>
        <w:rPr>
          <w:rFonts w:ascii="Arial" w:cs="Arial" w:eastAsia="Arial" w:hAnsi="Arial"/>
          <w:b/>
          <w:bCs/>
          <w:color w:val="555555"/>
          <w:sz w:val="22"/>
          <w:szCs w:val="22"/>
        </w:rPr>
        <w:t xml:space="preserve">Technical Architecture</w:t>
      </w:r>
    </w:p>
    <w:p>
      <w:pPr>
        <w:pStyle w:val="ListParagraph"/>
        <w:numPr>
          <w:ilvl w:val="0"/>
          <w:numId w:val="2"/>
        </w:numPr>
        <w:spacing w:before="40" w:after="40"/>
      </w:pPr>
      <w:r>
        <w:rPr>
          <w:rFonts w:ascii="Arial" w:cs="Arial" w:eastAsia="Arial" w:hAnsi="Arial"/>
          <w:color w:val="333333"/>
          <w:sz w:val="22"/>
          <w:szCs w:val="22"/>
        </w:rPr>
        <w:t xml:space="preserve">Integrates with all EHR providers; runs on the Microsoft ecosystem</w:t>
      </w:r>
    </w:p>
    <w:p>
      <w:pPr>
        <w:pStyle w:val="ListParagraph"/>
        <w:numPr>
          <w:ilvl w:val="0"/>
          <w:numId w:val="2"/>
        </w:numPr>
        <w:spacing w:before="40" w:after="40"/>
      </w:pPr>
      <w:r>
        <w:rPr>
          <w:rFonts w:ascii="Arial" w:cs="Arial" w:eastAsia="Arial" w:hAnsi="Arial"/>
          <w:color w:val="333333"/>
          <w:sz w:val="22"/>
          <w:szCs w:val="22"/>
        </w:rPr>
        <w:t xml:space="preserve">Models are trained and fine-tuned in-house</w:t>
      </w:r>
    </w:p>
    <w:p>
      <w:pPr>
        <w:pStyle w:val="ListParagraph"/>
        <w:numPr>
          <w:ilvl w:val="0"/>
          <w:numId w:val="2"/>
        </w:numPr>
        <w:spacing w:before="40" w:after="40"/>
      </w:pPr>
      <w:r>
        <w:rPr>
          <w:rFonts w:ascii="Arial" w:cs="Arial" w:eastAsia="Arial" w:hAnsi="Arial"/>
          <w:color w:val="333333"/>
          <w:sz w:val="22"/>
          <w:szCs w:val="22"/>
        </w:rPr>
        <w:t xml:space="preserve">Structured data, free text, PDFs, letters, and reports — all searchable across fragmented EHRs</w:t>
      </w:r>
    </w:p>
    <w:p>
      <w:pPr>
        <w:pStyle w:val="ListParagraph"/>
        <w:numPr>
          <w:ilvl w:val="0"/>
          <w:numId w:val="2"/>
        </w:numPr>
        <w:spacing w:before="40" w:after="40"/>
      </w:pPr>
      <w:r>
        <w:rPr>
          <w:rFonts w:ascii="Arial" w:cs="Arial" w:eastAsia="Arial" w:hAnsi="Arial"/>
          <w:color w:val="333333"/>
          <w:sz w:val="22"/>
          <w:szCs w:val="22"/>
        </w:rPr>
        <w:t xml:space="preserve">Designed for EU AI Act compliance; full data residency within Europe</w:t>
      </w:r>
    </w:p>
    <w:p>
      <w:pPr>
        <w:pStyle w:val="ListParagraph"/>
        <w:numPr>
          <w:ilvl w:val="0"/>
          <w:numId w:val="2"/>
        </w:numPr>
        <w:spacing w:before="40" w:after="40"/>
      </w:pPr>
      <w:r>
        <w:rPr>
          <w:rFonts w:ascii="Arial" w:cs="Arial" w:eastAsia="Arial" w:hAnsi="Arial"/>
          <w:color w:val="333333"/>
          <w:sz w:val="22"/>
          <w:szCs w:val="22"/>
        </w:rPr>
        <w:t xml:space="preserve">End-to-end monitoring for governance and auditability</w:t>
      </w:r>
    </w:p>
    <w:p>
      <w:pPr>
        <w:spacing w:before="160" w:after="0"/>
      </w:pPr>
      <w:r>
        <w:t xml:space="preserve"/>
      </w:r>
    </w:p>
    <w:p>
      <w:pPr>
        <w:pStyle w:val="Heading2"/>
        <w:spacing w:before="280" w:after="80"/>
      </w:pPr>
      <w:r>
        <w:rPr>
          <w:rFonts w:ascii="Arial" w:cs="Arial" w:eastAsia="Arial" w:hAnsi="Arial"/>
          <w:b/>
          <w:bCs/>
          <w:color w:val="2E75B6"/>
          <w:sz w:val="26"/>
          <w:szCs w:val="26"/>
        </w:rPr>
        <w:t xml:space="preserve">Funding &amp; Investor Signal</w:t>
      </w:r>
    </w:p>
    <w:p>
      <w:pPr>
        <w:spacing w:before="60" w:after="80"/>
      </w:pPr>
      <w:r>
        <w:rPr>
          <w:rFonts w:ascii="Arial" w:cs="Arial" w:eastAsia="Arial" w:hAnsi="Arial"/>
          <w:color w:val="333333"/>
          <w:sz w:val="22"/>
          <w:szCs w:val="22"/>
        </w:rPr>
        <w:t xml:space="preserve">The €1.75M round closed March 3, 2026. The investor profile is meaningful: Hugging Face founders signal confidence in the technical foundation; DEGIRO founders (fintech) signal belief in the go-to-market execution. The 2024 Innovatiefonds Noord-Holland backing (a fund backed by UvA, VU, Amsterdam UMC, and Sanquin) gives the company strong institutional healthcare credibility in NL.</w:t>
      </w:r>
    </w:p>
    <w:p>
      <w:pPr>
        <w:spacing w:before="24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2. Michel Abdel Malek — The Founder</w:t>
      </w:r>
    </w:p>
    <w:p>
      <w:pPr>
        <w:pStyle w:val="Heading2"/>
        <w:spacing w:before="280" w:after="80"/>
      </w:pPr>
      <w:r>
        <w:rPr>
          <w:rFonts w:ascii="Arial" w:cs="Arial" w:eastAsia="Arial" w:hAnsi="Arial"/>
          <w:b/>
          <w:bCs/>
          <w:color w:val="2E75B6"/>
          <w:sz w:val="26"/>
          <w:szCs w:val="26"/>
        </w:rPr>
        <w:t xml:space="preserve">Background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Role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CEO &amp; Founder, Delphyr</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Medical background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Anesthesiologist (still practices occasionally)</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Education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University of Amsterdam</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LinkedIn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linkedin.com/in/mabdelmalek</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Public presence</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TEDx speaker · Physician entrepreneur profile · BNR Nieuwsradio</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Research</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iPS cell research, Tokyo (stem cells / Nakauchi lab)</w:t>
            </w:r>
          </w:p>
        </w:tc>
      </w:tr>
      <w:tr>
        <w:tc>
          <w:tcPr>
            <w:tcW w:type="dxa" w:w="28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Humanitarian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Raised €25K to expand ICU capacity at Lesbos hospital</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The Founding Story</w:t>
      </w:r>
    </w:p>
    <w:p>
      <w:pPr>
        <w:spacing w:before="60" w:after="80"/>
      </w:pPr>
      <w:r>
        <w:rPr>
          <w:rFonts w:ascii="Arial" w:cs="Arial" w:eastAsia="Arial" w:hAnsi="Arial"/>
          <w:color w:val="333333"/>
          <w:sz w:val="22"/>
          <w:szCs w:val="22"/>
        </w:rPr>
        <w:t xml:space="preserve">Michel's origin story is both specific and emotionally resonant — he will likely tell some version of it. While working as a senior resident in anesthesiology, he nearly made a critical mistake: prescribing a medication to a patient who had a contraindication. The information existed in the patient record — it simply wasn't accessible at the right moment. This wasn't an isolated incident. As a millennial who had been coding since childhood, he decided to build the solution himself.</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He frames this not as a technology story but as a patient safety story. Mirror that framing.</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Entrepreneurial Philosophy</w:t>
      </w:r>
    </w:p>
    <w:p>
      <w:pPr>
        <w:spacing w:before="60" w:after="80"/>
      </w:pPr>
      <w:r>
        <w:rPr>
          <w:rFonts w:ascii="Arial" w:cs="Arial" w:eastAsia="Arial" w:hAnsi="Arial"/>
          <w:color w:val="333333"/>
          <w:sz w:val="22"/>
          <w:szCs w:val="22"/>
        </w:rPr>
        <w:t xml:space="preserve">From his public interviews and writing, Michel's key principles:</w:t>
      </w:r>
    </w:p>
    <w:p>
      <w:pPr>
        <w:spacing w:before="60" w:after="0"/>
      </w:pPr>
      <w:r>
        <w:t xml:space="preserve"/>
      </w:r>
    </w:p>
    <w:p>
      <w:pPr>
        <w:pStyle w:val="ListParagraph"/>
        <w:numPr>
          <w:ilvl w:val="0"/>
          <w:numId w:val="2"/>
        </w:numPr>
        <w:spacing w:before="40" w:after="40"/>
      </w:pPr>
      <w:r>
        <w:rPr>
          <w:rFonts w:ascii="Arial" w:cs="Arial" w:eastAsia="Arial" w:hAnsi="Arial"/>
          <w:color w:val="333333"/>
          <w:sz w:val="22"/>
          <w:szCs w:val="22"/>
        </w:rPr>
        <w:t xml:space="preserve">Execution over perfection — acts decisively, iterates fast; dislikes over-analysis paralysis</w:t>
      </w:r>
    </w:p>
    <w:p>
      <w:pPr>
        <w:pStyle w:val="ListParagraph"/>
        <w:numPr>
          <w:ilvl w:val="0"/>
          <w:numId w:val="2"/>
        </w:numPr>
        <w:spacing w:before="40" w:after="40"/>
      </w:pPr>
      <w:r>
        <w:rPr>
          <w:rFonts w:ascii="Arial" w:cs="Arial" w:eastAsia="Arial" w:hAnsi="Arial"/>
          <w:color w:val="333333"/>
          <w:sz w:val="22"/>
          <w:szCs w:val="22"/>
        </w:rPr>
        <w:t xml:space="preserve">Succinctness beats extensiveness — "a strong story carries more weight than just facts"</w:t>
      </w:r>
    </w:p>
    <w:p>
      <w:pPr>
        <w:pStyle w:val="ListParagraph"/>
        <w:numPr>
          <w:ilvl w:val="0"/>
          <w:numId w:val="2"/>
        </w:numPr>
        <w:spacing w:before="40" w:after="40"/>
      </w:pPr>
      <w:r>
        <w:rPr>
          <w:rFonts w:ascii="Arial" w:cs="Arial" w:eastAsia="Arial" w:hAnsi="Arial"/>
          <w:color w:val="333333"/>
          <w:sz w:val="22"/>
          <w:szCs w:val="22"/>
        </w:rPr>
        <w:t xml:space="preserve">Style matters — he acknowledges this and uses it as a tool, not a weakness</w:t>
      </w:r>
    </w:p>
    <w:p>
      <w:pPr>
        <w:pStyle w:val="ListParagraph"/>
        <w:numPr>
          <w:ilvl w:val="0"/>
          <w:numId w:val="2"/>
        </w:numPr>
        <w:spacing w:before="40" w:after="40"/>
      </w:pPr>
      <w:r>
        <w:rPr>
          <w:rFonts w:ascii="Arial" w:cs="Arial" w:eastAsia="Arial" w:hAnsi="Arial"/>
          <w:color w:val="333333"/>
          <w:sz w:val="22"/>
          <w:szCs w:val="22"/>
        </w:rPr>
        <w:t xml:space="preserve">Skills from medicine he brings to startups: strategic planning, continuous prioritization, performing under pressure, calculated risk-taking</w:t>
      </w:r>
    </w:p>
    <w:p>
      <w:pPr>
        <w:spacing w:before="80" w:after="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He dislikes being "lectured" with dry facts. Lead with a clear narrative, not a feature list.</w:t>
            </w:r>
          </w:p>
        </w:tc>
      </w:tr>
    </w:tbl>
    <w:p>
      <w:pPr>
        <w:spacing w:before="24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3. Market Context</w:t>
      </w:r>
    </w:p>
    <w:p>
      <w:pPr>
        <w:pStyle w:val="Heading2"/>
        <w:spacing w:before="280" w:after="80"/>
      </w:pPr>
      <w:r>
        <w:rPr>
          <w:rFonts w:ascii="Arial" w:cs="Arial" w:eastAsia="Arial" w:hAnsi="Arial"/>
          <w:b/>
          <w:bCs/>
          <w:color w:val="2E75B6"/>
          <w:sz w:val="26"/>
          <w:szCs w:val="26"/>
        </w:rPr>
        <w:t xml:space="preserve">Netherlands Healthcare AI Landscape</w:t>
      </w:r>
    </w:p>
    <w:p>
      <w:pPr>
        <w:spacing w:before="60" w:after="80"/>
      </w:pPr>
      <w:r>
        <w:rPr>
          <w:rFonts w:ascii="Arial" w:cs="Arial" w:eastAsia="Arial" w:hAnsi="Arial"/>
          <w:color w:val="333333"/>
          <w:sz w:val="22"/>
          <w:szCs w:val="22"/>
        </w:rPr>
        <w:t xml:space="preserve">The Netherlands AI-in-healthcare market is projected to grow from $0.02B (2022) to $0.36B by 2030 — a ~46% CAGR. Half of Dutch university hospitals now have dedicated AI teams, up from zero just a few years ago. The government's ZorgTech programme funds AI R&amp;D in healthcare. Dutch data protection authority has issued guidelines on AI use in healthcare, emphasising GDPR and informed consent.</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The Administrative Burden Problem</w:t>
      </w:r>
    </w:p>
    <w:p>
      <w:pPr>
        <w:spacing w:before="60" w:after="80"/>
      </w:pPr>
      <w:r>
        <w:rPr>
          <w:rFonts w:ascii="Arial" w:cs="Arial" w:eastAsia="Arial" w:hAnsi="Arial"/>
          <w:color w:val="333333"/>
          <w:sz w:val="22"/>
          <w:szCs w:val="22"/>
        </w:rPr>
        <w:t xml:space="preserve">Administrative overhead is the #1 pain point across Dutch healthcare. Doctors and nurses spend a significant portion of working hours on documentation, EHR searches, and correspondence — time taken directly from patient care. AI in NL healthcare is being applied most effectively to: clinical documentation automation, semantic patient data search, ambient consultation capture, and decision support layers.</w:t>
      </w:r>
    </w:p>
    <w:p>
      <w:pPr>
        <w:spacing w:before="120" w:after="0"/>
      </w:pPr>
      <w:r>
        <w:t xml:space="preserve"/>
      </w:r>
    </w:p>
    <w:p>
      <w:pPr>
        <w:pStyle w:val="Heading2"/>
        <w:spacing w:before="280" w:after="80"/>
      </w:pPr>
      <w:r>
        <w:rPr>
          <w:rFonts w:ascii="Arial" w:cs="Arial" w:eastAsia="Arial" w:hAnsi="Arial"/>
          <w:b/>
          <w:bCs/>
          <w:color w:val="2E75B6"/>
          <w:sz w:val="26"/>
          <w:szCs w:val="26"/>
        </w:rPr>
        <w:t xml:space="preserve">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580"/>
        <w:gridCol w:w="358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Competitor</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Positioning</w:t>
            </w:r>
          </w:p>
        </w:tc>
        <w:tc>
          <w:tcPr>
            <w:tcW w:type="dxa" w:w="35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Delphyr Differentiation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Nuance DAX (Microsoft)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Ambient documentation, US-market dominant</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EU-native infra, medical device regulated, broader workflow scope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Nabla</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French AI clinical note assistant, EU-focused</w:t>
            </w:r>
          </w:p>
        </w:tc>
        <w:tc>
          <w:tcPr>
            <w:tcW w:type="dxa" w:w="3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color w:val="333333"/>
                <w:sz w:val="20"/>
                <w:szCs w:val="20"/>
              </w:rPr>
              <w:t xml:space="preserve">NL-native with Amsterdam UMC ties; broader multi-modal agent scope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Chartnote / others</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Point solutions for documentation</w:t>
            </w:r>
          </w:p>
        </w:tc>
        <w:tc>
          <w:tcPr>
            <w:tcW w:type="dxa" w:w="35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333333"/>
                <w:sz w:val="20"/>
                <w:szCs w:val="20"/>
              </w:rPr>
              <w:t xml:space="preserve">Full-stack platform play: search + summarize + ambient + guidelines + correspondence</w:t>
            </w:r>
          </w:p>
        </w:tc>
      </w:tr>
    </w:tbl>
    <w:p>
      <w:pPr>
        <w:spacing w:before="24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4. Your Fit — Felipe Mendonça</w:t>
      </w:r>
    </w:p>
    <w:p>
      <w:pPr>
        <w:pStyle w:val="Heading2"/>
        <w:spacing w:before="280" w:after="80"/>
      </w:pPr>
      <w:r>
        <w:rPr>
          <w:rFonts w:ascii="Arial" w:cs="Arial" w:eastAsia="Arial" w:hAnsi="Arial"/>
          <w:b/>
          <w:bCs/>
          <w:color w:val="2E75B6"/>
          <w:sz w:val="26"/>
          <w:szCs w:val="26"/>
        </w:rPr>
        <w:t xml:space="preserve">Strength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Their Problem</w:t>
            </w:r>
          </w:p>
        </w:tc>
        <w:tc>
          <w:tcPr>
            <w:tcW w:type="dxa" w:w="468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Your Signal</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Production AI pipelines at scale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30k–60k docs/day at Fysp Tech; end-to-end ownership from ingestion to API</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RAG over fragmented, unstructured data</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Hybrid search: SurrealDB, pgvector, Pinecone; multi-source ingestion pipelines</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Agentic workflows with reliability constraints</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LangGraph agents in production; self-healing extraction logic reducing maintenance 80–95%</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Privacy-first European infrastructure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Built for regulated EU environments; familiar with GDPR data handling requirements</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Intelligent layer, not replacement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Pattern matches exactly — your Fysp Tech work adds AI enrichment without disrupting existing data flows</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Small, fast, high-ownership team</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Led 3 engineers at Nextgear; ships end-to-end features in days, not weeks</w:t>
            </w:r>
          </w:p>
        </w:tc>
      </w:tr>
      <w:tr>
        <w:trPr>
          <w:tblHeader w:val="false"/>
        </w:trPr>
        <w:tc>
          <w:tcPr>
            <w:tcW w:type="dxa" w:w="468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color w:val="1F4E79"/>
                <w:sz w:val="20"/>
                <w:szCs w:val="20"/>
              </w:rPr>
              <w:t xml:space="preserve">Clinical user empathy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333333"/>
                <w:sz w:val="20"/>
                <w:szCs w:val="20"/>
              </w:rPr>
              <w:t xml:space="preserve">Psychology background → deep understanding of cognitive load and why UX friction matters in high-stakes environments</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Genuine Gaps — and How to Bridge Them</w:t>
      </w:r>
    </w:p>
    <w:p>
      <w:pPr>
        <w:spacing w:before="60" w:after="0"/>
      </w:pPr>
      <w:r>
        <w:t xml:space="preserve"/>
      </w:r>
    </w:p>
    <w:p>
      <w:pPr>
        <w:pStyle w:val="Heading3"/>
        <w:spacing w:before="200" w:after="60"/>
      </w:pPr>
      <w:r>
        <w:rPr>
          <w:rFonts w:ascii="Arial" w:cs="Arial" w:eastAsia="Arial" w:hAnsi="Arial"/>
          <w:b/>
          <w:bCs/>
          <w:color w:val="555555"/>
          <w:sz w:val="22"/>
          <w:szCs w:val="22"/>
        </w:rPr>
        <w:t xml:space="preserve">No healthcare domain experience</w:t>
      </w:r>
    </w:p>
    <w:p>
      <w:pPr>
        <w:spacing w:before="60" w:after="80"/>
      </w:pPr>
      <w:r>
        <w:rPr>
          <w:rFonts w:ascii="Arial" w:cs="Arial" w:eastAsia="Arial" w:hAnsi="Arial"/>
          <w:color w:val="333333"/>
          <w:sz w:val="22"/>
          <w:szCs w:val="22"/>
        </w:rPr>
        <w:t xml:space="preserve">Bridge: "I've built AI systems in equally high-stakes, high-compliance environments. The core engineering challenge — reliable agents over fragmented unstructured data with auditability — is the same problem domain. What changes is the subject matter, not the architecture."</w:t>
      </w:r>
    </w:p>
    <w:p>
      <w:pPr>
        <w:spacing w:before="80" w:after="0"/>
      </w:pPr>
      <w:r>
        <w:t xml:space="preserve"/>
      </w:r>
    </w:p>
    <w:p>
      <w:pPr>
        <w:pStyle w:val="Heading3"/>
        <w:spacing w:before="200" w:after="60"/>
      </w:pPr>
      <w:r>
        <w:rPr>
          <w:rFonts w:ascii="Arial" w:cs="Arial" w:eastAsia="Arial" w:hAnsi="Arial"/>
          <w:b/>
          <w:bCs/>
          <w:color w:val="555555"/>
          <w:sz w:val="22"/>
          <w:szCs w:val="22"/>
        </w:rPr>
        <w:t xml:space="preserve">Medical device regulation (MDR/EU AI Act)</w:t>
      </w:r>
    </w:p>
    <w:p>
      <w:pPr>
        <w:spacing w:before="60" w:after="80"/>
      </w:pPr>
      <w:r>
        <w:rPr>
          <w:rFonts w:ascii="Arial" w:cs="Arial" w:eastAsia="Arial" w:hAnsi="Arial"/>
          <w:color w:val="333333"/>
          <w:sz w:val="22"/>
          <w:szCs w:val="22"/>
        </w:rPr>
        <w:t xml:space="preserve">You don't need MDR expertise. Acknowledge that agent output in clinical settings demands higher reliability standards than typical SaaS. Frame your LLM-as-judge evaluation and observability work (Langfuse) as the foundation they can build on.</w:t>
      </w:r>
    </w:p>
    <w:p>
      <w:pPr>
        <w:spacing w:before="80" w:after="0"/>
      </w:pPr>
      <w:r>
        <w:t xml:space="preserve"/>
      </w:r>
    </w:p>
    <w:p>
      <w:pPr>
        <w:pStyle w:val="Heading3"/>
        <w:spacing w:before="200" w:after="60"/>
      </w:pPr>
      <w:r>
        <w:rPr>
          <w:rFonts w:ascii="Arial" w:cs="Arial" w:eastAsia="Arial" w:hAnsi="Arial"/>
          <w:b/>
          <w:bCs/>
          <w:color w:val="555555"/>
          <w:sz w:val="22"/>
          <w:szCs w:val="22"/>
        </w:rPr>
        <w:t xml:space="preserve">Microsoft ecosystem (Azure-first)</w:t>
      </w:r>
    </w:p>
    <w:p>
      <w:pPr>
        <w:spacing w:before="60" w:after="80"/>
      </w:pPr>
      <w:r>
        <w:rPr>
          <w:rFonts w:ascii="Arial" w:cs="Arial" w:eastAsia="Arial" w:hAnsi="Arial"/>
          <w:color w:val="333333"/>
          <w:sz w:val="22"/>
          <w:szCs w:val="22"/>
        </w:rPr>
        <w:t xml:space="preserve">Your stack is AWS-primary. Be direct: you're cloud-agnostic at the infrastructure level (Docker, Kubernetes, ArgoCD), and have shipped production systems across environments. Azure and AWS differ in managed services, not fundamentals.</w:t>
      </w:r>
    </w:p>
    <w:p>
      <w:pPr>
        <w:spacing w:before="160" w:after="0"/>
      </w:pPr>
      <w:r>
        <w:t xml:space="preserve"/>
      </w:r>
    </w:p>
    <w:p>
      <w:pPr>
        <w:pStyle w:val="Heading2"/>
        <w:spacing w:before="280" w:after="80"/>
      </w:pPr>
      <w:r>
        <w:rPr>
          <w:rFonts w:ascii="Arial" w:cs="Arial" w:eastAsia="Arial" w:hAnsi="Arial"/>
          <w:b/>
          <w:bCs/>
          <w:color w:val="2E75B6"/>
          <w:sz w:val="26"/>
          <w:szCs w:val="26"/>
        </w:rPr>
        <w:t xml:space="preserve">Your Strongest Story for This Room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The self-healing scraper agent: monitoring 30+ data sources, auto-updating extraction logic, reducing scraper maintenance by 80–95%, and eliminating unplanned data-collection outages. This maps directly to what Delphyr needs — agents that run reliably, unsupervised, in production, on fragmented data.</w:t>
            </w:r>
          </w:p>
        </w:tc>
      </w:tr>
    </w:tbl>
    <w:p>
      <w:pPr>
        <w:spacing w:before="24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5. Questions to Ask Michel</w:t>
      </w:r>
    </w:p>
    <w:p>
      <w:pPr>
        <w:spacing w:before="60" w:after="80"/>
      </w:pPr>
      <w:r>
        <w:rPr>
          <w:rFonts w:ascii="Arial" w:cs="Arial" w:eastAsia="Arial" w:hAnsi="Arial"/>
          <w:color w:val="333333"/>
          <w:sz w:val="22"/>
          <w:szCs w:val="22"/>
        </w:rPr>
        <w:t xml:space="preserve">Ordered by depth of signal they send. Ask 3–4 max — don't burn the clock.</w:t>
      </w:r>
    </w:p>
    <w:p>
      <w:pPr>
        <w:spacing w:before="80" w:after="0"/>
      </w:pPr>
      <w:r>
        <w:t xml:space="preserve"/>
      </w:r>
    </w:p>
    <w:p>
      <w:pPr>
        <w:pStyle w:val="Heading3"/>
        <w:spacing w:before="200" w:after="60"/>
      </w:pPr>
      <w:r>
        <w:rPr>
          <w:rFonts w:ascii="Arial" w:cs="Arial" w:eastAsia="Arial" w:hAnsi="Arial"/>
          <w:b/>
          <w:bCs/>
          <w:color w:val="555555"/>
          <w:sz w:val="22"/>
          <w:szCs w:val="22"/>
        </w:rPr>
        <w:t xml:space="preserve">1. EHR Integration Architecture</w:t>
      </w:r>
    </w:p>
    <w:p>
      <w:pPr>
        <w:spacing w:before="60" w:after="80"/>
      </w:pPr>
      <w:r>
        <w:rPr>
          <w:rFonts w:ascii="Arial" w:cs="Arial" w:eastAsia="Arial" w:hAnsi="Arial"/>
          <w:color w:val="333333"/>
          <w:sz w:val="22"/>
          <w:szCs w:val="22"/>
        </w:rPr>
        <w:t xml:space="preserve">"How are you handling EHR integration at scale — direct FHIR/HL7 connectors, middleware, or vendor-specific APIs? And how do you manage schema variance across different EHR providers?"</w:t>
      </w:r>
    </w:p>
    <w:p>
      <w:pPr>
        <w:spacing w:before="60" w:after="80"/>
      </w:pPr>
      <w:r>
        <w:rPr>
          <w:rFonts w:ascii="Arial" w:cs="Arial" w:eastAsia="Arial" w:hAnsi="Arial"/>
          <w:i/>
          <w:iCs/>
          <w:color w:val="555555"/>
          <w:sz w:val="22"/>
          <w:szCs w:val="22"/>
        </w:rPr>
        <w:t xml:space="preserve">Why: Shows you've thought beyond the AI layer to the data plumbing underneath.</w:t>
      </w:r>
    </w:p>
    <w:p>
      <w:pPr>
        <w:spacing w:before="100" w:after="0"/>
      </w:pPr>
      <w:r>
        <w:t xml:space="preserve"/>
      </w:r>
    </w:p>
    <w:p>
      <w:pPr>
        <w:pStyle w:val="Heading3"/>
        <w:spacing w:before="200" w:after="60"/>
      </w:pPr>
      <w:r>
        <w:rPr>
          <w:rFonts w:ascii="Arial" w:cs="Arial" w:eastAsia="Arial" w:hAnsi="Arial"/>
          <w:b/>
          <w:bCs/>
          <w:color w:val="555555"/>
          <w:sz w:val="22"/>
          <w:szCs w:val="22"/>
        </w:rPr>
        <w:t xml:space="preserve">2. Agent Reliability in Clinical Workflows</w:t>
      </w:r>
    </w:p>
    <w:p>
      <w:pPr>
        <w:spacing w:before="60" w:after="80"/>
      </w:pPr>
      <w:r>
        <w:rPr>
          <w:rFonts w:ascii="Arial" w:cs="Arial" w:eastAsia="Arial" w:hAnsi="Arial"/>
          <w:color w:val="333333"/>
          <w:sz w:val="22"/>
          <w:szCs w:val="22"/>
        </w:rPr>
        <w:t xml:space="preserve">"Given that errors in clinical decision support have real patient safety implications, how do you evaluate and bound agent reliability? What does your human-in-the-loop design look like?"</w:t>
      </w:r>
    </w:p>
    <w:p>
      <w:pPr>
        <w:spacing w:before="60" w:after="80"/>
      </w:pPr>
      <w:r>
        <w:rPr>
          <w:rFonts w:ascii="Arial" w:cs="Arial" w:eastAsia="Arial" w:hAnsi="Arial"/>
          <w:i/>
          <w:iCs/>
          <w:color w:val="555555"/>
          <w:sz w:val="22"/>
          <w:szCs w:val="22"/>
        </w:rPr>
        <w:t xml:space="preserve">Why: Ties directly to his founding story. He'll appreciate that you've connected the thread.</w:t>
      </w:r>
    </w:p>
    <w:p>
      <w:pPr>
        <w:spacing w:before="100" w:after="0"/>
      </w:pPr>
      <w:r>
        <w:t xml:space="preserve"/>
      </w:r>
    </w:p>
    <w:p>
      <w:pPr>
        <w:pStyle w:val="Heading3"/>
        <w:spacing w:before="200" w:after="60"/>
      </w:pPr>
      <w:r>
        <w:rPr>
          <w:rFonts w:ascii="Arial" w:cs="Arial" w:eastAsia="Arial" w:hAnsi="Arial"/>
          <w:b/>
          <w:bCs/>
          <w:color w:val="555555"/>
          <w:sz w:val="22"/>
          <w:szCs w:val="22"/>
        </w:rPr>
        <w:t xml:space="preserve">3. LLM Trust Boundaries</w:t>
      </w:r>
    </w:p>
    <w:p>
      <w:pPr>
        <w:spacing w:before="60" w:after="80"/>
      </w:pPr>
      <w:r>
        <w:rPr>
          <w:rFonts w:ascii="Arial" w:cs="Arial" w:eastAsia="Arial" w:hAnsi="Arial"/>
          <w:color w:val="333333"/>
          <w:sz w:val="22"/>
          <w:szCs w:val="22"/>
        </w:rPr>
        <w:t xml:space="preserve">"What's the current split between deterministic rules and LLM-driven reasoning in your agents? Where's the trust boundary, and how does that evolve as the system matures?"</w:t>
      </w:r>
    </w:p>
    <w:p>
      <w:pPr>
        <w:spacing w:before="60" w:after="80"/>
      </w:pPr>
      <w:r>
        <w:rPr>
          <w:rFonts w:ascii="Arial" w:cs="Arial" w:eastAsia="Arial" w:hAnsi="Arial"/>
          <w:i/>
          <w:iCs/>
          <w:color w:val="555555"/>
          <w:sz w:val="22"/>
          <w:szCs w:val="22"/>
        </w:rPr>
        <w:t xml:space="preserve">Why: Signals production-grade thinking, not prototype thinking.</w:t>
      </w:r>
    </w:p>
    <w:p>
      <w:pPr>
        <w:spacing w:before="100" w:after="0"/>
      </w:pPr>
      <w:r>
        <w:t xml:space="preserve"/>
      </w:r>
    </w:p>
    <w:p>
      <w:pPr>
        <w:pStyle w:val="Heading3"/>
        <w:spacing w:before="200" w:after="60"/>
      </w:pPr>
      <w:r>
        <w:rPr>
          <w:rFonts w:ascii="Arial" w:cs="Arial" w:eastAsia="Arial" w:hAnsi="Arial"/>
          <w:b/>
          <w:bCs/>
          <w:color w:val="555555"/>
          <w:sz w:val="22"/>
          <w:szCs w:val="22"/>
        </w:rPr>
        <w:t xml:space="preserve">4. Post-Raise Roadmap</w:t>
      </w:r>
    </w:p>
    <w:p>
      <w:pPr>
        <w:spacing w:before="60" w:after="80"/>
      </w:pPr>
      <w:r>
        <w:rPr>
          <w:rFonts w:ascii="Arial" w:cs="Arial" w:eastAsia="Arial" w:hAnsi="Arial"/>
          <w:color w:val="333333"/>
          <w:sz w:val="22"/>
          <w:szCs w:val="22"/>
        </w:rPr>
        <w:t xml:space="preserve">"What does the next 6–12 months look like with the new capital — more clinical settings, more countries, or deeper product?"</w:t>
      </w:r>
    </w:p>
    <w:p>
      <w:pPr>
        <w:spacing w:before="60" w:after="80"/>
      </w:pPr>
      <w:r>
        <w:rPr>
          <w:rFonts w:ascii="Arial" w:cs="Arial" w:eastAsia="Arial" w:hAnsi="Arial"/>
          <w:i/>
          <w:iCs/>
          <w:color w:val="555555"/>
          <w:sz w:val="22"/>
          <w:szCs w:val="22"/>
        </w:rPr>
        <w:t xml:space="preserve">Why: Understand scope, growth trajectory, and where you'd fit in that plan.</w:t>
      </w:r>
    </w:p>
    <w:p>
      <w:pPr>
        <w:spacing w:before="100" w:after="0"/>
      </w:pPr>
      <w:r>
        <w:t xml:space="preserve"/>
      </w:r>
    </w:p>
    <w:p>
      <w:pPr>
        <w:pStyle w:val="Heading3"/>
        <w:spacing w:before="200" w:after="60"/>
      </w:pPr>
      <w:r>
        <w:rPr>
          <w:rFonts w:ascii="Arial" w:cs="Arial" w:eastAsia="Arial" w:hAnsi="Arial"/>
          <w:b/>
          <w:bCs/>
          <w:color w:val="555555"/>
          <w:sz w:val="22"/>
          <w:szCs w:val="22"/>
        </w:rPr>
        <w:t xml:space="preserve">5. Team &amp; Engineering Culture</w:t>
      </w:r>
    </w:p>
    <w:p>
      <w:pPr>
        <w:spacing w:before="60" w:after="80"/>
      </w:pPr>
      <w:r>
        <w:rPr>
          <w:rFonts w:ascii="Arial" w:cs="Arial" w:eastAsia="Arial" w:hAnsi="Arial"/>
          <w:color w:val="333333"/>
          <w:sz w:val="22"/>
          <w:szCs w:val="22"/>
        </w:rPr>
        <w:t xml:space="preserve">"How is the engineering team structured right now, and what does the collaboration model between clinical domain knowledge and engineering look like day-to-day?"</w:t>
      </w:r>
    </w:p>
    <w:p>
      <w:pPr>
        <w:spacing w:before="60" w:after="80"/>
      </w:pPr>
      <w:r>
        <w:rPr>
          <w:rFonts w:ascii="Arial" w:cs="Arial" w:eastAsia="Arial" w:hAnsi="Arial"/>
          <w:i/>
          <w:iCs/>
          <w:color w:val="555555"/>
          <w:sz w:val="22"/>
          <w:szCs w:val="22"/>
        </w:rPr>
        <w:t xml:space="preserve">Why: Tells you whether Michel is hands-on technically and how decisions get made.</w:t>
      </w:r>
    </w:p>
    <w:p>
      <w:pPr>
        <w:spacing w:before="240" w:after="0"/>
      </w:pPr>
      <w:r>
        <w:t xml:space="preserve"/>
      </w:r>
    </w:p>
    <w:p>
      <w:pPr>
        <w:pStyle w:val="Heading1"/>
        <w:pBdr>
          <w:bottom w:val="single" w:color="2E75B6" w:sz="6" w:space="4"/>
        </w:pBdr>
        <w:spacing w:before="360" w:after="120"/>
      </w:pPr>
      <w:r>
        <w:rPr>
          <w:rFonts w:ascii="Arial" w:cs="Arial" w:eastAsia="Arial" w:hAnsi="Arial"/>
          <w:b/>
          <w:bCs/>
          <w:color w:val="1F4E79"/>
          <w:sz w:val="32"/>
          <w:szCs w:val="32"/>
        </w:rPr>
        <w:t xml:space="preserve">6. Tone &amp; Positioning</w:t>
      </w:r>
    </w:p>
    <w:p>
      <w:pPr>
        <w:pStyle w:val="Heading2"/>
        <w:spacing w:before="280" w:after="80"/>
      </w:pPr>
      <w:r>
        <w:rPr>
          <w:rFonts w:ascii="Arial" w:cs="Arial" w:eastAsia="Arial" w:hAnsi="Arial"/>
          <w:b/>
          <w:bCs/>
          <w:color w:val="2E75B6"/>
          <w:sz w:val="26"/>
          <w:szCs w:val="26"/>
        </w:rPr>
        <w:t xml:space="preserve">How to Show Up</w:t>
      </w:r>
    </w:p>
    <w:p>
      <w:pPr>
        <w:pStyle w:val="ListParagraph"/>
        <w:numPr>
          <w:ilvl w:val="0"/>
          <w:numId w:val="2"/>
        </w:numPr>
        <w:spacing w:before="40" w:after="40"/>
      </w:pPr>
      <w:r>
        <w:rPr>
          <w:rFonts w:ascii="Arial" w:cs="Arial" w:eastAsia="Arial" w:hAnsi="Arial"/>
          <w:color w:val="333333"/>
          <w:sz w:val="22"/>
          <w:szCs w:val="22"/>
        </w:rPr>
        <w:t xml:space="preserve">Michel is a physician who codes and an entrepreneur who still practices medicine — peer-to-peer, not corporate</w:t>
      </w:r>
    </w:p>
    <w:p>
      <w:pPr>
        <w:pStyle w:val="ListParagraph"/>
        <w:numPr>
          <w:ilvl w:val="0"/>
          <w:numId w:val="2"/>
        </w:numPr>
        <w:spacing w:before="40" w:after="40"/>
      </w:pPr>
      <w:r>
        <w:rPr>
          <w:rFonts w:ascii="Arial" w:cs="Arial" w:eastAsia="Arial" w:hAnsi="Arial"/>
          <w:color w:val="333333"/>
          <w:sz w:val="22"/>
          <w:szCs w:val="22"/>
        </w:rPr>
        <w:t xml:space="preserve">He has low tolerance for generic pitches and "dry knowledge" — lead with story and outcome, not feature lists</w:t>
      </w:r>
    </w:p>
    <w:p>
      <w:pPr>
        <w:pStyle w:val="ListParagraph"/>
        <w:numPr>
          <w:ilvl w:val="0"/>
          <w:numId w:val="2"/>
        </w:numPr>
        <w:spacing w:before="40" w:after="40"/>
      </w:pPr>
      <w:r>
        <w:rPr>
          <w:rFonts w:ascii="Arial" w:cs="Arial" w:eastAsia="Arial" w:hAnsi="Arial"/>
          <w:color w:val="333333"/>
          <w:sz w:val="22"/>
          <w:szCs w:val="22"/>
        </w:rPr>
        <w:t xml:space="preserve">He values execution and calculated risk — demonstrate you ship, not that you plan</w:t>
      </w:r>
    </w:p>
    <w:p>
      <w:pPr>
        <w:pStyle w:val="ListParagraph"/>
        <w:numPr>
          <w:ilvl w:val="0"/>
          <w:numId w:val="2"/>
        </w:numPr>
        <w:spacing w:before="40" w:after="40"/>
      </w:pPr>
      <w:r>
        <w:rPr>
          <w:rFonts w:ascii="Arial" w:cs="Arial" w:eastAsia="Arial" w:hAnsi="Arial"/>
          <w:color w:val="333333"/>
          <w:sz w:val="22"/>
          <w:szCs w:val="22"/>
        </w:rPr>
        <w:t xml:space="preserve">He built something from a near-miss patient safety event — take the clinical quality bar seriously in how you speak</w:t>
      </w:r>
    </w:p>
    <w:p>
      <w:pPr>
        <w:spacing w:before="80" w:after="0"/>
      </w:pPr>
      <w:r>
        <w:t xml:space="preserve"/>
      </w:r>
    </w:p>
    <w:p>
      <w:pPr>
        <w:pStyle w:val="Heading2"/>
        <w:spacing w:before="280" w:after="80"/>
      </w:pPr>
      <w:r>
        <w:rPr>
          <w:rFonts w:ascii="Arial" w:cs="Arial" w:eastAsia="Arial" w:hAnsi="Arial"/>
          <w:b/>
          <w:bCs/>
          <w:color w:val="2E75B6"/>
          <w:sz w:val="26"/>
          <w:szCs w:val="26"/>
        </w:rPr>
        <w:t xml:space="preserve">Your 30-Second Pitch Frame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75B6" w:sz="4"/>
              <w:left w:val="single" w:color="2E75B6" w:sz="12"/>
              <w:bottom w:val="single" w:color="2E75B6" w:sz="4"/>
              <w:right w:val="single" w:color="2E75B6" w:sz="4"/>
            </w:tcBorders>
            <w:shd w:fill="EBF4FB" w:val="clear"/>
            <w:tcMar>
              <w:top w:type="dxa" w:w="100"/>
              <w:left w:type="dxa" w:w="160"/>
              <w:bottom w:type="dxa" w:w="100"/>
              <w:right w:type="dxa" w:w="160"/>
            </w:tcMar>
          </w:tcPr>
          <w:p>
            <w:r>
              <w:rPr>
                <w:rFonts w:ascii="Arial" w:cs="Arial" w:eastAsia="Arial" w:hAnsi="Arial"/>
                <w:i/>
                <w:iCs/>
                <w:color w:val="1F4E79"/>
                <w:sz w:val="20"/>
                <w:szCs w:val="20"/>
              </w:rPr>
              <w:t xml:space="preserve">💬  "I build production AI systems that handle messy, fragmented data at scale — 30-60k documents a day — with the reliability and observability standards you'd expect in a regulated environment. What I find compelling about Delphyr is that the hardest engineering problem isn't the AI — it's making it trustworthy and invisible inside existing workflows. That's exactly the problem I've been solving."</w:t>
            </w:r>
          </w:p>
        </w:tc>
      </w:tr>
    </w:tbl>
    <w:p>
      <w:pPr>
        <w:spacing w:before="160" w:after="0"/>
      </w:pPr>
      <w:r>
        <w:t xml:space="preserve"/>
      </w:r>
    </w:p>
    <w:p>
      <w:pPr>
        <w:pStyle w:val="Heading2"/>
        <w:spacing w:before="280" w:after="80"/>
      </w:pPr>
      <w:r>
        <w:rPr>
          <w:rFonts w:ascii="Arial" w:cs="Arial" w:eastAsia="Arial" w:hAnsi="Arial"/>
          <w:b/>
          <w:bCs/>
          <w:color w:val="2E75B6"/>
          <w:sz w:val="26"/>
          <w:szCs w:val="26"/>
        </w:rPr>
        <w:t xml:space="preserve">Non-Obvious Edge</w:t>
      </w:r>
    </w:p>
    <w:p>
      <w:pPr>
        <w:spacing w:before="60" w:after="80"/>
      </w:pPr>
      <w:r>
        <w:rPr>
          <w:rFonts w:ascii="Arial" w:cs="Arial" w:eastAsia="Arial" w:hAnsi="Arial"/>
          <w:color w:val="333333"/>
          <w:sz w:val="22"/>
          <w:szCs w:val="22"/>
        </w:rPr>
        <w:t xml:space="preserve">Your psychology background is genuinely relevant here — not as a talking point, but as a lens. You understand cognitive load, decision fatigue, and why clinicians won't adopt tools that add friction. Michel built the product around the insight that doctors need information at the moment of decision, with zero new workflow burden. You can speak to that design philosophy from first principles, not just implementation experience.</w:t>
      </w:r>
    </w:p>
    <w:p>
      <w:pPr>
        <w:spacing w:before="60" w:after="80"/>
      </w:pPr>
      <w:r>
        <w:rPr>
          <w:rFonts w:ascii="Arial" w:cs="Arial" w:eastAsia="Arial" w:hAnsi="Arial"/>
          <w:i/>
          <w:iCs/>
          <w:color w:val="555555"/>
          <w:sz w:val="22"/>
          <w:szCs w:val="22"/>
        </w:rPr>
        <w:t xml:space="preserve">Deploy this naturally if the conversation opens — don't force it.</w:t>
      </w:r>
    </w:p>
    <w:p>
      <w:pPr>
        <w:spacing w:before="200" w:after="0"/>
      </w:pPr>
      <w:r>
        <w:t xml:space="preserve"/>
      </w:r>
    </w:p>
    <w:p>
      <w:pPr>
        <w:pBdr>
          <w:top w:val="single" w:color="CCCCCC" w:sz="4" w:space="6"/>
        </w:pBdr>
        <w:spacing w:before="160" w:after="60"/>
      </w:pPr>
      <w:r>
        <w:rPr>
          <w:rFonts w:ascii="Arial" w:cs="Arial" w:eastAsia="Arial" w:hAnsi="Arial"/>
          <w:i/>
          <w:iCs/>
          <w:color w:val="555555"/>
          <w:sz w:val="16"/>
          <w:szCs w:val="16"/>
        </w:rPr>
        <w:t xml:space="preserve">Research compiled from: EU-Startups, PRNewswire, Offcall physician spotlight interview, Delphyr.ai, Fintech Global, KickstartAI, Deloitte Center for Health Solutions · March 2026</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4"/>
      </w:pBdr>
      <w:tabs>
        <w:tab w:val="right" w:pos="9026"/>
      </w:tabs>
      <w:spacing w:before="80"/>
    </w:pPr>
    <w:r>
      <w:rPr>
        <w:rFonts w:ascii="Arial" w:cs="Arial" w:eastAsia="Arial" w:hAnsi="Arial"/>
        <w:color w:val="555555"/>
        <w:sz w:val="16"/>
        <w:szCs w:val="16"/>
      </w:rPr>
      <w:t xml:space="preserve">Prepared for interview · March 2026</w:t>
    </w:r>
    <w:r>
      <w:rPr>
        <w:rFonts w:ascii="Arial" w:cs="Arial" w:eastAsia="Arial" w:hAnsi="Arial"/>
        <w:sz w:val="16"/>
        <w:szCs w:val="16"/>
      </w:rPr>
      <w:t xml:space="preserve">	</w:t>
    </w:r>
    <w:r>
      <w:rPr>
        <w:rFonts w:ascii="Arial" w:cs="Arial" w:eastAsia="Arial" w:hAnsi="Arial"/>
        <w:color w:val="555555"/>
        <w:sz w:val="16"/>
        <w:szCs w:val="16"/>
      </w:rPr>
      <w:t xml:space="preserve">Page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20"/>
    </w:pPr>
    <w:r>
      <w:rPr>
        <w:rFonts w:ascii="Arial" w:cs="Arial" w:eastAsia="Arial" w:hAnsi="Arial"/>
        <w:b/>
        <w:bCs/>
        <w:color w:val="1F4E79"/>
        <w:sz w:val="18"/>
        <w:szCs w:val="18"/>
      </w:rPr>
      <w:t xml:space="preserve">DELPHYR &amp; MICHEL ABDEL MALEK — Interview Research Report</w:t>
    </w:r>
    <w:r>
      <w:rPr>
        <w:rFonts w:ascii="Arial" w:cs="Arial" w:eastAsia="Arial" w:hAnsi="Arial"/>
        <w:sz w:val="18"/>
        <w:szCs w:val="18"/>
      </w:rPr>
      <w:t xml:space="preserve">	</w:t>
    </w:r>
    <w:r>
      <w:rPr>
        <w:rFonts w:ascii="Arial" w:cs="Arial" w:eastAsia="Arial" w:hAnsi="Arial"/>
        <w:color w:val="555555"/>
        <w:sz w:val="18"/>
        <w:szCs w:val="18"/>
      </w:rPr>
      <w:t xml:space="preserve">Confidential · Felipe Mendonça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outlineLvl w:val="0"/>
    </w:pPr>
    <w:rPr>
      <w:rFonts w:ascii="Arial" w:cs="Arial" w:eastAsia="Arial" w:hAnsi="Arial"/>
      <w:b/>
      <w:bCs/>
      <w:color w:val="1F4E79"/>
      <w:sz w:val="32"/>
      <w:szCs w:val="32"/>
    </w:rPr>
  </w:style>
  <w:style w:type="paragraph" w:styleId="Heading2">
    <w:name w:val="Heading 2"/>
    <w:basedOn w:val="Normal"/>
    <w:next w:val="Normal"/>
    <w:qFormat/>
    <w:pPr>
      <w:spacing w:before="280" w:after="80"/>
      <w:outlineLvl w:val="1"/>
    </w:pPr>
    <w:rPr>
      <w:rFonts w:ascii="Arial" w:cs="Arial" w:eastAsia="Arial" w:hAnsi="Arial"/>
      <w:b/>
      <w:bCs/>
      <w:color w:val="2E75B6"/>
      <w:sz w:val="26"/>
      <w:szCs w:val="26"/>
    </w:rPr>
  </w:style>
  <w:style w:type="paragraph" w:styleId="Heading3">
    <w:name w:val="Heading 3"/>
    <w:basedOn w:val="Normal"/>
    <w:next w:val="Normal"/>
    <w:qFormat/>
    <w:pPr>
      <w:spacing w:before="200" w:after="60"/>
      <w:outlineLvl w:val="2"/>
    </w:pPr>
    <w:rPr>
      <w:rFonts w:ascii="Arial" w:cs="Arial" w:eastAsia="Arial" w:hAnsi="Arial"/>
      <w:b/>
      <w:bCs/>
      <w:color w:val="55555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2026-03-31T15:25:33.249Z</dcterms:created>
  <dcterms:modified xsi:type="dcterms:W3CDTF">2026-03-31T15:25:33.250Z</dcterms:modified>
</cp:coreProperties>
</file>

<file path=docProps/custom.xml><?xml version="1.0" encoding="utf-8"?>
<Properties xmlns="http://schemas.openxmlformats.org/officeDocument/2006/custom-properties" xmlns:vt="http://schemas.openxmlformats.org/officeDocument/2006/docPropsVTypes"/>
</file>