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长期记忆论文对比与 MINDPET 实验基准</w:t>
      </w:r>
    </w:p>
    <w:p>
      <w:pPr>
        <w:jc w:val="center"/>
      </w:pPr>
      <w:r>
        <w:rPr>
          <w:color w:val="505050"/>
          <w:sz w:val="21"/>
        </w:rPr>
        <w:t>公开研究结果、指标口径和可复现实验目标</w:t>
      </w:r>
    </w:p>
    <w:p/>
    <w:p>
      <w:pPr>
        <w:pStyle w:val="Heading1"/>
      </w:pPr>
      <w:r>
        <w:t>一 先看结论</w:t>
      </w:r>
    </w:p>
    <w:p>
      <w:r>
        <w:t>公开研究表明，长期记忆的端到端问答准确率通常在 50% 至 75% 区间，复杂多跳、时间推理和知识更新会明显拉低成绩。95% 以上更适合用作确定性字段、敏感信息拦截、来源完整性或受控时间解析的工程门槛，不适合直接作为所有 Agent 记忆问答的统一目标。</w:t>
      </w:r>
    </w:p>
    <w:p>
      <w:pPr>
        <w:pStyle w:val="ListBullet"/>
        <w:ind w:left="317"/>
      </w:pPr>
      <w:r>
        <w:t>MINDPET 应把结果拆成写入决策、候选召回、证据排序、状态更新和最终回答五层；论文之间的“accuracy”经常只覆盖最后一层。</w:t>
      </w:r>
    </w:p>
    <w:p>
      <w:pPr>
        <w:pStyle w:val="ListBullet"/>
        <w:ind w:left="317"/>
      </w:pPr>
      <w:r>
        <w:t>比较时必须固定回答模型、Embedding、Judge、上下文预算和数据切分，否则模型差异可能比记忆架构差异更大。</w:t>
      </w:r>
    </w:p>
    <w:p>
      <w:pPr>
        <w:pStyle w:val="ListBullet"/>
        <w:ind w:left="317"/>
      </w:pPr>
      <w:r>
        <w:t>竞赛主结果建议采用一个公开基准加一个项目特色基准：LoCoMo 或 LongMemEval 负责可比性，宜兴/南京、相对时间、离线巩固和遗忘负责创新性。</w:t>
      </w:r>
    </w:p>
    <w:p>
      <w:pPr>
        <w:pStyle w:val="Heading1"/>
      </w:pPr>
      <w:r>
        <w:t>二 公开论文和基准对比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172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223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年份与公开地址</w:t>
            </w:r>
          </w:p>
        </w:tc>
        <w:tc>
          <w:tcPr>
            <w:tcW w:type="dxa" w:w="295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研究重点</w:t>
            </w:r>
          </w:p>
        </w:tc>
        <w:tc>
          <w:tcPr>
            <w:tcW w:type="dxa" w:w="316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可比较结果或结论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MemoryBank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2023  https://arxiv.org/abs/2305.10250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长期记忆更新、Ebbinghaus 式强化与遗忘、陪伴场景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包含定性和模拟对话实验，但没有与 LoCoMo/LongMemEval 对齐的统一准确率；适合参考遗忘机制，不适合作为数值上限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MemGPT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2023  https://arxiv.org/abs/2310.08560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把上下文管理和记忆分页交给 Agent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强调长上下文管理和工具式记忆操作；实验口径与后来的长期用户记忆基准不同，不能直接和 LoCoMo 分数横比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LongMemEval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ICLR 2025  https://arxiv.org/abs/2410.10813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信息抽取、多会话推理、时间推理、知识更新、拒答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500 个问题；论文报告商业助手和长上下文模型有约 30% 至 60% 性能下降，人工评估商业系统约 30% 至 70%；事实扩展索引带来约 9.4 个百分点 Recall@k 和 5.4 个百分点 QA 提升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Mem0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2025  https://arxiv.org/abs/2504.19413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记忆提取、巩固、检索；另有图记忆版本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LoCoMo 的 LLM Judge：单跳 67.13，多跳 51.15，开放域 72.93，时间 55.51；图版本分别为 65.71、47.19、75.71、58.13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A-Mem 重跑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收录于 Mem0 对比表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Agentic memory、动态链接和记忆演化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LoCoMo 的 LLM Judge：单跳 39.79，多跳 18.85，开放域 54.05，时间 49.91；说明 Agent 自主管理不自动等于高准确率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E-mem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2026  https://arxiv.org/abs/2601.21714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保留情境的 episodic context reconstruction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报告 LoCoMo F1 超过 54%，比其 GAM 对照高 7.75 个百分点，并声称 Token 成本下降超过 70%；属于预印本，需复现实验后引用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TransMem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2026  https://arxiv.org/abs/2607.29032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把历史 hidden states 转为可复用记忆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报告 MemoryAgentBench 平均准确率从 29.54% 提升到 40.00%；说明不同基准的绝对分数可能比 LoCoMo 更低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TEPA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2026  https://arxiv.org/abs/2608.07429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可撤销、可审计的过期记忆和冲突更新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在受控完整反转实验中 TEPA 0.950，append-only 和 last-write-wins 为 0.210；这是冲突更新专项结果，不是通用长期记忆准确率</w:t>
            </w:r>
          </w:p>
        </w:tc>
      </w:tr>
    </w:tbl>
    <w:p/>
    <w:p>
      <w:pPr>
        <w:pStyle w:val="Heading1"/>
      </w:pPr>
      <w:r>
        <w:t>三 为什么这些准确率不能直接横比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194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差异来源</w:t>
            </w:r>
          </w:p>
        </w:tc>
        <w:tc>
          <w:tcPr>
            <w:tcW w:type="dxa" w:w="547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具体表现</w:t>
            </w:r>
          </w:p>
        </w:tc>
        <w:tc>
          <w:tcPr>
            <w:tcW w:type="dxa" w:w="266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 MINDPET 的要求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任务不同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LoCoMo 偏会话问答，LongMemEval 还测拒答和知识更新，MemoryAgentBench 偏 Agent 轨迹经验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报告每类问题，不只给一个总平均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指标不同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F1、BLEU、LLM Judge、Recall@k 和二分类 accuracy 含义不同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表头写清指标和计算方法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模型不同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GPT-4o、GPT-4o-mini、Llama、Claude 的阅读能力不同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固定 reader 或分模型报告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检索和写入不同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有的系统只评检索，有的系统评完整回答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分开报告 write、retrieve、read 三阶段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数据规模不同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小型人工数据集容易得到高分，长历史和噪声会显著降分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增加跨会话、冲突、时间和无答案样本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是否允许拒答不同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不允许拒答会提高覆盖但增加幻觉，允许拒答会影响 accuracy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同时报告 answer accuracy 与 abstention precision</w:t>
            </w:r>
          </w:p>
        </w:tc>
      </w:tr>
    </w:tbl>
    <w:p/>
    <w:p>
      <w:pPr>
        <w:pStyle w:val="Heading1"/>
      </w:pPr>
      <w:r>
        <w:t>四 MINDPET 推荐基准值</w:t>
      </w:r>
    </w:p>
    <w:p>
      <w:r>
        <w:t>下面的数值分为“可比基线”和“竞赛强目标”。可比基线用于证明系统达到公开研究的合理区间，强目标用于展示 MINDPET 的工程优势。它们不是声称已经达到的结果，必须通过固定回放后填写。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172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95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23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可比基线</w:t>
            </w:r>
          </w:p>
        </w:tc>
        <w:tc>
          <w:tcPr>
            <w:tcW w:type="dxa" w:w="2592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竞赛强目标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写入决策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保存精确率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&gt;=0.88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&gt;=0.93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写入决策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错误记忆率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&lt;=0.08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&lt;=0.05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写入安全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敏感信息泄漏率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画像更新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current/home 串槽率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&lt;=0.02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&lt;=0.01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时间归一化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确定性日期 exact match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&gt;=0.95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&gt;=0.98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候选召回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Recall@5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&gt;=0.80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&gt;=0.90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排序质量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nDCG@10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&gt;=0.75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&gt;=0.85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最终回答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综合 LLM Judge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&gt;=0.60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&gt;=0.70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最终回答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多跳/时间问题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&gt;=0.50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&gt;=0.65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拒答能力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无可靠证据拒答精确率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&gt;=0.88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&gt;=0.94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遗忘更新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过期记忆抑制率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&gt;=0.80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&gt;=0.90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遗忘安全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稳定事实保留率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&gt;=0.95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&gt;=0.98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工程性能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本地检索 p95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&lt;=250 ms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&lt;=150 ms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离线巩固</w:t>
            </w:r>
          </w:p>
        </w:tc>
        <w:tc>
          <w:tcPr>
            <w:tcW w:type="dxa" w:w="295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队列等待 p95</w:t>
            </w:r>
          </w:p>
        </w:tc>
        <w:tc>
          <w:tcPr>
            <w:tcW w:type="dxa" w:w="22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&lt;=15 min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&lt;=5 min</w:t>
            </w:r>
          </w:p>
        </w:tc>
      </w:tr>
    </w:tbl>
    <w:p/>
    <w:p>
      <w:r>
        <w:t>建议把“综合 LLM Judge &gt;=70%”作为很好的竞赛目标，而不是 95%。对 MINDPET 来说，能在 60% 至 70% 的公开级端到端准确率上，同时做到敏感信息零泄漏、状态串槽接近零、时间漂移为零、来源可追溯和本地低延迟，比单纯追求一个高分更有说服力。</w:t>
      </w:r>
    </w:p>
    <w:p>
      <w:pPr>
        <w:pStyle w:val="Heading1"/>
      </w:pPr>
      <w:r>
        <w:t>五 推荐实验设计</w:t>
      </w:r>
    </w:p>
    <w:p>
      <w:pPr>
        <w:pStyle w:val="ListBullet"/>
        <w:ind w:left="317"/>
      </w:pPr>
      <w:r>
        <w:t>公开可比实验：实现 LoCoMo 或 LongMemEval 的脱敏适配集，固定 reader、Embedding、topK、RRF 参数、上下文预算和 Judge；报告按 single-hop、multi-hop、temporal、open-domain、update、abstention 分组的结果。</w:t>
      </w:r>
    </w:p>
    <w:p>
      <w:pPr>
        <w:pStyle w:val="ListBullet"/>
        <w:ind w:left="317"/>
      </w:pPr>
      <w:r>
        <w:t>写入实验：沿用 MINDPET 的 curator-fixtures，增加 should_store、predicate、scope、time_status、profile_slot 和 sensitivity 金标，单独计算错误记忆率和串槽率。</w:t>
      </w:r>
    </w:p>
    <w:p>
      <w:pPr>
        <w:pStyle w:val="ListBullet"/>
        <w:ind w:left="317"/>
      </w:pPr>
      <w:r>
        <w:t>时间更新实验：固定“9 月 22 日说后天、9 月 25 日处理”的延迟回放，并加入跨时区、纠正、模糊表达和已结束计划。</w:t>
      </w:r>
    </w:p>
    <w:p>
      <w:pPr>
        <w:pStyle w:val="ListBullet"/>
        <w:ind w:left="317"/>
      </w:pPr>
      <w:r>
        <w:t>遗忘实验：比较无遗忘、当前 retention、访问强化、事实替代和软遗忘；同时看过期干扰下降与稳定事实保留，避免只展示存储减少。</w:t>
      </w:r>
    </w:p>
    <w:p>
      <w:pPr>
        <w:pStyle w:val="ListBullet"/>
        <w:ind w:left="317"/>
      </w:pPr>
      <w:r>
        <w:t>消融实验：去掉关键词、KG、RRF、重排、时间归一化、事实版本和离线解耦，每次只关闭一项能力。</w:t>
      </w:r>
    </w:p>
    <w:p>
      <w:pPr>
        <w:pStyle w:val="ListBullet"/>
        <w:ind w:left="317"/>
      </w:pPr>
      <w:r>
        <w:t>统计：以用户为 bootstrap 单位，报告均值、p50、p95、95% CI、样本量和失败案例；不要把同一用户的所有回合当成独立样本。</w:t>
      </w:r>
    </w:p>
    <w:p>
      <w:pPr>
        <w:pStyle w:val="Heading1"/>
      </w:pPr>
      <w:r>
        <w:t>六 对 MINDPET 最有利的论文差距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2880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公开研究常见不足</w:t>
            </w:r>
          </w:p>
        </w:tc>
        <w:tc>
          <w:tcPr>
            <w:tcW w:type="dxa" w:w="4464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MINDPET 可形成的差异点</w:t>
            </w:r>
          </w:p>
        </w:tc>
        <w:tc>
          <w:tcPr>
            <w:tcW w:type="dxa" w:w="2448"/>
            <w:shd w:fill="1F4E79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应展示的证据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只报告最终回答，写入过程不可审计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memory_fact、source_turn_id、superseded_id 和 profile projection 可追踪</w:t>
            </w:r>
          </w:p>
        </w:tc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事实版本图和失败 reason_code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时间问题常被并入总分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TemporalNormalizer 将锚点、精度和模糊状态显式化</w:t>
            </w:r>
          </w:p>
        </w:tc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确定性日期、日期漂移和模糊拒答三项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遗忘通常只看存储或检索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同时保留历史证据并抑制过期事实</w:t>
            </w:r>
          </w:p>
        </w:tc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软遗忘、硬清理和 evidence 查询对比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云端系统成本和延迟难复现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SQLite、sqlite-vec、本地队列和固定回放易复现</w:t>
            </w:r>
          </w:p>
        </w:tc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p95、Token、磁盘和队列等待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图谱和向量常被分开评估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MINDPET 可对 semantic、keyword、KG、RRF 和 rerank 做同查询消融</w:t>
            </w:r>
          </w:p>
        </w:tc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候选来源排名和 nDCG/Recall 曲线</w:t>
            </w:r>
          </w:p>
        </w:tc>
      </w:tr>
    </w:tbl>
    <w:p/>
    <w:p>
      <w:pPr>
        <w:pStyle w:val="Heading1"/>
      </w:pPr>
      <w:r>
        <w:t>七 引用和报告规范</w:t>
      </w:r>
    </w:p>
    <w:p>
      <w:pPr>
        <w:pStyle w:val="ListBullet"/>
        <w:ind w:left="317"/>
      </w:pPr>
      <w:r>
        <w:t>论文中的“reported”结果与 MINDPET 的“reproduced”结果分开写；没有复现就不要写成已经达到。</w:t>
      </w:r>
    </w:p>
    <w:p>
      <w:pPr>
        <w:pStyle w:val="ListBullet"/>
        <w:ind w:left="317"/>
      </w:pPr>
      <w:r>
        <w:t>每个结果注明数据集、问题数量、回答模型、Embedding、Judge、温度、上下文预算和是否允许拒答。</w:t>
      </w:r>
    </w:p>
    <w:p>
      <w:pPr>
        <w:pStyle w:val="ListBullet"/>
        <w:ind w:left="317"/>
      </w:pPr>
      <w:r>
        <w:t>公开论文只作为数量级参考，不把不同指标直接做排名；主图使用同一数据、同一 reader、同一 Judge 的受控对比。</w:t>
      </w:r>
    </w:p>
    <w:p>
      <w:pPr>
        <w:pStyle w:val="ListBullet"/>
        <w:ind w:left="317"/>
      </w:pPr>
      <w:r>
        <w:t>提交材料中保留论文链接、版本日期、原始表格截图或可复现实验配置，防止评委质疑数字来源。</w:t>
      </w:r>
    </w:p>
    <w:p>
      <w:pPr>
        <w:pStyle w:val="Heading1"/>
      </w:pPr>
      <w:r>
        <w:t>八 建议在答辩中使用的一句话</w:t>
      </w:r>
    </w:p>
    <w:p>
      <w:r>
        <w:t>公开长期记忆系统在复杂多会话问答上的准确率通常只有 50% 至 75%，MINDPET 不把 95% 的端到端准确率作为不现实的宣传数字，而是将可比问答能力、事实写入安全、时间更新、可撤销遗忘和本地低延迟同时纳入评价，在同一数据和同一模型下报告完整证据链。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MINDPET Agent 记忆论文对比与实验基准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