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记忆遗忘系统效果实验方案</w:t>
      </w:r>
    </w:p>
    <w:p>
      <w:pPr>
        <w:jc w:val="center"/>
      </w:pPr>
      <w:r>
        <w:rPr>
          <w:color w:val="505050"/>
          <w:sz w:val="21"/>
        </w:rPr>
        <w:t>验证衰减清理是否降低过期干扰并保留真正重要的长期记忆</w:t>
      </w:r>
    </w:p>
    <w:p/>
    <w:p>
      <w:r>
        <w:t>本实验验证 MINDPET 的遗忘机制是否产生了可量化收益。当前 long_term_memory 根据 importance、layer、last_accessed 和 created_at 计算 retention，超过 500 条时执行 prune；知识图谱通过重要性和 last_seen 进行查询时衰减，实体、关系和证据仍保留以便追溯。实验重点是证明遗忘能够减少过期记忆进入召回，同时不伤害稳定事实和高价值项目记忆。</w:t>
      </w:r>
    </w:p>
    <w:p>
      <w:pPr>
        <w:pStyle w:val="Heading1"/>
      </w:pPr>
      <w:r>
        <w:t>一 实验创新点</w:t>
      </w:r>
    </w:p>
    <w:p>
      <w:pPr>
        <w:pStyle w:val="ListBullet"/>
        <w:ind w:left="317"/>
      </w:pPr>
      <w:r>
        <w:t>把“遗忘”区分为软遗忘和硬清理：软遗忘是仍可追溯但不进入默认上下文，硬清理是 long_term_memory 的物理删除，分别衡量安全性和节省空间。</w:t>
      </w:r>
    </w:p>
    <w:p>
      <w:pPr>
        <w:pStyle w:val="ListBullet"/>
        <w:ind w:left="317"/>
      </w:pPr>
      <w:r>
        <w:t>使用访问行为驱动的长期记忆曲线：构造重复访问、间隔访问、从未访问和冲突替代四类轨迹，直接检验 access_count、last_accessed、layer 和 importance 是否按预期工作。</w:t>
      </w:r>
    </w:p>
    <w:p>
      <w:pPr>
        <w:pStyle w:val="ListBullet"/>
        <w:ind w:left="317"/>
      </w:pPr>
      <w:r>
        <w:t>引入抗遗忘集：家庭住址、长期偏好、核心项目和已确认身份等高价值事实即使长时间不访问也必须保留，避免把“存储变小”误报成系统变好。</w:t>
      </w:r>
    </w:p>
    <w:p>
      <w:pPr>
        <w:pStyle w:val="ListBullet"/>
        <w:ind w:left="317"/>
      </w:pPr>
      <w:r>
        <w:t>用时间旅行回放测量“过期干扰”：把过去地点、结束项目和旧计划放入查询，检查系统是否主动抑制旧值，同时仍能从历史证据链中解释变化。</w:t>
      </w:r>
    </w:p>
    <w:p>
      <w:pPr>
        <w:pStyle w:val="Heading1"/>
      </w:pPr>
      <w:r>
        <w:t>二 数据集与时间轴</w:t>
      </w:r>
    </w:p>
    <w:p>
      <w:r>
        <w:t>构建 100 个测试用户、每人 1,000 条合成回合，再加入 100 个脱敏真实回放用户。每条记忆带 created_at、event_at、importance、layer、access_count、last_accessed 和 gold_status。通过时间压缩把 180 天行为压缩到 30 分钟运行，公式和相对顺序保持一致。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944"/>
            <w:shd w:fill="1F4E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轨迹</w:t>
            </w:r>
          </w:p>
        </w:tc>
        <w:tc>
          <w:tcPr>
            <w:tcW w:type="dxa" w:w="5472"/>
            <w:shd w:fill="1F4E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构造方式</w:t>
            </w:r>
          </w:p>
        </w:tc>
        <w:tc>
          <w:tcPr>
            <w:tcW w:type="dxa" w:w="2664"/>
            <w:shd w:fill="1F4E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期望状态</w:t>
            </w:r>
          </w:p>
        </w:tc>
      </w:tr>
      <w:tr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sz w:val="17"/>
              </w:rPr>
              <w:t>稳定核心</w:t>
            </w:r>
          </w:p>
        </w:tc>
        <w:tc>
          <w:tcPr>
            <w:tcW w:type="dxa" w:w="54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sz w:val="17"/>
              </w:rPr>
              <w:t>高重要性，长时间不访问</w:t>
            </w:r>
          </w:p>
        </w:tc>
        <w:tc>
          <w:tcPr>
            <w:tcW w:type="dxa" w:w="266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sz w:val="17"/>
              </w:rPr>
              <w:t>仍可召回，不能被清理</w:t>
            </w:r>
          </w:p>
        </w:tc>
      </w:tr>
      <w:tr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6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sz w:val="17"/>
              </w:rPr>
              <w:t>短期事件</w:t>
            </w:r>
          </w:p>
        </w:tc>
        <w:tc>
          <w:tcPr>
            <w:tcW w:type="dxa" w:w="54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6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sz w:val="17"/>
              </w:rPr>
              <w:t>低重要性，一次访问后长期不访问</w:t>
            </w:r>
          </w:p>
        </w:tc>
        <w:tc>
          <w:tcPr>
            <w:tcW w:type="dxa" w:w="266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6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sz w:val="17"/>
              </w:rPr>
              <w:t>逐步软遗忘并可清理</w:t>
            </w:r>
          </w:p>
        </w:tc>
      </w:tr>
      <w:tr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sz w:val="17"/>
              </w:rPr>
              <w:t>间隔重复</w:t>
            </w:r>
          </w:p>
        </w:tc>
        <w:tc>
          <w:tcPr>
            <w:tcW w:type="dxa" w:w="54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sz w:val="17"/>
              </w:rPr>
              <w:t>按 1、3、7、14 天访问</w:t>
            </w:r>
          </w:p>
        </w:tc>
        <w:tc>
          <w:tcPr>
            <w:tcW w:type="dxa" w:w="266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sz w:val="17"/>
              </w:rPr>
              <w:t>保留时间变长</w:t>
            </w:r>
          </w:p>
        </w:tc>
      </w:tr>
      <w:tr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6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sz w:val="17"/>
              </w:rPr>
              <w:t>旧状态替代</w:t>
            </w:r>
          </w:p>
        </w:tc>
        <w:tc>
          <w:tcPr>
            <w:tcW w:type="dxa" w:w="54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6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sz w:val="17"/>
              </w:rPr>
              <w:t>宜兴 -&gt; 南京，旧值有历史证据</w:t>
            </w:r>
          </w:p>
        </w:tc>
        <w:tc>
          <w:tcPr>
            <w:tcW w:type="dxa" w:w="266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6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sz w:val="17"/>
              </w:rPr>
              <w:t>南京默认召回，宜兴可追溯</w:t>
            </w:r>
          </w:p>
        </w:tc>
      </w:tr>
      <w:tr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sz w:val="17"/>
              </w:rPr>
              <w:t>已结束计划</w:t>
            </w:r>
          </w:p>
        </w:tc>
        <w:tc>
          <w:tcPr>
            <w:tcW w:type="dxa" w:w="54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sz w:val="17"/>
              </w:rPr>
              <w:t>完成或取消后持续查询旧计划</w:t>
            </w:r>
          </w:p>
        </w:tc>
        <w:tc>
          <w:tcPr>
            <w:tcW w:type="dxa" w:w="266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sz w:val="17"/>
              </w:rPr>
              <w:t>默认抑制旧计划</w:t>
            </w:r>
          </w:p>
        </w:tc>
      </w:tr>
      <w:tr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6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sz w:val="17"/>
              </w:rPr>
              <w:t>图谱长尾</w:t>
            </w:r>
          </w:p>
        </w:tc>
        <w:tc>
          <w:tcPr>
            <w:tcW w:type="dxa" w:w="54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6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sz w:val="17"/>
              </w:rPr>
              <w:t>低重要性实体关系多年未访问</w:t>
            </w:r>
          </w:p>
        </w:tc>
        <w:tc>
          <w:tcPr>
            <w:tcW w:type="dxa" w:w="266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6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sz w:val="17"/>
              </w:rPr>
              <w:t>上下文不注入但 evidence 可查</w:t>
            </w:r>
          </w:p>
        </w:tc>
      </w:tr>
      <w:tr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sz w:val="17"/>
              </w:rPr>
              <w:t>干扰洪泛</w:t>
            </w:r>
          </w:p>
        </w:tc>
        <w:tc>
          <w:tcPr>
            <w:tcW w:type="dxa" w:w="54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sz w:val="17"/>
              </w:rPr>
              <w:t>每用户 600 至 1,500 条噪声记忆</w:t>
            </w:r>
          </w:p>
        </w:tc>
        <w:tc>
          <w:tcPr>
            <w:tcW w:type="dxa" w:w="266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sz w:val="17"/>
              </w:rPr>
              <w:t>空间与延迟受控</w:t>
            </w:r>
          </w:p>
        </w:tc>
      </w:tr>
    </w:tbl>
    <w:p/>
    <w:p>
      <w:pPr>
        <w:pStyle w:val="Heading1"/>
      </w:pPr>
      <w:r>
        <w:t>三 对照和消融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944"/>
            <w:shd w:fill="1F4E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版本</w:t>
            </w:r>
          </w:p>
        </w:tc>
        <w:tc>
          <w:tcPr>
            <w:tcW w:type="dxa" w:w="5832"/>
            <w:shd w:fill="1F4E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遗忘策略</w:t>
            </w:r>
          </w:p>
        </w:tc>
        <w:tc>
          <w:tcPr>
            <w:tcW w:type="dxa" w:w="2304"/>
            <w:shd w:fill="1F4E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用途</w:t>
            </w:r>
          </w:p>
        </w:tc>
      </w:tr>
      <w:tr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sz w:val="17"/>
              </w:rPr>
              <w:t>A0 无遗忘</w:t>
            </w:r>
          </w:p>
        </w:tc>
        <w:tc>
          <w:tcPr>
            <w:tcW w:type="dxa" w:w="58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sz w:val="17"/>
              </w:rPr>
              <w:t>所有记忆永久参与检索</w:t>
            </w:r>
          </w:p>
        </w:tc>
        <w:tc>
          <w:tcPr>
            <w:tcW w:type="dxa" w:w="230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sz w:val="17"/>
              </w:rPr>
              <w:t>测过期干扰上限</w:t>
            </w:r>
          </w:p>
        </w:tc>
      </w:tr>
      <w:tr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6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sz w:val="17"/>
              </w:rPr>
              <w:t>A1 当前实现</w:t>
            </w:r>
          </w:p>
        </w:tc>
        <w:tc>
          <w:tcPr>
            <w:tcW w:type="dxa" w:w="58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6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sz w:val="17"/>
              </w:rPr>
              <w:t>retention 阈值 0.1，超过 500 条触发 prune</w:t>
            </w:r>
          </w:p>
        </w:tc>
        <w:tc>
          <w:tcPr>
            <w:tcW w:type="dxa" w:w="230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6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sz w:val="17"/>
              </w:rPr>
              <w:t>主基线</w:t>
            </w:r>
          </w:p>
        </w:tc>
      </w:tr>
      <w:tr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sz w:val="17"/>
              </w:rPr>
              <w:t>B0 完整策略</w:t>
            </w:r>
          </w:p>
        </w:tc>
        <w:tc>
          <w:tcPr>
            <w:tcW w:type="dxa" w:w="58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sz w:val="17"/>
              </w:rPr>
              <w:t>分层 retention + 访问强化 + 当前状态替代 + KG软遗忘</w:t>
            </w:r>
          </w:p>
        </w:tc>
        <w:tc>
          <w:tcPr>
            <w:tcW w:type="dxa" w:w="230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sz w:val="17"/>
              </w:rPr>
              <w:t>主结果</w:t>
            </w:r>
          </w:p>
        </w:tc>
      </w:tr>
      <w:tr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6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sz w:val="17"/>
              </w:rPr>
              <w:t>B1 无访问强化</w:t>
            </w:r>
          </w:p>
        </w:tc>
        <w:tc>
          <w:tcPr>
            <w:tcW w:type="dxa" w:w="58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6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sz w:val="17"/>
              </w:rPr>
              <w:t>只按创建时间和重要性衰减</w:t>
            </w:r>
          </w:p>
        </w:tc>
        <w:tc>
          <w:tcPr>
            <w:tcW w:type="dxa" w:w="230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6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sz w:val="17"/>
              </w:rPr>
              <w:t>验证 access_count/last_accessed</w:t>
            </w:r>
          </w:p>
        </w:tc>
      </w:tr>
      <w:tr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sz w:val="17"/>
              </w:rPr>
              <w:t>B2 无抗遗忘集</w:t>
            </w:r>
          </w:p>
        </w:tc>
        <w:tc>
          <w:tcPr>
            <w:tcW w:type="dxa" w:w="58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sz w:val="17"/>
              </w:rPr>
              <w:t>所有记忆统一清理</w:t>
            </w:r>
          </w:p>
        </w:tc>
        <w:tc>
          <w:tcPr>
            <w:tcW w:type="dxa" w:w="230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sz w:val="17"/>
              </w:rPr>
              <w:t>测核心事实损失</w:t>
            </w:r>
          </w:p>
        </w:tc>
      </w:tr>
      <w:tr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6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sz w:val="17"/>
              </w:rPr>
              <w:t>B3 只硬删除</w:t>
            </w:r>
          </w:p>
        </w:tc>
        <w:tc>
          <w:tcPr>
            <w:tcW w:type="dxa" w:w="58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6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sz w:val="17"/>
              </w:rPr>
              <w:t>不做 KG 软遗忘和可追溯保留</w:t>
            </w:r>
          </w:p>
        </w:tc>
        <w:tc>
          <w:tcPr>
            <w:tcW w:type="dxa" w:w="230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6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sz w:val="17"/>
              </w:rPr>
              <w:t>测解释能力损失</w:t>
            </w:r>
          </w:p>
        </w:tc>
      </w:tr>
    </w:tbl>
    <w:p/>
    <w:p>
      <w:pPr>
        <w:pStyle w:val="Heading1"/>
      </w:pPr>
      <w:r>
        <w:t>四 指标与竞赛目标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2232"/>
            <w:shd w:fill="1F4E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5256"/>
            <w:shd w:fill="1F4E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定义</w:t>
            </w:r>
          </w:p>
        </w:tc>
        <w:tc>
          <w:tcPr>
            <w:tcW w:type="dxa" w:w="2592"/>
            <w:shd w:fill="1F4E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建议达到的效果</w:t>
            </w:r>
          </w:p>
        </w:tc>
      </w:tr>
      <w:tr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sz w:val="17"/>
              </w:rPr>
              <w:t>过期干扰率</w:t>
            </w:r>
          </w:p>
        </w:tc>
        <w:tc>
          <w:tcPr>
            <w:tcW w:type="dxa" w:w="52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sz w:val="17"/>
              </w:rPr>
              <w:t>过期记忆出现在 top 5 或默认上下文的比例</w:t>
            </w:r>
          </w:p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r>
              <w:t>可比 &lt;=0.10；强目标 &lt;=0.05，较无遗忘下降 &gt;=60%</w:t>
            </w:r>
          </w:p>
        </w:tc>
      </w:tr>
      <w:tr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6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sz w:val="17"/>
              </w:rPr>
              <w:t>稳定记忆保留率</w:t>
            </w:r>
          </w:p>
        </w:tc>
        <w:tc>
          <w:tcPr>
            <w:tcW w:type="dxa" w:w="52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6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sz w:val="17"/>
              </w:rPr>
              <w:t>抗遗忘集仍被正确召回的比例</w:t>
            </w:r>
          </w:p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6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r>
              <w:t>可比 &gt;=0.95；强目标 &gt;=0.98</w:t>
            </w:r>
          </w:p>
        </w:tc>
      </w:tr>
      <w:tr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sz w:val="17"/>
              </w:rPr>
              <w:t>错误遗忘率</w:t>
            </w:r>
          </w:p>
        </w:tc>
        <w:tc>
          <w:tcPr>
            <w:tcW w:type="dxa" w:w="52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sz w:val="17"/>
              </w:rPr>
              <w:t>应保留记忆被软抑制或删除的比例</w:t>
            </w:r>
          </w:p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r>
              <w:t>可比 &lt;=5%；强目标 &lt;=2%</w:t>
            </w:r>
          </w:p>
        </w:tc>
      </w:tr>
      <w:tr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6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sz w:val="17"/>
              </w:rPr>
              <w:t>遗忘精确率</w:t>
            </w:r>
          </w:p>
        </w:tc>
        <w:tc>
          <w:tcPr>
            <w:tcW w:type="dxa" w:w="52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6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sz w:val="17"/>
              </w:rPr>
              <w:t>被抑制/删除的记忆中确实应遗忘的比例</w:t>
            </w:r>
          </w:p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6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r>
              <w:t>可比 &gt;=0.90；强目标 &gt;=0.95</w:t>
            </w:r>
          </w:p>
        </w:tc>
      </w:tr>
      <w:tr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sz w:val="17"/>
              </w:rPr>
              <w:t>状态更新正确率</w:t>
            </w:r>
          </w:p>
        </w:tc>
        <w:tc>
          <w:tcPr>
            <w:tcW w:type="dxa" w:w="52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sz w:val="17"/>
              </w:rPr>
              <w:t>新状态默认可见、旧状态只在历史查询可见</w:t>
            </w:r>
          </w:p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r>
              <w:t>可比 &gt;=0.93；强目标 &gt;=0.98</w:t>
            </w:r>
          </w:p>
        </w:tc>
      </w:tr>
      <w:tr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6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sz w:val="17"/>
              </w:rPr>
              <w:t>长期记忆体积下降</w:t>
            </w:r>
          </w:p>
        </w:tc>
        <w:tc>
          <w:tcPr>
            <w:tcW w:type="dxa" w:w="52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6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sz w:val="17"/>
              </w:rPr>
              <w:t>相对 A0 的可检索记录数或字节数下降</w:t>
            </w:r>
          </w:p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6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r>
              <w:t>可比 20%至30%；强目标 30%至50%</w:t>
            </w:r>
          </w:p>
        </w:tc>
      </w:tr>
      <w:tr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sz w:val="17"/>
              </w:rPr>
              <w:t>检索 p95 降幅</w:t>
            </w:r>
          </w:p>
        </w:tc>
        <w:tc>
          <w:tcPr>
            <w:tcW w:type="dxa" w:w="52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sz w:val="17"/>
              </w:rPr>
              <w:t>高噪声下完整策略相对 A0 的延迟变化</w:t>
            </w:r>
          </w:p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r>
              <w:t>可比下降 &gt;=10%；强目标下降 &gt;=20%</w:t>
            </w:r>
          </w:p>
        </w:tc>
      </w:tr>
      <w:tr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6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sz w:val="17"/>
              </w:rPr>
              <w:t>图谱可追溯率</w:t>
            </w:r>
          </w:p>
        </w:tc>
        <w:tc>
          <w:tcPr>
            <w:tcW w:type="dxa" w:w="52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6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sz w:val="17"/>
              </w:rPr>
              <w:t>被软遗忘节点仍能通过 evidence 查询</w:t>
            </w:r>
          </w:p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6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r>
              <w:t>可比 &gt;=0.95；强目标 &gt;=0.99</w:t>
            </w:r>
          </w:p>
        </w:tc>
      </w:tr>
      <w:tr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sz w:val="17"/>
              </w:rPr>
              <w:t>重复访问增益</w:t>
            </w:r>
          </w:p>
        </w:tc>
        <w:tc>
          <w:tcPr>
            <w:tcW w:type="dxa" w:w="52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sz w:val="17"/>
              </w:rPr>
              <w:t>重复访问轨迹相对一次访问的保留率提升</w:t>
            </w:r>
          </w:p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r>
              <w:t>可比提升 &gt;=10 个百分点；强目标 &gt;=15 个百分点</w:t>
            </w:r>
          </w:p>
        </w:tc>
      </w:tr>
      <w:tr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6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sz w:val="17"/>
              </w:rPr>
              <w:t>崩溃恢复一致率</w:t>
            </w:r>
          </w:p>
        </w:tc>
        <w:tc>
          <w:tcPr>
            <w:tcW w:type="dxa" w:w="52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6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sz w:val="17"/>
              </w:rPr>
              <w:t>清理中断后重启的最终快照一致比例</w:t>
            </w:r>
          </w:p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6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r>
              <w:t>100%，硬门槛</w:t>
            </w:r>
          </w:p>
        </w:tc>
      </w:tr>
    </w:tbl>
    <w:p/>
    <w:p>
      <w:r>
        <w:t>竞赛中最漂亮且可信的组合是：过期干扰率较无遗忘下降至少 60%，稳定记忆保留率不低于 95%，错误遗忘率不超过 5%；竞赛强目标分别为 60%、98% 和 2%，在高噪声下存储下降 30% 至 50% 且检索 p95 下降至少 20%。这同时展示记忆质量、遗忘选择性和运行成本的变化。</w:t>
      </w:r>
    </w:p>
    <w:p>
      <w:pPr>
        <w:pStyle w:val="Heading1"/>
      </w:pPr>
      <w:r>
        <w:t>五 实验流程</w:t>
      </w:r>
    </w:p>
    <w:p>
      <w:pPr>
        <w:pStyle w:val="ListBullet"/>
        <w:ind w:left="317"/>
      </w:pPr>
      <w:r>
        <w:t>创建相同初始快照，按时间轴插入记忆并模拟访问事件；A0 至 B3 使用相同访问序列。</w:t>
      </w:r>
    </w:p>
    <w:p>
      <w:pPr>
        <w:pStyle w:val="ListBullet"/>
        <w:ind w:left="317"/>
      </w:pPr>
      <w:r>
        <w:t>在每个时间点执行默认搜索、时间限定搜索、历史查询和 KG 查询，记录是否进入 prompt、是否仍可通过 evidence 访问。</w:t>
      </w:r>
    </w:p>
    <w:p>
      <w:pPr>
        <w:pStyle w:val="ListBullet"/>
        <w:ind w:left="317"/>
      </w:pPr>
      <w:r>
        <w:t>分别在 100、500、1,000 和 1,500 条记忆压力档运行，记录 SQLite 文件大小、索引大小、清理耗时、锁等待和检索延迟。</w:t>
      </w:r>
    </w:p>
    <w:p>
      <w:pPr>
        <w:pStyle w:val="ListBullet"/>
        <w:ind w:left="317"/>
      </w:pPr>
      <w:r>
        <w:t>在 prune 前、删除循环中间和事务提交后注入进程终止，重启后检查是否出现半清理、孤儿证据或重复计数。</w:t>
      </w:r>
    </w:p>
    <w:p>
      <w:pPr>
        <w:pStyle w:val="ListBullet"/>
        <w:ind w:left="317"/>
      </w:pPr>
      <w:r>
        <w:t>以 user 为 bootstrap 单位，报告保留曲线、干扰率曲线、空间曲线和 95% 置信区间；展示宜兴/南京和旧计划/新计划案例。</w:t>
      </w:r>
    </w:p>
    <w:p>
      <w:pPr>
        <w:pStyle w:val="Heading1"/>
      </w:pPr>
      <w:r>
        <w:t>项目落点与实现改动</w:t>
      </w:r>
    </w:p>
    <w:p>
      <w:r>
        <w:t>实验先复用现有代码，再增加可观测性。下面的改动只服务于离线评测和灰度验证，不改变默认用户数据。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384"/>
            <w:shd w:fill="1F4E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文件或模块</w:t>
            </w:r>
          </w:p>
        </w:tc>
        <w:tc>
          <w:tcPr>
            <w:tcW w:type="dxa" w:w="3672"/>
            <w:shd w:fill="1F4E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现有能力</w:t>
            </w:r>
          </w:p>
        </w:tc>
        <w:tc>
          <w:tcPr>
            <w:tcW w:type="dxa" w:w="3024"/>
            <w:shd w:fill="1F4E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实验需要补充</w:t>
            </w:r>
          </w:p>
        </w:tc>
      </w:tr>
      <w:tr>
        <w:tc>
          <w:tcPr>
            <w:tcW w:type="dxa" w:w="33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sz w:val="17"/>
              </w:rPr>
              <w:t>SqliteMemoryService.retention / prune</w:t>
            </w:r>
          </w:p>
        </w:tc>
        <w:tc>
          <w:tcPr>
            <w:tcW w:type="dxa" w:w="36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sz w:val="17"/>
              </w:rPr>
              <w:t>按重要性、层级、last_accessed 计算衰减并清理</w:t>
            </w:r>
          </w:p>
        </w:tc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sz w:val="17"/>
              </w:rPr>
              <w:t>抽出 RetentionPolicy，支持实验参数、dry-run 和删除审计</w:t>
            </w:r>
          </w:p>
        </w:tc>
      </w:tr>
      <w:tr>
        <w:tc>
          <w:tcPr>
            <w:tcW w:type="dxa" w:w="33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6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sz w:val="17"/>
              </w:rPr>
              <w:t>SqliteMemoryService.search</w:t>
            </w:r>
          </w:p>
        </w:tc>
        <w:tc>
          <w:tcPr>
            <w:tcW w:type="dxa" w:w="36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6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sz w:val="17"/>
              </w:rPr>
              <w:t>过滤 retention &lt;= 0.1 的结果并 touchAccessed</w:t>
            </w:r>
          </w:p>
        </w:tc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6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sz w:val="17"/>
              </w:rPr>
              <w:t>返回 retention_before、retention_after、suppressed_reason</w:t>
            </w:r>
          </w:p>
        </w:tc>
      </w:tr>
      <w:tr>
        <w:tc>
          <w:tcPr>
            <w:tcW w:type="dxa" w:w="33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sz w:val="17"/>
              </w:rPr>
              <w:t>KnowledgeGraphService.getRagContext</w:t>
            </w:r>
          </w:p>
        </w:tc>
        <w:tc>
          <w:tcPr>
            <w:tcW w:type="dxa" w:w="36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sz w:val="17"/>
              </w:rPr>
              <w:t>图谱关系按 confidence/importance 生成上下文</w:t>
            </w:r>
          </w:p>
        </w:tc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sz w:val="17"/>
              </w:rPr>
              <w:t>加入 last_seen 衰减、soft_suppressed 标记和 evidence 保留</w:t>
            </w:r>
          </w:p>
        </w:tc>
      </w:tr>
      <w:tr>
        <w:tc>
          <w:tcPr>
            <w:tcW w:type="dxa" w:w="33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6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sz w:val="17"/>
              </w:rPr>
              <w:t>migration_v5_knowledge_graph_fading.sql</w:t>
            </w:r>
          </w:p>
        </w:tc>
        <w:tc>
          <w:tcPr>
            <w:tcW w:type="dxa" w:w="36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6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sz w:val="17"/>
              </w:rPr>
              <w:t>图谱 last_seen 索引与不删除设计</w:t>
            </w:r>
          </w:p>
        </w:tc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6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sz w:val="17"/>
              </w:rPr>
              <w:t>增加实验查询索引和 fading 参数记录</w:t>
            </w:r>
          </w:p>
        </w:tc>
      </w:tr>
      <w:tr>
        <w:tc>
          <w:tcPr>
            <w:tcW w:type="dxa" w:w="33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sz w:val="17"/>
              </w:rPr>
              <w:t>memory_fact / user_profile_current</w:t>
            </w:r>
          </w:p>
        </w:tc>
        <w:tc>
          <w:tcPr>
            <w:tcW w:type="dxa" w:w="36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sz w:val="17"/>
              </w:rPr>
              <w:t>事实版本和当前画像分离</w:t>
            </w:r>
          </w:p>
        </w:tc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sz w:val="17"/>
              </w:rPr>
              <w:t>旧值状态改为 superseded，明确不得参与默认当前画像</w:t>
            </w:r>
          </w:p>
        </w:tc>
      </w:tr>
      <w:tr>
        <w:tc>
          <w:tcPr>
            <w:tcW w:type="dxa" w:w="33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6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sz w:val="17"/>
              </w:rPr>
              <w:t>DesktopMemoryController</w:t>
            </w:r>
          </w:p>
        </w:tc>
        <w:tc>
          <w:tcPr>
            <w:tcW w:type="dxa" w:w="36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6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sz w:val="17"/>
              </w:rPr>
              <w:t>已有清理和统计接口</w:t>
            </w:r>
          </w:p>
        </w:tc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6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sz w:val="17"/>
              </w:rPr>
              <w:t>增加 dry-run prune、retention 曲线和运行快照导出接口</w:t>
            </w:r>
          </w:p>
        </w:tc>
      </w:tr>
    </w:tbl>
    <w:p/>
    <w:p>
      <w:pPr>
        <w:pStyle w:val="Heading1"/>
      </w:pPr>
      <w:r>
        <w:t>输出物与风险控制</w:t>
      </w:r>
    </w:p>
    <w:p>
      <w:pPr>
        <w:pStyle w:val="ListBullet"/>
        <w:ind w:left="317"/>
      </w:pPr>
      <w:r>
        <w:t>forgetting-run-config.json、retention-curves.csv、forgetting-metrics.json、cleanup-audit.jsonl；</w:t>
      </w:r>
    </w:p>
    <w:p>
      <w:pPr>
        <w:pStyle w:val="ListBullet"/>
        <w:ind w:left="317"/>
      </w:pPr>
      <w:r>
        <w:t>保留一份删除前快照和一份可恢复的审计索引，竞赛展示只使用脱敏内容；</w:t>
      </w:r>
    </w:p>
    <w:p>
      <w:pPr>
        <w:pStyle w:val="ListBullet"/>
        <w:ind w:left="317"/>
      </w:pPr>
      <w:r>
        <w:t>报告同时给出软遗忘和硬清理的收益，避免只展示存储下降。</w:t>
      </w:r>
    </w:p>
    <w:p>
      <w:r>
        <w:t>风险控制：所有真实回放先做脱敏，只使用 user_id 哈希、时间桶和占位符；模型、提示词、代码提交哈希、数据库 schema 版本必须写入 run-config.json。报告同时展示均值、p95、95% 置信区间、样本量和失败样例，避免只展示最好看的单项指标。</w:t>
      </w:r>
    </w:p>
    <w:p>
      <w:pPr>
        <w:pStyle w:val="Heading1"/>
      </w:pPr>
      <w:r>
        <w:t>竞赛展示结论模板</w:t>
      </w:r>
    </w:p>
    <w:p>
      <w:r>
        <w:t>答辩中应把结果说成可验证的工程结论：在同一数据、同一模型和同一随机种子下，MINDPET 的某项关键指标达到目标，同时没有牺牲安全性、响应速度或可追溯性。所有“提升”都报告相对基线的百分点变化和绝对值。</w:t>
      </w:r>
    </w:p>
    <w:sectPr w:rsidR="00FC693F" w:rsidRPr="0006063C" w:rsidSect="00034616">
      <w:footerReference w:type="default" r:id="rId9"/>
      <w:pgSz w:w="12240" w:h="15840"/>
      <w:pgMar w:top="979" w:right="1037" w:bottom="893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MINDPET 记忆系统实验方案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0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20" w:after="10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