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记忆召回正确率实验方案</w:t>
      </w:r>
    </w:p>
    <w:p>
      <w:pPr>
        <w:jc w:val="center"/>
      </w:pPr>
      <w:r>
        <w:rPr>
          <w:color w:val="505050"/>
          <w:sz w:val="21"/>
        </w:rPr>
        <w:t>验证逻辑 RAG 知识图谱关键词检索 RRF 融合与重排的真实收益</w:t>
      </w:r>
    </w:p>
    <w:p/>
    <w:p>
      <w:r>
        <w:t>本实验验证 MINDPET 能否把用户问题对应的事实、事件和关系召回到前 K 个结果中，并验证图谱证据是否提高了多跳问题和时间问题的回答依据。项目当前已有向量语义检索、中文关键词检索、RRF 融合、重要性与时间衰减重排，以及独立的知识图谱上下文注入；实验将这些能力拆开做消融，防止把“模型本身会答”误认为“记忆检索正确”。</w:t>
      </w:r>
    </w:p>
    <w:p>
      <w:pPr>
        <w:pStyle w:val="Heading1"/>
      </w:pPr>
      <w:r>
        <w:t>一 实验创新点</w:t>
      </w:r>
    </w:p>
    <w:p>
      <w:pPr>
        <w:pStyle w:val="ListBullet"/>
        <w:ind w:left="317"/>
      </w:pPr>
      <w:r>
        <w:t>三路证据统一评测：把长期记忆向量、关键词结果和知识图谱实体关系放到同一份带 evidence_id 的候选集合中，分别计算召回与排序贡献。</w:t>
      </w:r>
    </w:p>
    <w:p>
      <w:pPr>
        <w:pStyle w:val="ListBullet"/>
        <w:ind w:left="317"/>
      </w:pPr>
      <w:r>
        <w:t>关系和时间联合标注：除了判断答案是否命中，还标记支持答案的最小证据集合，能识别“实体命中但关系错”“内容相似但时间错”。</w:t>
      </w:r>
    </w:p>
    <w:p>
      <w:pPr>
        <w:pStyle w:val="ListBullet"/>
        <w:ind w:left="317"/>
      </w:pPr>
      <w:r>
        <w:t>可解释 RRF：保留每条结果来自 semantic、keyword、KG 的排名、RRF 分数和最终重排分，生成可直接放进竞赛答辩的案例图。</w:t>
      </w:r>
    </w:p>
    <w:p>
      <w:pPr>
        <w:pStyle w:val="ListBullet"/>
        <w:ind w:left="317"/>
      </w:pPr>
      <w:r>
        <w:t>面向项目优势的跨会话测试：利用 MINDPET 的 memory_fact、kg_evidence、event_date 和 event_at，测试同一事实分散在多个会话、地点变化和相对时间表达等真实场景。</w:t>
      </w:r>
    </w:p>
    <w:p>
      <w:pPr>
        <w:pStyle w:val="Heading1"/>
      </w:pPr>
      <w:r>
        <w:t>二 被测版本与对照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0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检索链路</w:t>
            </w:r>
          </w:p>
        </w:tc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A0 近期记忆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只取最近 N 条对话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证明简单上下文的上限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A1 语义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embedding 向量召回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测语义泛化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A2 关键词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中文子串与词片段匹配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测专名、数字和精确词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A3 语义+关键词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RRF 融合，不重排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测互补性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B0 完整系统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语义+关键词+KG证据，RRF后重排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主结果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B1 消融图谱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去掉 KG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验证关系与多跳贡献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B2 消融重排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保留 RRF，去掉时间/重要性/置信度重排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验证排序策略</w:t>
            </w:r>
          </w:p>
        </w:tc>
      </w:tr>
    </w:tbl>
    <w:p/>
    <w:p>
      <w:pPr>
        <w:pStyle w:val="Heading1"/>
      </w:pPr>
      <w:r>
        <w:t>三 数据集设计</w:t>
      </w:r>
    </w:p>
    <w:p>
      <w:r>
        <w:t>建议建立 1,500 条查询，按用户分组切分训练调参集、开发集和盲测集，比例 60%/20%/20%，同一用户只能出现在一个分区。每条查询关联 5 至 20 条已知记忆，并由两名标注者给出相关性等级：3 为直接支持，2 为必要背景，1 为弱相关，0 为无关。争议样本由第三人裁决。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查询类型</w:t>
            </w:r>
          </w:p>
        </w:tc>
        <w:tc>
          <w:tcPr>
            <w:tcW w:type="dxa" w:w="14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样本数</w:t>
            </w:r>
          </w:p>
        </w:tc>
        <w:tc>
          <w:tcPr>
            <w:tcW w:type="dxa" w:w="66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必须覆盖的项目场景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语义改写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240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同义表达、口语化、中文短句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专名与数字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180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项目名、工具名、日期、地点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多跳关系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240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用户-项目-工具、人物-组织-事件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时间约束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240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当前、历史、某日期、相对日期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冲突事实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180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家在宜兴、当前在南京等版本共存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跨会话组合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240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事实分散在 3 至 5 个会话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无答案与干扰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180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应返回无可靠记忆而不是硬凑答案</w:t>
            </w:r>
          </w:p>
        </w:tc>
      </w:tr>
    </w:tbl>
    <w:p/>
    <w:p>
      <w:r>
        <w:t>每条样本保存 query_id、用户哈希、查询发生时间、gold_evidence_ids、gold_answer_type、是否需要 KG、是否需要时间过滤、候选生成耗时和最终 top 20 结果。</w:t>
      </w:r>
    </w:p>
    <w:p>
      <w:pPr>
        <w:pStyle w:val="Heading1"/>
      </w:pPr>
      <w:r>
        <w:t>四 指标与竞赛目标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2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建议达到的效果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Recall@5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前 5 条包含至少一条等级 2 或 3 证据的比例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&gt;=0.80；强目标 &gt;=0.90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Recall@10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前 10 条包含必要证据的比例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&gt;=0.88；强目标 &gt;=0.95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nDCG@10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按 3/2/1/0 相关性折损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&gt;=0.75；强目标 &gt;=0.85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MRR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第一条必要证据排名倒数的平均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&gt;=0.70；强目标 &gt;=0.82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多跳证据完整率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同一答案所需的全部边和节点均被召回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&gt;=0.65；强目标 &gt;=0.80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时间一致率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返回证据的事件时间满足查询约束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&gt;=0.92；强目标 &gt;=0.97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无答案拒答精确率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没有可靠证据时正确返回 unknown 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&gt;=0.88；强目标 &gt;=0.95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检索 p95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从 query 到 top K 结果的端到端耗时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&lt;=250 ms；强目标 &lt;=150 ms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结果可解释率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每条 top 结果都有来源表、证据回合或 KG evidence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&gt;=0.95；强目标 &gt;=0.99</w:t>
            </w:r>
          </w:p>
        </w:tc>
      </w:tr>
    </w:tbl>
    <w:p/>
    <w:p>
      <w:r>
        <w:t>竞赛里最有说服力的主结果是：完整系统先达到 Recall@5 0.80、nDCG@10 0.75、时间一致率 0.92 和检索 p95 250 ms；竞赛强目标为 Recall@5 0.90、nDCG@10 0.85、时间一致率 0.97 和 p95 150 ms；相对 A3，完整系统在多跳证据完整率相对去图谱版本提升至少 10 个百分点，无答案拒答精确率提升至少 5 个百分点。</w:t>
      </w:r>
    </w:p>
    <w:p>
      <w:pPr>
        <w:pStyle w:val="Heading1"/>
      </w:pPr>
      <w:r>
        <w:t>五 实验流程</w:t>
      </w:r>
    </w:p>
    <w:p>
      <w:pPr>
        <w:pStyle w:val="ListBullet"/>
        <w:ind w:left="317"/>
      </w:pPr>
      <w:r>
        <w:t>从脱敏 SQLite 快照导出 long_term_memory、memory_fact、kg_entity、kg_relation、kg_evidence 和事件时间字段，生成不可变评测快照。</w:t>
      </w:r>
    </w:p>
    <w:p>
      <w:pPr>
        <w:pStyle w:val="ListBullet"/>
        <w:ind w:left="317"/>
      </w:pPr>
      <w:r>
        <w:t>固定 embedding 模型、topK、RRF k 值、重排权重和数据库索引；每个版本使用相同候选上限。</w:t>
      </w:r>
    </w:p>
    <w:p>
      <w:pPr>
        <w:pStyle w:val="ListBullet"/>
        <w:ind w:left="317"/>
      </w:pPr>
      <w:r>
        <w:t>先离线运行 7 个版本，再用固定模型回答查询，另测“有证据回答”和“无证据拒答”两类质量。</w:t>
      </w:r>
    </w:p>
    <w:p>
      <w:pPr>
        <w:pStyle w:val="ListBullet"/>
        <w:ind w:left="317"/>
      </w:pPr>
      <w:r>
        <w:t>以 query 为配对单位做 bootstrap 95% 置信区间；Recall 和拒答用 McNemar 检验，延迟用配对 bootstrap。</w:t>
      </w:r>
    </w:p>
    <w:p>
      <w:pPr>
        <w:pStyle w:val="ListBullet"/>
        <w:ind w:left="317"/>
      </w:pPr>
      <w:r>
        <w:t>输出 20 个成功案例、20 个失败案例和每类失败的候选排名，失败样例必须能定位到 source_turn_id 或 kg_evidence。</w:t>
      </w:r>
    </w:p>
    <w:p>
      <w:pPr>
        <w:pStyle w:val="Heading1"/>
      </w:pPr>
      <w:r>
        <w:t>项目落点与实现改动</w:t>
      </w:r>
    </w:p>
    <w:p>
      <w:r>
        <w:t>实验先复用现有代码，再增加可观测性。下面的改动只服务于离线评测和灰度验证，不改变默认用户数据。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文件或模块</w:t>
            </w:r>
          </w:p>
        </w:tc>
        <w:tc>
          <w:tcPr>
            <w:tcW w:type="dxa" w:w="36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实验需要补充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SqliteMemoryService.search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向量+关键词、RRF、时间/重要性重排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返回每路 rank、rrf_score、rerank_score、retrieval_trace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KnowledgeGraphService.getRagContext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图谱实体向量匹配和显式边加载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暴露 entity_id、relation_id、evidence_id，不只拼接文本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AiService 约 1321 至 1333 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生成 query embedding 并注入记忆与图谱上下文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增加实验开关，记录各路候选和最终 prompt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DesktopMemoryController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现有 memory search 接口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增加仅测试环境可用的 /memory/experiments/retrieval/export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src/test/java/experiment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已有馆长回放测试骨架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新增 RetrievalReplayTest、RetrievalMetrics 和固定 JSONL 标注集</w:t>
            </w:r>
          </w:p>
        </w:tc>
      </w:tr>
    </w:tbl>
    <w:p/>
    <w:p>
      <w:pPr>
        <w:pStyle w:val="Heading1"/>
      </w:pPr>
      <w:r>
        <w:t>输出物与风险控制</w:t>
      </w:r>
    </w:p>
    <w:p>
      <w:pPr>
        <w:pStyle w:val="ListBullet"/>
        <w:ind w:left="317"/>
      </w:pPr>
      <w:r>
        <w:t>retrieval-run-config.json、retrieval-metrics.json、query-results.jsonl、failure-cases.jsonl；</w:t>
      </w:r>
    </w:p>
    <w:p>
      <w:pPr>
        <w:pStyle w:val="ListBullet"/>
        <w:ind w:left="317"/>
      </w:pPr>
      <w:r>
        <w:t>一张路由对比表：A1/A2/A3/B0 的 Recall@5、nDCG@10、p95；</w:t>
      </w:r>
    </w:p>
    <w:p>
      <w:pPr>
        <w:pStyle w:val="ListBullet"/>
        <w:ind w:left="317"/>
      </w:pPr>
      <w:r>
        <w:t>一张案例图：查询 -&gt; 三路候选 -&gt; RRF -&gt; 重排 -&gt; 支撑证据；</w:t>
      </w:r>
    </w:p>
    <w:p>
      <w:r>
        <w:t>风险控制：所有真实回放先做脱敏，只使用 user_id 哈希、时间桶和占位符；模型、提示词、代码提交哈希、数据库 schema 版本必须写入 run-config.json。报告同时展示均值、p95、95% 置信区间、样本量和失败样例，避免只展示最好看的单项指标。</w:t>
      </w:r>
    </w:p>
    <w:p>
      <w:pPr>
        <w:pStyle w:val="Heading1"/>
      </w:pPr>
      <w:r>
        <w:t>竞赛展示结论模板</w:t>
      </w:r>
    </w:p>
    <w:p>
      <w:r>
        <w:t>答辩中应把结果说成可验证的工程结论：在同一数据、同一模型和同一随机种子下，MINDPET 的某项关键指标达到目标，同时没有牺牲安全性、响应速度或可追溯性。所有“提升”都报告相对基线的百分点变化和绝对值。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MINDPET 记忆系统实验方案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