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f0f0f"/>
          <w:sz w:val="33"/>
          <w:szCs w:val="33"/>
        </w:rPr>
      </w:pPr>
      <w:bookmarkStart w:colFirst="0" w:colLast="0" w:name="_p3vomqauoap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3"/>
          <w:szCs w:val="33"/>
          <w:rtl w:val="0"/>
        </w:rPr>
        <w:t xml:space="preserve">Developing the Onboarding Guide for "FreeYou Box"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f0f0f"/>
        </w:rPr>
      </w:pPr>
      <w:bookmarkStart w:colFirst="0" w:colLast="0" w:name="_n07nenvvzfou" w:id="1"/>
      <w:bookmarkEnd w:id="1"/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Onboarding Guide Structure: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Introduction to FreeYou: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Welcome message from Team FreeYou.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Overview of FreeYou’s mission, vision, and community values.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Getting Started with Tools: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Detailed instructions on setting up Slack, Confluence, and ClickUp.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Tips for using these tools effectively for communication, project management, and collaboration.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Navigating the FreeYou Platform: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Step-by-step guide on how to explore and engage with the FreeYou platform.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Information on accessing community forums, participating in discussions, and finding resources.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Understanding FreeYou’s Culture: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Insights into the collaborative and supportive culture of FreeYou.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Guidelines on community engagement, sharing ideas, and providing feedback.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FAQs: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Addressing common questions new members might have about the platform and its operations.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Contact Information and Support: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Providing contact details for further assistance or queries.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Encouraging new members to reach out for support whenever needed.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