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600" w:after="80"/>
        <w:jc w:val="center"/>
        <w:rPr>
          <w:rFonts w:ascii="Calibri" w:hAnsi="Calibri"/>
          <w:b/>
          <w:color w:val="C0392B"/>
          <w:sz w:val="26"/>
        </w:rPr>
      </w:pPr>
      <w:r>
        <w:rPr>
          <w:b/>
          <w:color w:val="C0392B"/>
          <w:sz w:val="26"/>
        </w:rPr>
        <w:t>CYBERSECURITY FOUNDATION LAB</w:t>
      </w:r>
    </w:p>
    <w:p>
      <w:pPr>
        <w:pStyle w:val="Normal"/>
        <w:spacing w:before="0" w:after="120"/>
        <w:jc w:val="center"/>
        <w:rPr>
          <w:rFonts w:ascii="Calibri" w:hAnsi="Calibri"/>
          <w:b/>
          <w:color w:val="0D1117"/>
          <w:sz w:val="56"/>
        </w:rPr>
      </w:pPr>
      <w:r>
        <w:rPr>
          <w:b/>
          <w:color w:val="0D1117"/>
          <w:sz w:val="56"/>
        </w:rPr>
        <w:t>Technical Assessment Report</w:t>
      </w:r>
    </w:p>
    <w:p>
      <w:pPr>
        <w:pStyle w:val="Normal"/>
        <w:spacing w:before="0" w:after="1200"/>
        <w:jc w:val="center"/>
        <w:rPr>
          <w:color w:val="555555"/>
          <w:sz w:val="26"/>
        </w:rPr>
      </w:pPr>
      <w:r>
        <w:rPr>
          <w:color w:val="555555"/>
          <w:sz w:val="26"/>
        </w:rPr>
        <w:t>Common Assessment — Practical Submission</w:t>
      </w:r>
    </w:p>
    <w:p>
      <w:pPr>
        <w:pStyle w:val="Normal"/>
        <w:pBdr>
          <w:bottom w:val="single" w:sz="8" w:space="1" w:color="C0392B"/>
        </w:pBdr>
        <w:spacing w:before="0" w:after="600"/>
        <w:rPr/>
      </w:pPr>
      <w:r>
        <w:rPr/>
      </w:r>
    </w:p>
    <w:p>
      <w:pPr>
        <w:pStyle w:val="Normal"/>
        <w:spacing w:before="0" w:after="80"/>
        <w:jc w:val="center"/>
        <w:rPr/>
      </w:pPr>
      <w:r>
        <w:rPr>
          <w:b/>
          <w:sz w:val="22"/>
        </w:rPr>
        <w:t xml:space="preserve">Candidate Name:  </w:t>
      </w:r>
      <w:r>
        <w:rPr>
          <w:sz w:val="22"/>
        </w:rPr>
        <w:t>Sridharan T</w:t>
      </w:r>
    </w:p>
    <w:p>
      <w:pPr>
        <w:pStyle w:val="Normal"/>
        <w:spacing w:before="0" w:after="80"/>
        <w:jc w:val="center"/>
        <w:rPr/>
      </w:pPr>
      <w:r>
        <w:rPr>
          <w:b/>
          <w:sz w:val="22"/>
        </w:rPr>
        <w:t xml:space="preserve">Submitted To:  </w:t>
      </w:r>
      <w:r>
        <w:rPr>
          <w:sz w:val="22"/>
        </w:rPr>
        <w:t>Mr. Ayush Singh</w:t>
      </w:r>
    </w:p>
    <w:p>
      <w:pPr>
        <w:pStyle w:val="Normal"/>
        <w:spacing w:before="0" w:after="80"/>
        <w:jc w:val="center"/>
        <w:rPr/>
      </w:pPr>
      <w:r>
        <w:rPr>
          <w:b/>
          <w:sz w:val="22"/>
        </w:rPr>
        <w:t xml:space="preserve">Date:  </w:t>
      </w:r>
      <w:r>
        <w:rPr>
          <w:sz w:val="22"/>
        </w:rPr>
        <w:t>April 2026</w:t>
      </w:r>
    </w:p>
    <w:p>
      <w:pPr>
        <w:pStyle w:val="Normal"/>
        <w:rPr/>
      </w:pPr>
      <w:r>
        <w:rPr/>
      </w:r>
      <w:r>
        <w:br w:type="page"/>
      </w:r>
    </w:p>
    <w:p>
      <w:pPr>
        <w:pStyle w:val="Normal"/>
        <w:pBdr>
          <w:bottom w:val="single" w:sz="4" w:space="2" w:color="C0392B"/>
        </w:pBdr>
        <w:spacing w:before="0" w:after="80"/>
        <w:rPr>
          <w:b/>
          <w:color w:val="C0392B"/>
          <w:sz w:val="30"/>
        </w:rPr>
      </w:pPr>
      <w:r>
        <w:rPr>
          <w:b/>
          <w:color w:val="C0392B"/>
          <w:sz w:val="30"/>
        </w:rPr>
        <w:t>1. Introduction</w:t>
      </w:r>
    </w:p>
    <w:p>
      <w:pPr>
        <w:pStyle w:val="Normal"/>
        <w:spacing w:before="0" w:after="120"/>
        <w:rPr/>
      </w:pPr>
      <w:r>
        <w:rPr/>
        <w:t>This report documents the hands-on work completed for the Cybersecurity Foundation Lab Assessment, assigned by Mr. Ayush Singh. The assessment covers three core practical tasks: network scanning and enumeration, network traffic analysis, and basic exploitation.</w:t>
      </w:r>
    </w:p>
    <w:p>
      <w:pPr>
        <w:pStyle w:val="Normal"/>
        <w:spacing w:before="0" w:after="120"/>
        <w:rPr/>
      </w:pPr>
      <w:r>
        <w:rPr/>
        <w:t>The tools used are Nmap for reconnaissance, Wireshark for packet analysis, and the Metasploit Framework for exploitation.</w:t>
      </w:r>
    </w:p>
    <w:p>
      <w:pPr>
        <w:pStyle w:val="Normal"/>
        <w:pBdr>
          <w:bottom w:val="single" w:sz="4" w:space="2" w:color="C0392B"/>
        </w:pBdr>
        <w:spacing w:before="280" w:after="80"/>
        <w:rPr>
          <w:b/>
          <w:color w:val="C0392B"/>
          <w:sz w:val="30"/>
        </w:rPr>
      </w:pPr>
      <w:r>
        <w:rPr>
          <w:b/>
          <w:color w:val="C0392B"/>
          <w:sz w:val="30"/>
        </w:rPr>
        <w:t>2. Lab Setup &amp; Network Configuration</w:t>
      </w:r>
    </w:p>
    <w:p>
      <w:pPr>
        <w:pStyle w:val="Normal"/>
        <w:spacing w:before="0" w:after="120"/>
        <w:rPr/>
      </w:pPr>
      <w:r>
        <w:rPr/>
        <w:t>The lab was built using VMware Workstation Pro 25H2. A Host-Only network adapter was used so all machines are  private  with no internet exposure. Kali Linux runs as the attacker machine (host), Windows 10 x64 as an additional target, and Metasploitable 2 as the primary intentionally vulnerable target.</w:t>
      </w:r>
    </w:p>
    <w:p>
      <w:pPr>
        <w:pStyle w:val="Normal"/>
        <w:spacing w:before="280" w:after="80"/>
        <w:rPr>
          <w:b/>
          <w:color w:val="C0392B"/>
          <w:sz w:val="26"/>
        </w:rPr>
      </w:pPr>
      <w:r>
        <w:rPr>
          <w:b/>
          <w:color w:val="C0392B"/>
          <w:sz w:val="26"/>
        </w:rPr>
        <w:t>2.1  Virtualization Software</w:t>
      </w:r>
    </w:p>
    <w:p>
      <w:pPr>
        <w:pStyle w:val="Normal"/>
        <w:jc w:val="center"/>
        <w:rPr/>
      </w:pPr>
      <w:r>
        <w:rPr/>
        <w:drawing>
          <wp:inline distT="0" distB="0" distL="0" distR="0">
            <wp:extent cx="4572000" cy="4930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4572000" cy="4930775"/>
                    </a:xfrm>
                    <a:prstGeom prst="rect">
                      <a:avLst/>
                    </a:prstGeom>
                    <a:noFill/>
                  </pic:spPr>
                </pic:pic>
              </a:graphicData>
            </a:graphic>
          </wp:inline>
        </w:drawing>
      </w:r>
    </w:p>
    <w:p>
      <w:pPr>
        <w:pStyle w:val="Normal"/>
        <w:spacing w:before="40" w:after="200"/>
        <w:jc w:val="center"/>
        <w:rPr>
          <w:i/>
          <w:color w:val="888888"/>
          <w:sz w:val="18"/>
        </w:rPr>
      </w:pPr>
      <w:r>
        <w:rPr>
          <w:i/>
          <w:color w:val="888888"/>
          <w:sz w:val="18"/>
        </w:rPr>
        <w:t>Figure 1 — VMware Workstation Pro 25H2 installed and running</w:t>
      </w:r>
    </w:p>
    <w:p>
      <w:pPr>
        <w:pStyle w:val="Normal"/>
        <w:spacing w:before="280" w:after="80"/>
        <w:rPr>
          <w:b/>
          <w:color w:val="C0392B"/>
          <w:sz w:val="26"/>
        </w:rPr>
      </w:pPr>
      <w:r>
        <w:rPr>
          <w:b/>
          <w:color w:val="C0392B"/>
          <w:sz w:val="26"/>
        </w:rPr>
        <w:t>2.2  Virtual Machines</w:t>
      </w:r>
    </w:p>
    <w:p>
      <w:pPr>
        <w:pStyle w:val="Normal"/>
        <w:jc w:val="center"/>
        <w:rPr/>
      </w:pPr>
      <w:r>
        <w:rPr/>
        <w:drawing>
          <wp:inline distT="0" distB="0" distL="0" distR="0">
            <wp:extent cx="5029200" cy="19030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029200" cy="1903095"/>
                    </a:xfrm>
                    <a:prstGeom prst="rect">
                      <a:avLst/>
                    </a:prstGeom>
                    <a:noFill/>
                  </pic:spPr>
                </pic:pic>
              </a:graphicData>
            </a:graphic>
          </wp:inline>
        </w:drawing>
      </w:r>
    </w:p>
    <w:p>
      <w:pPr>
        <w:pStyle w:val="Normal"/>
        <w:spacing w:before="40" w:after="200"/>
        <w:jc w:val="center"/>
        <w:rPr>
          <w:i/>
          <w:color w:val="888888"/>
          <w:sz w:val="18"/>
        </w:rPr>
      </w:pPr>
      <w:r>
        <w:rPr>
          <w:i/>
          <w:color w:val="888888"/>
          <w:sz w:val="18"/>
        </w:rPr>
        <w:t>Figure 2 — All three VMs visible in VMware: Windows 10, Kali Linux, Metasploitable 2</w:t>
      </w:r>
    </w:p>
    <w:p>
      <w:pPr>
        <w:pStyle w:val="Normal"/>
        <w:spacing w:before="280" w:after="80"/>
        <w:rPr>
          <w:b/>
          <w:color w:val="C0392B"/>
          <w:sz w:val="26"/>
        </w:rPr>
      </w:pPr>
      <w:r>
        <w:rPr>
          <w:b/>
          <w:color w:val="C0392B"/>
          <w:sz w:val="26"/>
        </w:rPr>
        <w:t>2.3  VM Configuration Details</w:t>
      </w:r>
    </w:p>
    <w:tbl>
      <w:tblPr>
        <w:tblW w:w="9405" w:type="dxa"/>
        <w:jc w:val="center"/>
        <w:tblInd w:w="0" w:type="dxa"/>
        <w:tblLayout w:type="fixed"/>
        <w:tblCellMar>
          <w:top w:w="0" w:type="dxa"/>
          <w:start w:w="108" w:type="dxa"/>
          <w:bottom w:w="0" w:type="dxa"/>
          <w:end w:w="108" w:type="dxa"/>
        </w:tblCellMar>
      </w:tblPr>
      <w:tblGrid>
        <w:gridCol w:w="1881"/>
        <w:gridCol w:w="1881"/>
        <w:gridCol w:w="1881"/>
        <w:gridCol w:w="1881"/>
        <w:gridCol w:w="1881"/>
      </w:tblGrid>
      <w:tr>
        <w:trPr/>
        <w:tc>
          <w:tcPr>
            <w:tcW w:w="1881" w:type="dxa"/>
            <w:tcBorders>
              <w:top w:val="single" w:sz="4" w:space="0" w:color="000000"/>
              <w:start w:val="single" w:sz="4" w:space="0" w:color="000000"/>
              <w:bottom w:val="single" w:sz="4" w:space="0" w:color="000000"/>
              <w:end w:val="single" w:sz="4" w:space="0" w:color="000000"/>
            </w:tcBorders>
            <w:shd w:fill="1A1A2E" w:val="clear"/>
          </w:tcPr>
          <w:p>
            <w:pPr>
              <w:pStyle w:val="Normal"/>
              <w:widowControl/>
              <w:spacing w:lineRule="auto" w:line="240" w:before="0" w:after="0"/>
              <w:jc w:val="center"/>
              <w:rPr>
                <w:rFonts w:eastAsia="ＭＳ 明朝"/>
                <w:b/>
                <w:color w:val="FFFFFF"/>
                <w:kern w:val="0"/>
                <w:sz w:val="20"/>
                <w:szCs w:val="22"/>
                <w:lang w:val="en-US" w:eastAsia="en-US" w:bidi="ar-SA"/>
              </w:rPr>
            </w:pPr>
            <w:r>
              <w:rPr>
                <w:rFonts w:eastAsia="ＭＳ 明朝"/>
                <w:b/>
                <w:color w:val="FFFFFF"/>
                <w:kern w:val="0"/>
                <w:sz w:val="20"/>
                <w:szCs w:val="22"/>
                <w:lang w:val="en-US" w:eastAsia="en-US" w:bidi="ar-SA"/>
              </w:rPr>
              <w:t>Machine</w:t>
            </w:r>
          </w:p>
        </w:tc>
        <w:tc>
          <w:tcPr>
            <w:tcW w:w="1881" w:type="dxa"/>
            <w:tcBorders>
              <w:top w:val="single" w:sz="4" w:space="0" w:color="000000"/>
              <w:start w:val="single" w:sz="4" w:space="0" w:color="000000"/>
              <w:bottom w:val="single" w:sz="4" w:space="0" w:color="000000"/>
              <w:end w:val="single" w:sz="4" w:space="0" w:color="000000"/>
            </w:tcBorders>
            <w:shd w:fill="1A1A2E" w:val="clear"/>
          </w:tcPr>
          <w:p>
            <w:pPr>
              <w:pStyle w:val="Normal"/>
              <w:widowControl/>
              <w:spacing w:lineRule="auto" w:line="240" w:before="0" w:after="0"/>
              <w:jc w:val="center"/>
              <w:rPr>
                <w:rFonts w:eastAsia="ＭＳ 明朝"/>
                <w:b/>
                <w:color w:val="FFFFFF"/>
                <w:kern w:val="0"/>
                <w:sz w:val="20"/>
                <w:szCs w:val="22"/>
                <w:lang w:val="en-US" w:eastAsia="en-US" w:bidi="ar-SA"/>
              </w:rPr>
            </w:pPr>
            <w:r>
              <w:rPr>
                <w:rFonts w:eastAsia="ＭＳ 明朝"/>
                <w:b/>
                <w:color w:val="FFFFFF"/>
                <w:kern w:val="0"/>
                <w:sz w:val="20"/>
                <w:szCs w:val="22"/>
                <w:lang w:val="en-US" w:eastAsia="en-US" w:bidi="ar-SA"/>
              </w:rPr>
              <w:t>Role</w:t>
            </w:r>
          </w:p>
        </w:tc>
        <w:tc>
          <w:tcPr>
            <w:tcW w:w="1881" w:type="dxa"/>
            <w:tcBorders>
              <w:top w:val="single" w:sz="4" w:space="0" w:color="000000"/>
              <w:start w:val="single" w:sz="4" w:space="0" w:color="000000"/>
              <w:bottom w:val="single" w:sz="4" w:space="0" w:color="000000"/>
              <w:end w:val="single" w:sz="4" w:space="0" w:color="000000"/>
            </w:tcBorders>
            <w:shd w:fill="1A1A2E" w:val="clear"/>
          </w:tcPr>
          <w:p>
            <w:pPr>
              <w:pStyle w:val="Normal"/>
              <w:widowControl/>
              <w:spacing w:lineRule="auto" w:line="240" w:before="0" w:after="0"/>
              <w:jc w:val="center"/>
              <w:rPr>
                <w:rFonts w:eastAsia="ＭＳ 明朝"/>
                <w:b/>
                <w:color w:val="FFFFFF"/>
                <w:kern w:val="0"/>
                <w:sz w:val="20"/>
                <w:szCs w:val="22"/>
                <w:lang w:val="en-US" w:eastAsia="en-US" w:bidi="ar-SA"/>
              </w:rPr>
            </w:pPr>
            <w:r>
              <w:rPr>
                <w:rFonts w:eastAsia="ＭＳ 明朝"/>
                <w:b/>
                <w:color w:val="FFFFFF"/>
                <w:kern w:val="0"/>
                <w:sz w:val="20"/>
                <w:szCs w:val="22"/>
                <w:lang w:val="en-US" w:eastAsia="en-US" w:bidi="ar-SA"/>
              </w:rPr>
              <w:t>RAM</w:t>
            </w:r>
          </w:p>
        </w:tc>
        <w:tc>
          <w:tcPr>
            <w:tcW w:w="1881" w:type="dxa"/>
            <w:tcBorders>
              <w:top w:val="single" w:sz="4" w:space="0" w:color="000000"/>
              <w:start w:val="single" w:sz="4" w:space="0" w:color="000000"/>
              <w:bottom w:val="single" w:sz="4" w:space="0" w:color="000000"/>
              <w:end w:val="single" w:sz="4" w:space="0" w:color="000000"/>
            </w:tcBorders>
            <w:shd w:fill="1A1A2E" w:val="clear"/>
          </w:tcPr>
          <w:p>
            <w:pPr>
              <w:pStyle w:val="Normal"/>
              <w:widowControl/>
              <w:spacing w:lineRule="auto" w:line="240" w:before="0" w:after="0"/>
              <w:jc w:val="center"/>
              <w:rPr>
                <w:rFonts w:eastAsia="ＭＳ 明朝"/>
                <w:b/>
                <w:color w:val="FFFFFF"/>
                <w:kern w:val="0"/>
                <w:sz w:val="20"/>
                <w:szCs w:val="22"/>
                <w:lang w:val="en-US" w:eastAsia="en-US" w:bidi="ar-SA"/>
              </w:rPr>
            </w:pPr>
            <w:r>
              <w:rPr>
                <w:rFonts w:eastAsia="ＭＳ 明朝"/>
                <w:b/>
                <w:color w:val="FFFFFF"/>
                <w:kern w:val="0"/>
                <w:sz w:val="20"/>
                <w:szCs w:val="22"/>
                <w:lang w:val="en-US" w:eastAsia="en-US" w:bidi="ar-SA"/>
              </w:rPr>
              <w:t>Disk</w:t>
            </w:r>
          </w:p>
        </w:tc>
        <w:tc>
          <w:tcPr>
            <w:tcW w:w="1881" w:type="dxa"/>
            <w:tcBorders>
              <w:top w:val="single" w:sz="4" w:space="0" w:color="000000"/>
              <w:start w:val="single" w:sz="4" w:space="0" w:color="000000"/>
              <w:bottom w:val="single" w:sz="4" w:space="0" w:color="000000"/>
              <w:end w:val="single" w:sz="4" w:space="0" w:color="000000"/>
            </w:tcBorders>
            <w:shd w:fill="1A1A2E" w:val="clear"/>
          </w:tcPr>
          <w:p>
            <w:pPr>
              <w:pStyle w:val="Normal"/>
              <w:widowControl/>
              <w:spacing w:lineRule="auto" w:line="240" w:before="0" w:after="0"/>
              <w:jc w:val="center"/>
              <w:rPr>
                <w:rFonts w:eastAsia="ＭＳ 明朝"/>
                <w:b/>
                <w:color w:val="FFFFFF"/>
                <w:kern w:val="0"/>
                <w:sz w:val="20"/>
                <w:szCs w:val="22"/>
                <w:lang w:val="en-US" w:eastAsia="en-US" w:bidi="ar-SA"/>
              </w:rPr>
            </w:pPr>
            <w:r>
              <w:rPr>
                <w:rFonts w:eastAsia="ＭＳ 明朝"/>
                <w:b/>
                <w:color w:val="FFFFFF"/>
                <w:kern w:val="0"/>
                <w:sz w:val="20"/>
                <w:szCs w:val="22"/>
                <w:lang w:val="en-US" w:eastAsia="en-US" w:bidi="ar-SA"/>
              </w:rPr>
              <w:t>Network Adapter</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Windows 10 x64</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Additional Target</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2 GB</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60 GB</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Host-only</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Metasploitable 2</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Primary Vulnerable Target</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512 MB</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8 GB</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Host-only</w:t>
            </w:r>
          </w:p>
        </w:tc>
      </w:tr>
    </w:tbl>
    <w:p>
      <w:pPr>
        <w:pStyle w:val="Normal"/>
        <w:rPr/>
      </w:pPr>
      <w:r>
        <w:rPr/>
      </w:r>
    </w:p>
    <w:p>
      <w:pPr>
        <w:pStyle w:val="Normal"/>
        <w:jc w:val="center"/>
        <w:rPr/>
      </w:pPr>
      <w:r>
        <w:rPr/>
        <w:drawing>
          <wp:inline distT="0" distB="0" distL="0" distR="0">
            <wp:extent cx="2743200" cy="35401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2743200" cy="3540125"/>
                    </a:xfrm>
                    <a:prstGeom prst="rect">
                      <a:avLst/>
                    </a:prstGeom>
                    <a:noFill/>
                  </pic:spPr>
                </pic:pic>
              </a:graphicData>
            </a:graphic>
          </wp:inline>
        </w:drawing>
      </w:r>
    </w:p>
    <w:p>
      <w:pPr>
        <w:pStyle w:val="Normal"/>
        <w:spacing w:before="40" w:after="200"/>
        <w:jc w:val="center"/>
        <w:rPr>
          <w:i/>
          <w:color w:val="888888"/>
          <w:sz w:val="18"/>
        </w:rPr>
      </w:pPr>
      <w:r>
        <w:rPr>
          <w:i/>
          <w:color w:val="888888"/>
          <w:sz w:val="18"/>
        </w:rPr>
        <w:t>Figure 3 — Windows 10 VM: Network Adapter set to Host-only</w:t>
      </w:r>
    </w:p>
    <w:p>
      <w:pPr>
        <w:pStyle w:val="Normal"/>
        <w:jc w:val="center"/>
        <w:rPr>
          <w:i/>
          <w:color w:val="888888"/>
          <w:sz w:val="18"/>
        </w:rPr>
      </w:pPr>
      <w:r>
        <w:rPr>
          <w:i/>
          <w:color w:val="888888"/>
          <w:sz w:val="18"/>
        </w:rPr>
      </w:r>
    </w:p>
    <w:p>
      <w:pPr>
        <w:pStyle w:val="Normal"/>
        <w:jc w:val="center"/>
        <w:rPr/>
      </w:pPr>
      <w:r>
        <w:rPr/>
        <w:drawing>
          <wp:inline distT="0" distB="0" distL="0" distR="0">
            <wp:extent cx="2743200" cy="2582545"/>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noChangeArrowheads="1"/>
                    </pic:cNvPicPr>
                  </pic:nvPicPr>
                  <pic:blipFill>
                    <a:blip r:embed="rId5"/>
                    <a:stretch>
                      <a:fillRect/>
                    </a:stretch>
                  </pic:blipFill>
                  <pic:spPr bwMode="auto">
                    <a:xfrm>
                      <a:off x="0" y="0"/>
                      <a:ext cx="2743200" cy="2582545"/>
                    </a:xfrm>
                    <a:prstGeom prst="rect">
                      <a:avLst/>
                    </a:prstGeom>
                    <a:noFill/>
                  </pic:spPr>
                </pic:pic>
              </a:graphicData>
            </a:graphic>
          </wp:inline>
        </w:drawing>
      </w:r>
    </w:p>
    <w:p>
      <w:pPr>
        <w:pStyle w:val="Normal"/>
        <w:spacing w:before="40" w:after="200"/>
        <w:jc w:val="center"/>
        <w:rPr>
          <w:i/>
          <w:color w:val="888888"/>
          <w:sz w:val="18"/>
        </w:rPr>
      </w:pPr>
      <w:r>
        <w:rPr>
          <w:i/>
          <w:color w:val="888888"/>
          <w:sz w:val="18"/>
        </w:rPr>
        <w:t>Figure 4 — Metasploitable 2 VM: Network Adapter set to Host-only</w:t>
      </w:r>
    </w:p>
    <w:p>
      <w:pPr>
        <w:pStyle w:val="Normal"/>
        <w:spacing w:before="280" w:after="80"/>
        <w:rPr>
          <w:b/>
          <w:color w:val="C0392B"/>
          <w:sz w:val="26"/>
        </w:rPr>
      </w:pPr>
      <w:r>
        <w:rPr>
          <w:b/>
          <w:color w:val="C0392B"/>
          <w:sz w:val="26"/>
        </w:rPr>
        <w:t>2.4  IP Address Table</w:t>
      </w:r>
    </w:p>
    <w:tbl>
      <w:tblPr>
        <w:tblW w:w="9390" w:type="dxa"/>
        <w:jc w:val="center"/>
        <w:tblInd w:w="0" w:type="dxa"/>
        <w:tblLayout w:type="fixed"/>
        <w:tblCellMar>
          <w:top w:w="0" w:type="dxa"/>
          <w:start w:w="108" w:type="dxa"/>
          <w:bottom w:w="0" w:type="dxa"/>
          <w:end w:w="108" w:type="dxa"/>
        </w:tblCellMar>
      </w:tblPr>
      <w:tblGrid>
        <w:gridCol w:w="2339"/>
        <w:gridCol w:w="2340"/>
        <w:gridCol w:w="2355"/>
        <w:gridCol w:w="2356"/>
      </w:tblGrid>
      <w:tr>
        <w:trPr/>
        <w:tc>
          <w:tcPr>
            <w:tcW w:w="2339" w:type="dxa"/>
            <w:tcBorders>
              <w:top w:val="single" w:sz="4" w:space="0" w:color="000000"/>
              <w:start w:val="single" w:sz="4" w:space="0" w:color="000000"/>
              <w:bottom w:val="single" w:sz="4" w:space="0" w:color="000000"/>
              <w:end w:val="single" w:sz="4" w:space="0" w:color="000000"/>
            </w:tcBorders>
            <w:shd w:fill="1A1A2E" w:val="clear"/>
          </w:tcPr>
          <w:p>
            <w:pPr>
              <w:pStyle w:val="Normal"/>
              <w:widowControl/>
              <w:spacing w:lineRule="auto" w:line="240" w:before="0" w:after="0"/>
              <w:jc w:val="center"/>
              <w:rPr>
                <w:rFonts w:eastAsia="ＭＳ 明朝"/>
                <w:b/>
                <w:color w:val="FFFFFF"/>
                <w:kern w:val="0"/>
                <w:sz w:val="20"/>
                <w:szCs w:val="22"/>
                <w:lang w:val="en-US" w:eastAsia="en-US" w:bidi="ar-SA"/>
              </w:rPr>
            </w:pPr>
            <w:r>
              <w:rPr>
                <w:rFonts w:eastAsia="ＭＳ 明朝"/>
                <w:b/>
                <w:color w:val="FFFFFF"/>
                <w:kern w:val="0"/>
                <w:sz w:val="20"/>
                <w:szCs w:val="22"/>
                <w:lang w:val="en-US" w:eastAsia="en-US" w:bidi="ar-SA"/>
              </w:rPr>
              <w:t>Machine</w:t>
            </w:r>
          </w:p>
        </w:tc>
        <w:tc>
          <w:tcPr>
            <w:tcW w:w="2340" w:type="dxa"/>
            <w:tcBorders>
              <w:top w:val="single" w:sz="4" w:space="0" w:color="000000"/>
              <w:start w:val="single" w:sz="4" w:space="0" w:color="000000"/>
              <w:bottom w:val="single" w:sz="4" w:space="0" w:color="000000"/>
              <w:end w:val="single" w:sz="4" w:space="0" w:color="000000"/>
            </w:tcBorders>
            <w:shd w:fill="1A1A2E" w:val="clear"/>
          </w:tcPr>
          <w:p>
            <w:pPr>
              <w:pStyle w:val="Normal"/>
              <w:widowControl/>
              <w:spacing w:lineRule="auto" w:line="240" w:before="0" w:after="0"/>
              <w:jc w:val="center"/>
              <w:rPr>
                <w:rFonts w:eastAsia="ＭＳ 明朝"/>
                <w:b/>
                <w:color w:val="FFFFFF"/>
                <w:kern w:val="0"/>
                <w:sz w:val="20"/>
                <w:szCs w:val="22"/>
                <w:lang w:val="en-US" w:eastAsia="en-US" w:bidi="ar-SA"/>
              </w:rPr>
            </w:pPr>
            <w:r>
              <w:rPr>
                <w:rFonts w:eastAsia="ＭＳ 明朝"/>
                <w:b/>
                <w:color w:val="FFFFFF"/>
                <w:kern w:val="0"/>
                <w:sz w:val="20"/>
                <w:szCs w:val="22"/>
                <w:lang w:val="en-US" w:eastAsia="en-US" w:bidi="ar-SA"/>
              </w:rPr>
              <w:t>IP Address</w:t>
            </w:r>
          </w:p>
        </w:tc>
        <w:tc>
          <w:tcPr>
            <w:tcW w:w="2355" w:type="dxa"/>
            <w:tcBorders>
              <w:top w:val="single" w:sz="4" w:space="0" w:color="000000"/>
              <w:start w:val="single" w:sz="4" w:space="0" w:color="000000"/>
              <w:bottom w:val="single" w:sz="4" w:space="0" w:color="000000"/>
              <w:end w:val="single" w:sz="4" w:space="0" w:color="000000"/>
            </w:tcBorders>
            <w:shd w:fill="1A1A2E" w:val="clear"/>
          </w:tcPr>
          <w:p>
            <w:pPr>
              <w:pStyle w:val="Normal"/>
              <w:widowControl/>
              <w:spacing w:lineRule="auto" w:line="240" w:before="0" w:after="0"/>
              <w:jc w:val="center"/>
              <w:rPr>
                <w:rFonts w:eastAsia="ＭＳ 明朝"/>
                <w:b/>
                <w:color w:val="FFFFFF"/>
                <w:kern w:val="0"/>
                <w:sz w:val="20"/>
                <w:szCs w:val="22"/>
                <w:lang w:val="en-US" w:eastAsia="en-US" w:bidi="ar-SA"/>
              </w:rPr>
            </w:pPr>
            <w:r>
              <w:rPr>
                <w:rFonts w:eastAsia="ＭＳ 明朝"/>
                <w:b/>
                <w:color w:val="FFFFFF"/>
                <w:kern w:val="0"/>
                <w:sz w:val="20"/>
                <w:szCs w:val="22"/>
                <w:lang w:val="en-US" w:eastAsia="en-US" w:bidi="ar-SA"/>
              </w:rPr>
              <w:t>Interface</w:t>
            </w:r>
          </w:p>
        </w:tc>
        <w:tc>
          <w:tcPr>
            <w:tcW w:w="2356" w:type="dxa"/>
            <w:tcBorders>
              <w:top w:val="single" w:sz="4" w:space="0" w:color="000000"/>
              <w:start w:val="single" w:sz="4" w:space="0" w:color="000000"/>
              <w:bottom w:val="single" w:sz="4" w:space="0" w:color="000000"/>
              <w:end w:val="single" w:sz="4" w:space="0" w:color="000000"/>
            </w:tcBorders>
            <w:shd w:fill="1A1A2E" w:val="clear"/>
          </w:tcPr>
          <w:p>
            <w:pPr>
              <w:pStyle w:val="Normal"/>
              <w:widowControl/>
              <w:spacing w:lineRule="auto" w:line="240" w:before="0" w:after="0"/>
              <w:jc w:val="center"/>
              <w:rPr>
                <w:rFonts w:eastAsia="ＭＳ 明朝"/>
                <w:b/>
                <w:color w:val="FFFFFF"/>
                <w:kern w:val="0"/>
                <w:sz w:val="20"/>
                <w:szCs w:val="22"/>
                <w:lang w:val="en-US" w:eastAsia="en-US" w:bidi="ar-SA"/>
              </w:rPr>
            </w:pPr>
            <w:r>
              <w:rPr>
                <w:rFonts w:eastAsia="ＭＳ 明朝"/>
                <w:b/>
                <w:color w:val="FFFFFF"/>
                <w:kern w:val="0"/>
                <w:sz w:val="20"/>
                <w:szCs w:val="22"/>
                <w:lang w:val="en-US" w:eastAsia="en-US" w:bidi="ar-SA"/>
              </w:rPr>
              <w:t>Role</w:t>
            </w:r>
          </w:p>
        </w:tc>
      </w:tr>
      <w:tr>
        <w:trPr/>
        <w:tc>
          <w:tcPr>
            <w:tcW w:w="2339"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Metasploitable 2</w:t>
            </w:r>
          </w:p>
        </w:tc>
        <w:tc>
          <w:tcPr>
            <w:tcW w:w="2340"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192.168.38.130</w:t>
            </w:r>
          </w:p>
        </w:tc>
        <w:tc>
          <w:tcPr>
            <w:tcW w:w="2355"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vmnet1</w:t>
            </w:r>
          </w:p>
        </w:tc>
        <w:tc>
          <w:tcPr>
            <w:tcW w:w="2356"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Target</w:t>
            </w:r>
          </w:p>
        </w:tc>
      </w:tr>
      <w:tr>
        <w:trPr/>
        <w:tc>
          <w:tcPr>
            <w:tcW w:w="2339"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Windows 10</w:t>
            </w:r>
          </w:p>
        </w:tc>
        <w:tc>
          <w:tcPr>
            <w:tcW w:w="2340"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Cs w:val="22"/>
                <w:lang w:val="en-US" w:eastAsia="en-US" w:bidi="ar-SA"/>
              </w:rPr>
            </w:pPr>
            <w:r>
              <w:rPr>
                <w:rFonts w:eastAsia="ＭＳ 明朝"/>
                <w:kern w:val="0"/>
                <w:sz w:val="20"/>
                <w:szCs w:val="22"/>
                <w:lang w:val="en-US" w:eastAsia="en-US" w:bidi="ar-SA"/>
              </w:rPr>
              <w:t>192.168.38.129</w:t>
            </w:r>
          </w:p>
        </w:tc>
        <w:tc>
          <w:tcPr>
            <w:tcW w:w="2355"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vmnet1</w:t>
            </w:r>
          </w:p>
        </w:tc>
        <w:tc>
          <w:tcPr>
            <w:tcW w:w="2356"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Additional Target</w:t>
            </w:r>
          </w:p>
        </w:tc>
      </w:tr>
    </w:tbl>
    <w:p>
      <w:pPr>
        <w:pStyle w:val="Normal"/>
        <w:rPr/>
      </w:pPr>
      <w:r>
        <w:rPr/>
      </w:r>
    </w:p>
    <w:p>
      <w:pPr>
        <w:pStyle w:val="Normal"/>
        <w:spacing w:before="280" w:after="80"/>
        <w:rPr>
          <w:b/>
          <w:color w:val="C0392B"/>
          <w:sz w:val="26"/>
        </w:rPr>
      </w:pPr>
      <w:r>
        <w:rPr>
          <w:b/>
          <w:color w:val="C0392B"/>
          <w:sz w:val="26"/>
        </w:rPr>
        <w:t>2.5  Connectivity Verification</w:t>
      </w:r>
    </w:p>
    <w:p>
      <w:pPr>
        <w:pStyle w:val="Normal"/>
        <w:spacing w:before="0" w:after="120"/>
        <w:rPr/>
      </w:pPr>
      <w:r>
        <w:rPr/>
        <w:t>Before starting any tasks, connectivity between the machines was confirmed using ping from the Kali terminal to the Metasploitable target.</w:t>
      </w:r>
    </w:p>
    <w:p>
      <w:pPr>
        <w:pStyle w:val="Normal"/>
        <w:jc w:val="center"/>
        <w:rPr/>
      </w:pPr>
      <w:r>
        <w:rPr/>
        <w:drawing>
          <wp:anchor distT="0" distB="0" distL="0" distR="0" simplePos="0" relativeHeight="21" behindDoc="0" locked="0" layoutInCell="0" allowOverlap="1">
            <wp:simplePos x="0" y="0"/>
            <wp:positionH relativeFrom="column">
              <wp:align>center</wp:align>
            </wp:positionH>
            <wp:positionV relativeFrom="paragraph">
              <wp:posOffset>635</wp:posOffset>
            </wp:positionV>
            <wp:extent cx="5972810" cy="2681605"/>
            <wp:effectExtent l="0" t="0" r="0" b="0"/>
            <wp:wrapSquare wrapText="largest"/>
            <wp:docPr id="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pic:cNvPicPr>
                      <a:picLocks noChangeAspect="1" noChangeArrowheads="1"/>
                    </pic:cNvPicPr>
                  </pic:nvPicPr>
                  <pic:blipFill>
                    <a:blip r:embed="rId6"/>
                    <a:stretch>
                      <a:fillRect/>
                    </a:stretch>
                  </pic:blipFill>
                  <pic:spPr bwMode="auto">
                    <a:xfrm>
                      <a:off x="0" y="0"/>
                      <a:ext cx="5972810" cy="2681605"/>
                    </a:xfrm>
                    <a:prstGeom prst="rect">
                      <a:avLst/>
                    </a:prstGeom>
                    <a:noFill/>
                  </pic:spPr>
                </pic:pic>
              </a:graphicData>
            </a:graphic>
          </wp:anchor>
        </w:drawing>
      </w:r>
    </w:p>
    <w:p>
      <w:pPr>
        <w:pStyle w:val="Normal"/>
        <w:spacing w:before="40" w:after="200"/>
        <w:jc w:val="center"/>
        <w:rPr>
          <w:i/>
          <w:color w:val="888888"/>
          <w:sz w:val="18"/>
        </w:rPr>
      </w:pPr>
      <w:r>
        <w:rPr>
          <w:i/>
          <w:color w:val="888888"/>
          <w:sz w:val="18"/>
        </w:rPr>
        <w:t>Figure 6 — Ping from Kali (192.168.1.50) to Metasploitable (192.168.38.130) — 0% packet loss</w:t>
      </w:r>
    </w:p>
    <w:p>
      <w:pPr>
        <w:pStyle w:val="Normal"/>
        <w:jc w:val="center"/>
        <w:rPr/>
      </w:pPr>
      <w:r>
        <w:rPr/>
        <w:drawing>
          <wp:inline distT="0" distB="0" distL="0" distR="0">
            <wp:extent cx="5029200" cy="2706370"/>
            <wp:effectExtent l="0" t="0" r="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pic:cNvPicPr>
                      <a:picLocks noChangeAspect="1" noChangeArrowheads="1"/>
                    </pic:cNvPicPr>
                  </pic:nvPicPr>
                  <pic:blipFill>
                    <a:blip r:embed="rId7"/>
                    <a:stretch>
                      <a:fillRect/>
                    </a:stretch>
                  </pic:blipFill>
                  <pic:spPr bwMode="auto">
                    <a:xfrm>
                      <a:off x="0" y="0"/>
                      <a:ext cx="5029200" cy="2706370"/>
                    </a:xfrm>
                    <a:prstGeom prst="rect">
                      <a:avLst/>
                    </a:prstGeom>
                    <a:noFill/>
                  </pic:spPr>
                </pic:pic>
              </a:graphicData>
            </a:graphic>
          </wp:inline>
        </w:drawing>
      </w:r>
    </w:p>
    <w:p>
      <w:pPr>
        <w:pStyle w:val="Normal"/>
        <w:spacing w:before="40" w:after="200"/>
        <w:jc w:val="center"/>
        <w:rPr>
          <w:i/>
          <w:color w:val="888888"/>
          <w:sz w:val="18"/>
        </w:rPr>
      </w:pPr>
      <w:r>
        <w:rPr>
          <w:i/>
          <w:color w:val="888888"/>
          <w:sz w:val="18"/>
        </w:rPr>
        <w:t>Figure 7 — Metasploitable network interface showing IP 192.168.38.130</w:t>
      </w:r>
    </w:p>
    <w:p>
      <w:pPr>
        <w:pStyle w:val="Normal"/>
        <w:pBdr>
          <w:bottom w:val="single" w:sz="4" w:space="2" w:color="C0392B"/>
        </w:pBdr>
        <w:spacing w:before="0" w:after="80"/>
        <w:rPr>
          <w:b/>
          <w:color w:val="C0392B"/>
          <w:sz w:val="30"/>
        </w:rPr>
      </w:pPr>
      <w:r>
        <w:rPr>
          <w:b/>
          <w:color w:val="C0392B"/>
          <w:sz w:val="30"/>
        </w:rPr>
        <w:t>3. Task 1 — Network Scanning &amp; Enumeration</w:t>
      </w:r>
    </w:p>
    <w:p>
      <w:pPr>
        <w:pStyle w:val="Normal"/>
        <w:spacing w:before="0" w:after="120"/>
        <w:rPr/>
      </w:pPr>
      <w:r>
        <w:rPr/>
        <w:t>Nmap was used to discover open ports, identify running services, detect service versions, and fingerprint the operating system on the Metasploitable target (192.168.38.130). The scan was done in stages — starting with a ping sweep to confirm the host is live, followed by progressively deeper scans on specific ports and services.</w:t>
      </w:r>
    </w:p>
    <w:p>
      <w:pPr>
        <w:pStyle w:val="Normal"/>
        <w:spacing w:before="280" w:after="80"/>
        <w:rPr>
          <w:b/>
          <w:color w:val="C0392B"/>
          <w:sz w:val="26"/>
        </w:rPr>
      </w:pPr>
      <w:r>
        <w:rPr>
          <w:b/>
          <w:color w:val="C0392B"/>
          <w:sz w:val="26"/>
        </w:rPr>
        <w:t>3.1  Host Discovery</w:t>
      </w:r>
    </w:p>
    <w:p>
      <w:pPr>
        <w:pStyle w:val="Normal"/>
        <w:jc w:val="center"/>
        <w:rPr/>
      </w:pPr>
      <w:r>
        <w:rPr/>
        <w:drawing>
          <wp:inline distT="0" distB="0" distL="0" distR="0">
            <wp:extent cx="5029200" cy="2632075"/>
            <wp:effectExtent l="0" t="0" r="0" b="0"/>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pic:cNvPicPr>
                      <a:picLocks noChangeAspect="1" noChangeArrowheads="1"/>
                    </pic:cNvPicPr>
                  </pic:nvPicPr>
                  <pic:blipFill>
                    <a:blip r:embed="rId8"/>
                    <a:stretch>
                      <a:fillRect/>
                    </a:stretch>
                  </pic:blipFill>
                  <pic:spPr bwMode="auto">
                    <a:xfrm>
                      <a:off x="0" y="0"/>
                      <a:ext cx="5029200" cy="2632075"/>
                    </a:xfrm>
                    <a:prstGeom prst="rect">
                      <a:avLst/>
                    </a:prstGeom>
                    <a:noFill/>
                  </pic:spPr>
                </pic:pic>
              </a:graphicData>
            </a:graphic>
          </wp:inline>
        </w:drawing>
      </w:r>
    </w:p>
    <w:p>
      <w:pPr>
        <w:pStyle w:val="Normal"/>
        <w:spacing w:before="40" w:after="200"/>
        <w:jc w:val="center"/>
        <w:rPr>
          <w:i/>
          <w:color w:val="888888"/>
          <w:sz w:val="18"/>
        </w:rPr>
      </w:pPr>
      <w:r>
        <w:rPr>
          <w:i/>
          <w:color w:val="888888"/>
          <w:sz w:val="18"/>
        </w:rPr>
        <w:t>Figure 8 — Nmap ping sweep confirming Metasploitable host is up</w:t>
      </w:r>
    </w:p>
    <w:p>
      <w:pPr>
        <w:pStyle w:val="Normal"/>
        <w:spacing w:before="280" w:after="80"/>
        <w:rPr>
          <w:b/>
          <w:color w:val="C0392B"/>
          <w:sz w:val="26"/>
        </w:rPr>
      </w:pPr>
      <w:r>
        <w:rPr>
          <w:b/>
          <w:color w:val="C0392B"/>
          <w:sz w:val="26"/>
        </w:rPr>
      </w:r>
    </w:p>
    <w:p>
      <w:pPr>
        <w:pStyle w:val="Normal"/>
        <w:spacing w:before="280" w:after="80"/>
        <w:rPr>
          <w:b/>
          <w:color w:val="C0392B"/>
          <w:sz w:val="26"/>
        </w:rPr>
      </w:pPr>
      <w:r>
        <w:rPr>
          <w:b/>
          <w:color w:val="C0392B"/>
          <w:sz w:val="26"/>
        </w:rPr>
      </w:r>
    </w:p>
    <w:p>
      <w:pPr>
        <w:pStyle w:val="Normal"/>
        <w:spacing w:before="280" w:after="80"/>
        <w:rPr>
          <w:b/>
          <w:color w:val="C0392B"/>
          <w:sz w:val="26"/>
        </w:rPr>
      </w:pPr>
      <w:r>
        <w:rPr>
          <w:b/>
          <w:color w:val="C0392B"/>
          <w:sz w:val="26"/>
        </w:rPr>
        <w:t>3.2  Full Port Scan — All Services</w:t>
      </w:r>
    </w:p>
    <w:p>
      <w:pPr>
        <w:pStyle w:val="Normal"/>
        <w:spacing w:before="0" w:after="120"/>
        <w:rPr/>
      </w:pPr>
      <w:r>
        <w:rPr/>
        <w:t>A full TCP scan was run against the target. The output below shows all open ports with their associated service names.</w:t>
      </w:r>
    </w:p>
    <w:p>
      <w:pPr>
        <w:pStyle w:val="Normal"/>
        <w:jc w:val="center"/>
        <w:rPr/>
      </w:pPr>
      <w:r>
        <w:rPr/>
        <w:drawing>
          <wp:anchor distT="0" distB="0" distL="0" distR="0" simplePos="0" relativeHeight="24" behindDoc="0" locked="0" layoutInCell="0" allowOverlap="1">
            <wp:simplePos x="0" y="0"/>
            <wp:positionH relativeFrom="column">
              <wp:align>center</wp:align>
            </wp:positionH>
            <wp:positionV relativeFrom="paragraph">
              <wp:posOffset>635</wp:posOffset>
            </wp:positionV>
            <wp:extent cx="5972810" cy="6297295"/>
            <wp:effectExtent l="0" t="0" r="0" b="0"/>
            <wp:wrapSquare wrapText="largest"/>
            <wp:docPr id="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9"/>
                    <a:stretch>
                      <a:fillRect/>
                    </a:stretch>
                  </pic:blipFill>
                  <pic:spPr bwMode="auto">
                    <a:xfrm>
                      <a:off x="0" y="0"/>
                      <a:ext cx="5972810" cy="6297295"/>
                    </a:xfrm>
                    <a:prstGeom prst="rect">
                      <a:avLst/>
                    </a:prstGeom>
                    <a:noFill/>
                  </pic:spPr>
                </pic:pic>
              </a:graphicData>
            </a:graphic>
          </wp:anchor>
        </w:drawing>
      </w:r>
    </w:p>
    <w:p>
      <w:pPr>
        <w:pStyle w:val="Normal"/>
        <w:jc w:val="center"/>
        <w:rPr>
          <w:i/>
          <w:color w:val="888888"/>
          <w:sz w:val="18"/>
        </w:rPr>
      </w:pPr>
      <w:r>
        <w:rPr>
          <w:i/>
          <w:color w:val="888888"/>
          <w:sz w:val="18"/>
        </w:rPr>
        <w:t>Figure 9 — Nmap full port scan output showing all open ports on Metasploitable</w:t>
      </w:r>
    </w:p>
    <w:p>
      <w:pPr>
        <w:pStyle w:val="Normal"/>
        <w:spacing w:before="280" w:after="80"/>
        <w:rPr>
          <w:b/>
          <w:color w:val="C0392B"/>
          <w:sz w:val="26"/>
        </w:rPr>
      </w:pPr>
      <w:r>
        <w:rPr>
          <w:b/>
          <w:color w:val="C0392B"/>
          <w:sz w:val="26"/>
        </w:rPr>
      </w:r>
    </w:p>
    <w:p>
      <w:pPr>
        <w:pStyle w:val="Normal"/>
        <w:spacing w:before="280" w:after="80"/>
        <w:rPr>
          <w:b/>
          <w:color w:val="C0392B"/>
          <w:sz w:val="26"/>
        </w:rPr>
      </w:pPr>
      <w:r>
        <w:rPr>
          <w:b/>
          <w:color w:val="C0392B"/>
          <w:sz w:val="26"/>
        </w:rPr>
      </w:r>
    </w:p>
    <w:p>
      <w:pPr>
        <w:pStyle w:val="Normal"/>
        <w:spacing w:before="280" w:after="80"/>
        <w:rPr>
          <w:b/>
          <w:color w:val="C0392B"/>
          <w:sz w:val="26"/>
        </w:rPr>
      </w:pPr>
      <w:r>
        <w:rPr>
          <w:b/>
          <w:color w:val="C0392B"/>
          <w:sz w:val="26"/>
        </w:rPr>
        <w:t>3.4  FTP Service Scan (Port 21)</w:t>
      </w:r>
    </w:p>
    <w:p>
      <w:pPr>
        <w:pStyle w:val="Normal"/>
        <w:spacing w:before="0" w:after="120"/>
        <w:rPr/>
      </w:pPr>
      <w:r>
        <w:rPr/>
        <w:t>A detailed scan of port 21 revealed vsftpd 2.3.4 running with anonymous login allowed.</w:t>
      </w:r>
    </w:p>
    <w:p>
      <w:pPr>
        <w:pStyle w:val="Normal"/>
        <w:jc w:val="center"/>
        <w:rPr/>
      </w:pPr>
      <w:r>
        <w:rPr/>
        <w:drawing>
          <wp:inline distT="0" distB="0" distL="0" distR="0">
            <wp:extent cx="4705350" cy="3938905"/>
            <wp:effectExtent l="0" t="0" r="0" b="0"/>
            <wp:docPr id="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0"/>
                    <pic:cNvPicPr>
                      <a:picLocks noChangeAspect="1" noChangeArrowheads="1"/>
                    </pic:cNvPicPr>
                  </pic:nvPicPr>
                  <pic:blipFill>
                    <a:blip r:embed="rId10"/>
                    <a:stretch>
                      <a:fillRect/>
                    </a:stretch>
                  </pic:blipFill>
                  <pic:spPr bwMode="auto">
                    <a:xfrm>
                      <a:off x="0" y="0"/>
                      <a:ext cx="4705350" cy="3938905"/>
                    </a:xfrm>
                    <a:prstGeom prst="rect">
                      <a:avLst/>
                    </a:prstGeom>
                    <a:noFill/>
                  </pic:spPr>
                </pic:pic>
              </a:graphicData>
            </a:graphic>
          </wp:inline>
        </w:drawing>
      </w:r>
    </w:p>
    <w:p>
      <w:pPr>
        <w:pStyle w:val="Normal"/>
        <w:spacing w:before="40" w:after="200"/>
        <w:jc w:val="center"/>
        <w:rPr>
          <w:i/>
          <w:color w:val="888888"/>
          <w:sz w:val="18"/>
        </w:rPr>
      </w:pPr>
      <w:r>
        <w:rPr>
          <w:i/>
          <w:color w:val="888888"/>
          <w:sz w:val="18"/>
        </w:rPr>
        <w:t>Figure 10 — Nmap -sV -sC -A on port 21: vsftpd 2.3.4, anonymous FTP login allowed</w:t>
      </w:r>
    </w:p>
    <w:p>
      <w:pPr>
        <w:pStyle w:val="Normal"/>
        <w:spacing w:before="280" w:after="80"/>
        <w:rPr>
          <w:b/>
          <w:color w:val="C0392B"/>
          <w:sz w:val="26"/>
        </w:rPr>
      </w:pPr>
      <w:r>
        <w:rPr>
          <w:b/>
          <w:color w:val="C0392B"/>
          <w:sz w:val="26"/>
        </w:rPr>
        <w:t>3.5  Vulnerability Detection — vsftpd Backdoor</w:t>
      </w:r>
    </w:p>
    <w:p>
      <w:pPr>
        <w:pStyle w:val="Normal"/>
        <w:spacing w:before="0" w:after="120"/>
        <w:rPr/>
      </w:pPr>
      <w:r>
        <w:rPr/>
        <w:t xml:space="preserve">Running the Nmap vuln script against port 21 confirmed that vsftpd 2.3.4 contains the known backdoor vulnerability CVE-2011-2523. </w:t>
      </w:r>
    </w:p>
    <w:p>
      <w:pPr>
        <w:pStyle w:val="Normal"/>
        <w:jc w:val="center"/>
        <w:rPr/>
      </w:pPr>
      <w:r>
        <w:rPr/>
        <w:drawing>
          <wp:inline distT="0" distB="0" distL="0" distR="0">
            <wp:extent cx="4114800" cy="2371090"/>
            <wp:effectExtent l="0" t="0" r="0" b="0"/>
            <wp:docPr id="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
                    <pic:cNvPicPr>
                      <a:picLocks noChangeAspect="1" noChangeArrowheads="1"/>
                    </pic:cNvPicPr>
                  </pic:nvPicPr>
                  <pic:blipFill>
                    <a:blip r:embed="rId11"/>
                    <a:stretch>
                      <a:fillRect/>
                    </a:stretch>
                  </pic:blipFill>
                  <pic:spPr bwMode="auto">
                    <a:xfrm>
                      <a:off x="0" y="0"/>
                      <a:ext cx="4114800" cy="2371090"/>
                    </a:xfrm>
                    <a:prstGeom prst="rect">
                      <a:avLst/>
                    </a:prstGeom>
                    <a:noFill/>
                  </pic:spPr>
                </pic:pic>
              </a:graphicData>
            </a:graphic>
          </wp:inline>
        </w:drawing>
      </w:r>
    </w:p>
    <w:p>
      <w:pPr>
        <w:pStyle w:val="Normal"/>
        <w:spacing w:before="40" w:after="200"/>
        <w:jc w:val="center"/>
        <w:rPr>
          <w:i/>
          <w:color w:val="888888"/>
          <w:sz w:val="18"/>
        </w:rPr>
      </w:pPr>
      <w:r>
        <w:rPr>
          <w:i/>
          <w:color w:val="888888"/>
          <w:sz w:val="18"/>
        </w:rPr>
        <w:t>Figure 11 — Nmap vuln script confirming CVE-2011-2523: vsftpd 2.3.4 backdoor VULNERABLE</w:t>
      </w:r>
    </w:p>
    <w:p>
      <w:pPr>
        <w:pStyle w:val="Normal"/>
        <w:spacing w:before="280" w:after="80"/>
        <w:rPr/>
      </w:pPr>
      <w:r>
        <w:rPr>
          <w:b/>
          <w:color w:val="C0392B"/>
          <w:sz w:val="26"/>
        </w:rPr>
        <w:t>3.6  FTP Anonymous Login Verification</w:t>
      </w:r>
    </w:p>
    <w:p>
      <w:pPr>
        <w:pStyle w:val="Normal"/>
        <w:jc w:val="center"/>
        <w:rPr/>
      </w:pPr>
      <w:r>
        <w:rPr/>
        <w:drawing>
          <wp:inline distT="0" distB="0" distL="0" distR="0">
            <wp:extent cx="5029200" cy="2190750"/>
            <wp:effectExtent l="0" t="0" r="0" b="0"/>
            <wp:docPr id="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2"/>
                    <pic:cNvPicPr>
                      <a:picLocks noChangeAspect="1" noChangeArrowheads="1"/>
                    </pic:cNvPicPr>
                  </pic:nvPicPr>
                  <pic:blipFill>
                    <a:blip r:embed="rId12"/>
                    <a:stretch>
                      <a:fillRect/>
                    </a:stretch>
                  </pic:blipFill>
                  <pic:spPr bwMode="auto">
                    <a:xfrm>
                      <a:off x="0" y="0"/>
                      <a:ext cx="5029200" cy="2190750"/>
                    </a:xfrm>
                    <a:prstGeom prst="rect">
                      <a:avLst/>
                    </a:prstGeom>
                    <a:noFill/>
                  </pic:spPr>
                </pic:pic>
              </a:graphicData>
            </a:graphic>
          </wp:inline>
        </w:drawing>
      </w:r>
    </w:p>
    <w:p>
      <w:pPr>
        <w:pStyle w:val="Normal"/>
        <w:spacing w:before="40" w:after="200"/>
        <w:jc w:val="center"/>
        <w:rPr>
          <w:i/>
          <w:color w:val="888888"/>
          <w:sz w:val="18"/>
        </w:rPr>
      </w:pPr>
      <w:r>
        <w:rPr>
          <w:i/>
          <w:color w:val="888888"/>
          <w:sz w:val="18"/>
        </w:rPr>
        <w:t>Figure 12 — FTP anonymous login confirmed on Metasploitable</w:t>
      </w:r>
    </w:p>
    <w:p>
      <w:pPr>
        <w:pStyle w:val="Normal"/>
        <w:spacing w:before="280" w:after="80"/>
        <w:rPr>
          <w:b/>
          <w:color w:val="C0392B"/>
          <w:sz w:val="26"/>
        </w:rPr>
      </w:pPr>
      <w:r>
        <w:rPr>
          <w:b/>
          <w:color w:val="C0392B"/>
          <w:sz w:val="26"/>
        </w:rPr>
        <w:t>3.7  SMTP User Enumeration (Port 25)</w:t>
      </w:r>
    </w:p>
    <w:p>
      <w:pPr>
        <w:pStyle w:val="Normal"/>
        <w:spacing w:before="0" w:after="120"/>
        <w:rPr/>
      </w:pPr>
      <w:r>
        <w:rPr/>
        <w:t>smtp-user-enum was run against the SMTP service on port 25 using the VRFY method. 20 valid system users were found.</w:t>
      </w:r>
    </w:p>
    <w:p>
      <w:pPr>
        <w:pStyle w:val="Normal"/>
        <w:jc w:val="center"/>
        <w:rPr/>
      </w:pPr>
      <w:r>
        <w:rPr/>
        <w:drawing>
          <wp:inline distT="0" distB="0" distL="0" distR="0">
            <wp:extent cx="4072890" cy="4288790"/>
            <wp:effectExtent l="0" t="0" r="0" b="0"/>
            <wp:docPr id="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3"/>
                    <pic:cNvPicPr>
                      <a:picLocks noChangeAspect="1" noChangeArrowheads="1"/>
                    </pic:cNvPicPr>
                  </pic:nvPicPr>
                  <pic:blipFill>
                    <a:blip r:embed="rId13"/>
                    <a:stretch>
                      <a:fillRect/>
                    </a:stretch>
                  </pic:blipFill>
                  <pic:spPr bwMode="auto">
                    <a:xfrm>
                      <a:off x="0" y="0"/>
                      <a:ext cx="4072890" cy="4288790"/>
                    </a:xfrm>
                    <a:prstGeom prst="rect">
                      <a:avLst/>
                    </a:prstGeom>
                    <a:noFill/>
                  </pic:spPr>
                </pic:pic>
              </a:graphicData>
            </a:graphic>
          </wp:inline>
        </w:drawing>
      </w:r>
    </w:p>
    <w:p>
      <w:pPr>
        <w:pStyle w:val="Normal"/>
        <w:jc w:val="center"/>
        <w:rPr>
          <w:i/>
          <w:color w:val="888888"/>
          <w:sz w:val="18"/>
        </w:rPr>
      </w:pPr>
      <w:r>
        <w:rPr>
          <w:i/>
          <w:color w:val="888888"/>
          <w:sz w:val="18"/>
        </w:rPr>
        <w:t>Figure 13 — SMTP user enumeration: 20 valid users found on Metasploitabl</w:t>
      </w:r>
    </w:p>
    <w:p>
      <w:pPr>
        <w:pStyle w:val="Normal"/>
        <w:jc w:val="center"/>
        <w:rPr>
          <w:b/>
          <w:i/>
          <w:color w:val="888888"/>
          <w:sz w:val="18"/>
        </w:rPr>
      </w:pPr>
      <w:r>
        <w:rPr>
          <w:b/>
          <w:i/>
          <w:color w:val="888888"/>
          <w:sz w:val="18"/>
        </w:rPr>
      </w:r>
    </w:p>
    <w:p>
      <w:pPr>
        <w:pStyle w:val="Normal"/>
        <w:jc w:val="center"/>
        <w:rPr>
          <w:b/>
          <w:color w:val="C0392B"/>
          <w:sz w:val="26"/>
        </w:rPr>
      </w:pPr>
      <w:r>
        <w:rPr>
          <w:b/>
          <w:color w:val="C0392B"/>
          <w:sz w:val="26"/>
        </w:rPr>
        <w:t>3.7  RPC / NFS Enumeration (Port 111)</w:t>
      </w:r>
    </w:p>
    <w:p>
      <w:pPr>
        <w:pStyle w:val="Normal"/>
        <w:jc w:val="center"/>
        <w:rPr/>
      </w:pPr>
      <w:r>
        <w:rPr/>
        <w:drawing>
          <wp:inline distT="0" distB="0" distL="0" distR="0">
            <wp:extent cx="5029200" cy="4730115"/>
            <wp:effectExtent l="0" t="0" r="0" b="0"/>
            <wp:docPr id="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4"/>
                    <pic:cNvPicPr>
                      <a:picLocks noChangeAspect="1" noChangeArrowheads="1"/>
                    </pic:cNvPicPr>
                  </pic:nvPicPr>
                  <pic:blipFill>
                    <a:blip r:embed="rId14"/>
                    <a:stretch>
                      <a:fillRect/>
                    </a:stretch>
                  </pic:blipFill>
                  <pic:spPr bwMode="auto">
                    <a:xfrm>
                      <a:off x="0" y="0"/>
                      <a:ext cx="5029200" cy="4730115"/>
                    </a:xfrm>
                    <a:prstGeom prst="rect">
                      <a:avLst/>
                    </a:prstGeom>
                    <a:noFill/>
                  </pic:spPr>
                </pic:pic>
              </a:graphicData>
            </a:graphic>
          </wp:inline>
        </w:drawing>
      </w:r>
    </w:p>
    <w:p>
      <w:pPr>
        <w:pStyle w:val="Normal"/>
        <w:spacing w:before="40" w:after="200"/>
        <w:jc w:val="center"/>
        <w:rPr>
          <w:i/>
          <w:color w:val="888888"/>
          <w:sz w:val="18"/>
        </w:rPr>
      </w:pPr>
      <w:r>
        <w:rPr>
          <w:i/>
          <w:color w:val="888888"/>
          <w:sz w:val="18"/>
        </w:rPr>
        <w:t>Figure 14 — Nmap scan on port 111: rpcbind, NFS, mountd, nlockmgr exposed</w:t>
      </w:r>
    </w:p>
    <w:p>
      <w:pPr>
        <w:pStyle w:val="Normal"/>
        <w:pBdr>
          <w:bottom w:val="single" w:sz="4" w:space="2" w:color="C0392B"/>
        </w:pBdr>
        <w:spacing w:before="0" w:after="80"/>
        <w:rPr>
          <w:b/>
          <w:color w:val="C0392B"/>
          <w:sz w:val="30"/>
        </w:rPr>
      </w:pPr>
      <w:r>
        <w:rPr>
          <w:b/>
          <w:color w:val="C0392B"/>
          <w:sz w:val="30"/>
        </w:rPr>
      </w:r>
    </w:p>
    <w:p>
      <w:pPr>
        <w:pStyle w:val="Normal"/>
        <w:pBdr>
          <w:bottom w:val="single" w:sz="4" w:space="2" w:color="C0392B"/>
        </w:pBdr>
        <w:spacing w:before="0" w:after="80"/>
        <w:rPr>
          <w:b/>
          <w:color w:val="C0392B"/>
          <w:sz w:val="30"/>
        </w:rPr>
      </w:pPr>
      <w:r>
        <w:rPr>
          <w:b/>
          <w:color w:val="C0392B"/>
          <w:sz w:val="30"/>
        </w:rPr>
      </w:r>
    </w:p>
    <w:p>
      <w:pPr>
        <w:pStyle w:val="Normal"/>
        <w:pBdr>
          <w:bottom w:val="single" w:sz="4" w:space="2" w:color="C0392B"/>
        </w:pBdr>
        <w:spacing w:before="0" w:after="80"/>
        <w:rPr>
          <w:b/>
          <w:color w:val="C0392B"/>
          <w:sz w:val="30"/>
        </w:rPr>
      </w:pPr>
      <w:r>
        <w:rPr>
          <w:b/>
          <w:color w:val="C0392B"/>
          <w:sz w:val="30"/>
        </w:rPr>
      </w:r>
    </w:p>
    <w:p>
      <w:pPr>
        <w:pStyle w:val="Normal"/>
        <w:pBdr>
          <w:bottom w:val="single" w:sz="4" w:space="2" w:color="C0392B"/>
        </w:pBdr>
        <w:spacing w:before="0" w:after="80"/>
        <w:rPr>
          <w:b/>
          <w:color w:val="C0392B"/>
          <w:sz w:val="30"/>
        </w:rPr>
      </w:pPr>
      <w:r>
        <w:rPr>
          <w:b/>
          <w:color w:val="C0392B"/>
          <w:sz w:val="30"/>
        </w:rPr>
      </w:r>
    </w:p>
    <w:p>
      <w:pPr>
        <w:pStyle w:val="Normal"/>
        <w:pBdr>
          <w:bottom w:val="single" w:sz="4" w:space="2" w:color="C0392B"/>
        </w:pBdr>
        <w:spacing w:before="0" w:after="80"/>
        <w:rPr>
          <w:b/>
          <w:color w:val="C0392B"/>
          <w:sz w:val="30"/>
        </w:rPr>
      </w:pPr>
      <w:r>
        <w:rPr>
          <w:b/>
          <w:color w:val="C0392B"/>
          <w:sz w:val="30"/>
        </w:rPr>
      </w:r>
    </w:p>
    <w:p>
      <w:pPr>
        <w:pStyle w:val="Normal"/>
        <w:pBdr>
          <w:bottom w:val="single" w:sz="4" w:space="2" w:color="C0392B"/>
        </w:pBdr>
        <w:spacing w:before="0" w:after="80"/>
        <w:rPr>
          <w:b/>
          <w:color w:val="C0392B"/>
          <w:sz w:val="30"/>
        </w:rPr>
      </w:pPr>
      <w:r>
        <w:rPr>
          <w:b/>
          <w:color w:val="C0392B"/>
          <w:sz w:val="30"/>
        </w:rPr>
      </w:r>
    </w:p>
    <w:p>
      <w:pPr>
        <w:pStyle w:val="Normal"/>
        <w:pBdr>
          <w:bottom w:val="single" w:sz="4" w:space="2" w:color="C0392B"/>
        </w:pBdr>
        <w:spacing w:before="0" w:after="80"/>
        <w:rPr>
          <w:b/>
          <w:color w:val="C0392B"/>
          <w:sz w:val="30"/>
        </w:rPr>
      </w:pPr>
      <w:r>
        <w:rPr>
          <w:b/>
          <w:color w:val="C0392B"/>
          <w:sz w:val="30"/>
        </w:rPr>
      </w:r>
    </w:p>
    <w:p>
      <w:pPr>
        <w:pStyle w:val="Normal"/>
        <w:pBdr>
          <w:bottom w:val="single" w:sz="4" w:space="2" w:color="C0392B"/>
        </w:pBdr>
        <w:spacing w:before="0" w:after="80"/>
        <w:rPr>
          <w:b/>
          <w:color w:val="C0392B"/>
          <w:sz w:val="30"/>
        </w:rPr>
      </w:pPr>
      <w:r>
        <w:rPr>
          <w:b/>
          <w:color w:val="C0392B"/>
          <w:sz w:val="30"/>
        </w:rPr>
      </w:r>
    </w:p>
    <w:p>
      <w:pPr>
        <w:pStyle w:val="Normal"/>
        <w:pBdr>
          <w:bottom w:val="single" w:sz="4" w:space="2" w:color="C0392B"/>
        </w:pBdr>
        <w:spacing w:before="0" w:after="80"/>
        <w:rPr>
          <w:b/>
          <w:color w:val="C0392B"/>
          <w:sz w:val="30"/>
        </w:rPr>
      </w:pPr>
      <w:r>
        <w:rPr>
          <w:b/>
          <w:color w:val="C0392B"/>
          <w:sz w:val="30"/>
        </w:rPr>
      </w:r>
    </w:p>
    <w:p>
      <w:pPr>
        <w:pStyle w:val="Normal"/>
        <w:pBdr>
          <w:bottom w:val="single" w:sz="4" w:space="2" w:color="C0392B"/>
        </w:pBdr>
        <w:spacing w:before="0" w:after="80"/>
        <w:rPr>
          <w:b/>
          <w:color w:val="C0392B"/>
          <w:sz w:val="30"/>
        </w:rPr>
      </w:pPr>
      <w:r>
        <w:rPr>
          <w:b/>
          <w:color w:val="C0392B"/>
          <w:sz w:val="30"/>
        </w:rPr>
        <w:t>4. Task 2 — Network Traffic Analysis</w:t>
      </w:r>
    </w:p>
    <w:p>
      <w:pPr>
        <w:pStyle w:val="Normal"/>
        <w:spacing w:before="0" w:after="120"/>
        <w:rPr/>
      </w:pPr>
      <w:r>
        <w:rPr/>
        <w:t xml:space="preserve">Wireshark was used to capture live network traffic on the vmnet1 (Host-Only) interface during active interaction with the target. The goal was to observe </w:t>
      </w:r>
      <w:r>
        <w:rPr/>
        <w:t>and</w:t>
      </w:r>
      <w:r>
        <w:rPr/>
        <w:t xml:space="preserve"> identify cleartext credential exposure, and understand what information is visible to anyone on the same network segment.</w:t>
      </w:r>
    </w:p>
    <w:p>
      <w:pPr>
        <w:pStyle w:val="Normal"/>
        <w:spacing w:before="280" w:after="80"/>
        <w:rPr>
          <w:b/>
          <w:color w:val="C0392B"/>
          <w:sz w:val="26"/>
        </w:rPr>
      </w:pPr>
      <w:r>
        <w:rPr>
          <w:b/>
          <w:color w:val="C0392B"/>
          <w:sz w:val="26"/>
        </w:rPr>
        <w:t>4.1  HTTP Traffic Capture</w:t>
      </w:r>
    </w:p>
    <w:p>
      <w:pPr>
        <w:pStyle w:val="Normal"/>
        <w:spacing w:before="0" w:after="120"/>
        <w:rPr/>
      </w:pPr>
      <w:r>
        <w:rPr/>
        <w:t>HTTP traffic between Kali and the Metasploitable web server (port 80) was captured. The packet inspection pane shows a POST request with form data — including field names and values — fully visible in plaintext. No decryption was needed.</w:t>
      </w:r>
    </w:p>
    <w:p>
      <w:pPr>
        <w:pStyle w:val="Normal"/>
        <w:jc w:val="center"/>
        <w:rPr/>
      </w:pPr>
      <w:r>
        <w:rPr/>
        <w:drawing>
          <wp:inline distT="0" distB="0" distL="0" distR="0">
            <wp:extent cx="5029200" cy="2691130"/>
            <wp:effectExtent l="0" t="0" r="0" b="0"/>
            <wp:docPr id="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5"/>
                    <pic:cNvPicPr>
                      <a:picLocks noChangeAspect="1" noChangeArrowheads="1"/>
                    </pic:cNvPicPr>
                  </pic:nvPicPr>
                  <pic:blipFill>
                    <a:blip r:embed="rId15"/>
                    <a:stretch>
                      <a:fillRect/>
                    </a:stretch>
                  </pic:blipFill>
                  <pic:spPr bwMode="auto">
                    <a:xfrm>
                      <a:off x="0" y="0"/>
                      <a:ext cx="5029200" cy="2691130"/>
                    </a:xfrm>
                    <a:prstGeom prst="rect">
                      <a:avLst/>
                    </a:prstGeom>
                    <a:noFill/>
                  </pic:spPr>
                </pic:pic>
              </a:graphicData>
            </a:graphic>
          </wp:inline>
        </w:drawing>
      </w:r>
    </w:p>
    <w:p>
      <w:pPr>
        <w:pStyle w:val="Normal"/>
        <w:spacing w:before="40" w:after="200"/>
        <w:jc w:val="center"/>
        <w:rPr>
          <w:i/>
          <w:color w:val="888888"/>
          <w:sz w:val="18"/>
        </w:rPr>
      </w:pPr>
      <w:r>
        <w:rPr>
          <w:i/>
          <w:color w:val="888888"/>
          <w:sz w:val="18"/>
        </w:rPr>
        <w:t>Figure 15 — HTTP POST request captured: form data visible in cleartext</w:t>
      </w:r>
    </w:p>
    <w:p>
      <w:pPr>
        <w:pStyle w:val="Normal"/>
        <w:spacing w:before="280" w:after="80"/>
        <w:rPr>
          <w:b/>
          <w:color w:val="C0392B"/>
          <w:sz w:val="26"/>
        </w:rPr>
      </w:pPr>
      <w:r>
        <w:rPr>
          <w:b/>
          <w:color w:val="C0392B"/>
          <w:sz w:val="26"/>
        </w:rPr>
        <w:t>4.2  Traffic Overview — Multiple Protocols</w:t>
      </w:r>
    </w:p>
    <w:p>
      <w:pPr>
        <w:pStyle w:val="Normal"/>
        <w:jc w:val="center"/>
        <w:rPr/>
      </w:pPr>
      <w:r>
        <w:rPr/>
        <w:drawing>
          <wp:inline distT="0" distB="0" distL="0" distR="0">
            <wp:extent cx="5029200" cy="1287145"/>
            <wp:effectExtent l="0" t="0" r="0" b="0"/>
            <wp:docPr id="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6"/>
                    <pic:cNvPicPr>
                      <a:picLocks noChangeAspect="1" noChangeArrowheads="1"/>
                    </pic:cNvPicPr>
                  </pic:nvPicPr>
                  <pic:blipFill>
                    <a:blip r:embed="rId16"/>
                    <a:stretch>
                      <a:fillRect/>
                    </a:stretch>
                  </pic:blipFill>
                  <pic:spPr bwMode="auto">
                    <a:xfrm>
                      <a:off x="0" y="0"/>
                      <a:ext cx="5029200" cy="1287145"/>
                    </a:xfrm>
                    <a:prstGeom prst="rect">
                      <a:avLst/>
                    </a:prstGeom>
                    <a:noFill/>
                  </pic:spPr>
                </pic:pic>
              </a:graphicData>
            </a:graphic>
          </wp:inline>
        </w:drawing>
      </w:r>
    </w:p>
    <w:p>
      <w:pPr>
        <w:pStyle w:val="Normal"/>
        <w:spacing w:before="40" w:after="200"/>
        <w:jc w:val="center"/>
        <w:rPr>
          <w:i/>
          <w:color w:val="888888"/>
          <w:sz w:val="18"/>
        </w:rPr>
      </w:pPr>
      <w:r>
        <w:rPr>
          <w:i/>
          <w:color w:val="888888"/>
          <w:sz w:val="18"/>
        </w:rPr>
        <w:t>Figure 16 — Wireshark packet list: HTTP, TCP, and other protocol traffic visible</w:t>
      </w:r>
    </w:p>
    <w:p>
      <w:pPr>
        <w:pStyle w:val="Normal"/>
        <w:spacing w:before="280" w:after="80"/>
        <w:rPr>
          <w:b/>
          <w:color w:val="C0392B"/>
          <w:sz w:val="26"/>
        </w:rPr>
      </w:pPr>
      <w:r>
        <w:rPr>
          <w:b/>
          <w:color w:val="C0392B"/>
          <w:sz w:val="26"/>
        </w:rPr>
      </w:r>
    </w:p>
    <w:p>
      <w:pPr>
        <w:pStyle w:val="Normal"/>
        <w:spacing w:before="280" w:after="80"/>
        <w:rPr>
          <w:b/>
          <w:color w:val="C0392B"/>
          <w:sz w:val="26"/>
        </w:rPr>
      </w:pPr>
      <w:r>
        <w:rPr>
          <w:b/>
          <w:color w:val="C0392B"/>
          <w:sz w:val="26"/>
        </w:rPr>
      </w:r>
    </w:p>
    <w:p>
      <w:pPr>
        <w:pStyle w:val="Normal"/>
        <w:spacing w:before="280" w:after="80"/>
        <w:rPr>
          <w:b/>
          <w:color w:val="C0392B"/>
          <w:sz w:val="26"/>
        </w:rPr>
      </w:pPr>
      <w:r>
        <w:rPr>
          <w:b/>
          <w:color w:val="C0392B"/>
          <w:sz w:val="26"/>
        </w:rPr>
      </w:r>
    </w:p>
    <w:p>
      <w:pPr>
        <w:pStyle w:val="Normal"/>
        <w:spacing w:before="280" w:after="80"/>
        <w:rPr>
          <w:b/>
          <w:color w:val="C0392B"/>
          <w:sz w:val="26"/>
        </w:rPr>
      </w:pPr>
      <w:r>
        <w:rPr>
          <w:b/>
          <w:color w:val="C0392B"/>
          <w:sz w:val="26"/>
        </w:rPr>
        <w:t>4.3  FTP Credentials in Plaintext</w:t>
      </w:r>
    </w:p>
    <w:p>
      <w:pPr>
        <w:pStyle w:val="Normal"/>
        <w:spacing w:before="0" w:after="120"/>
        <w:rPr/>
      </w:pPr>
      <w:r>
        <w:rPr/>
        <w:t>FTP login packets were captured and inspected. The USER and PASS commands are sent in cleartext — the username "anonymous" and password "pass" are directly readable.</w:t>
      </w:r>
    </w:p>
    <w:p>
      <w:pPr>
        <w:pStyle w:val="Normal"/>
        <w:spacing w:before="0" w:after="120"/>
        <w:rPr/>
      </w:pPr>
      <w:r>
        <w:rPr/>
      </w:r>
    </w:p>
    <w:p>
      <w:pPr>
        <w:pStyle w:val="Normal"/>
        <w:jc w:val="center"/>
        <w:rPr/>
      </w:pPr>
      <w:r>
        <w:rPr/>
        <w:drawing>
          <wp:inline distT="0" distB="0" distL="0" distR="0">
            <wp:extent cx="5029200" cy="1367155"/>
            <wp:effectExtent l="0" t="0" r="0" b="0"/>
            <wp:docPr id="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7"/>
                    <pic:cNvPicPr>
                      <a:picLocks noChangeAspect="1" noChangeArrowheads="1"/>
                    </pic:cNvPicPr>
                  </pic:nvPicPr>
                  <pic:blipFill>
                    <a:blip r:embed="rId17"/>
                    <a:stretch>
                      <a:fillRect/>
                    </a:stretch>
                  </pic:blipFill>
                  <pic:spPr bwMode="auto">
                    <a:xfrm>
                      <a:off x="0" y="0"/>
                      <a:ext cx="5029200" cy="1367155"/>
                    </a:xfrm>
                    <a:prstGeom prst="rect">
                      <a:avLst/>
                    </a:prstGeom>
                    <a:noFill/>
                  </pic:spPr>
                </pic:pic>
              </a:graphicData>
            </a:graphic>
          </wp:inline>
        </w:drawing>
      </w:r>
    </w:p>
    <w:p>
      <w:pPr>
        <w:pStyle w:val="Normal"/>
        <w:spacing w:before="40" w:after="200"/>
        <w:jc w:val="center"/>
        <w:rPr>
          <w:i/>
          <w:color w:val="888888"/>
          <w:sz w:val="18"/>
        </w:rPr>
      </w:pPr>
      <w:r>
        <w:rPr>
          <w:i/>
          <w:color w:val="888888"/>
          <w:sz w:val="18"/>
        </w:rPr>
        <w:t>Figure 17 — FTP USER anonymous captured in plaintext (Frame 188)</w:t>
      </w:r>
    </w:p>
    <w:p>
      <w:pPr>
        <w:pStyle w:val="Normal"/>
        <w:jc w:val="center"/>
        <w:rPr/>
      </w:pPr>
      <w:r>
        <w:rPr/>
        <w:drawing>
          <wp:inline distT="0" distB="0" distL="0" distR="0">
            <wp:extent cx="5029200" cy="1524635"/>
            <wp:effectExtent l="0" t="0" r="0" b="0"/>
            <wp:docPr id="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8"/>
                    <pic:cNvPicPr>
                      <a:picLocks noChangeAspect="1" noChangeArrowheads="1"/>
                    </pic:cNvPicPr>
                  </pic:nvPicPr>
                  <pic:blipFill>
                    <a:blip r:embed="rId18"/>
                    <a:stretch>
                      <a:fillRect/>
                    </a:stretch>
                  </pic:blipFill>
                  <pic:spPr bwMode="auto">
                    <a:xfrm>
                      <a:off x="0" y="0"/>
                      <a:ext cx="5029200" cy="1524635"/>
                    </a:xfrm>
                    <a:prstGeom prst="rect">
                      <a:avLst/>
                    </a:prstGeom>
                    <a:noFill/>
                  </pic:spPr>
                </pic:pic>
              </a:graphicData>
            </a:graphic>
          </wp:inline>
        </w:drawing>
      </w:r>
    </w:p>
    <w:p>
      <w:pPr>
        <w:pStyle w:val="Normal"/>
        <w:spacing w:before="40" w:after="200"/>
        <w:jc w:val="center"/>
        <w:rPr>
          <w:i/>
          <w:color w:val="888888"/>
          <w:sz w:val="18"/>
        </w:rPr>
      </w:pPr>
      <w:r>
        <w:rPr>
          <w:i/>
          <w:color w:val="888888"/>
          <w:sz w:val="18"/>
        </w:rPr>
        <w:t>Figure 18 — FTP PASS captured in plaintext — password visible in packet (Frame 192)</w:t>
      </w:r>
    </w:p>
    <w:p>
      <w:pPr>
        <w:pStyle w:val="Normal"/>
        <w:spacing w:before="280" w:after="80"/>
        <w:rPr>
          <w:b/>
          <w:color w:val="C0392B"/>
          <w:sz w:val="26"/>
        </w:rPr>
      </w:pPr>
      <w:r>
        <w:rPr>
          <w:b/>
          <w:color w:val="C0392B"/>
          <w:sz w:val="26"/>
        </w:rPr>
        <w:t>4.4  Telnet Session — Unencrypted Terminal</w:t>
      </w:r>
    </w:p>
    <w:p>
      <w:pPr>
        <w:pStyle w:val="Normal"/>
        <w:spacing w:before="0" w:after="120"/>
        <w:rPr/>
      </w:pPr>
      <w:r>
        <w:rPr/>
        <w:t>A Telnet connection from the target to the host was captured. Every command in a Telnet session is transmitted as plaintext.</w:t>
      </w:r>
    </w:p>
    <w:p>
      <w:pPr>
        <w:pStyle w:val="Normal"/>
        <w:jc w:val="center"/>
        <w:rPr/>
      </w:pPr>
      <w:r>
        <w:rPr/>
        <w:drawing>
          <wp:inline distT="0" distB="0" distL="0" distR="0">
            <wp:extent cx="5029200" cy="2370455"/>
            <wp:effectExtent l="0" t="0" r="0" b="0"/>
            <wp:docPr id="1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9"/>
                    <pic:cNvPicPr>
                      <a:picLocks noChangeAspect="1" noChangeArrowheads="1"/>
                    </pic:cNvPicPr>
                  </pic:nvPicPr>
                  <pic:blipFill>
                    <a:blip r:embed="rId19"/>
                    <a:stretch>
                      <a:fillRect/>
                    </a:stretch>
                  </pic:blipFill>
                  <pic:spPr bwMode="auto">
                    <a:xfrm>
                      <a:off x="0" y="0"/>
                      <a:ext cx="5029200" cy="2370455"/>
                    </a:xfrm>
                    <a:prstGeom prst="rect">
                      <a:avLst/>
                    </a:prstGeom>
                    <a:noFill/>
                  </pic:spPr>
                </pic:pic>
              </a:graphicData>
            </a:graphic>
          </wp:inline>
        </w:drawing>
      </w:r>
    </w:p>
    <w:p>
      <w:pPr>
        <w:pStyle w:val="Normal"/>
        <w:spacing w:before="40" w:after="200"/>
        <w:jc w:val="center"/>
        <w:rPr>
          <w:i/>
          <w:color w:val="888888"/>
          <w:sz w:val="18"/>
        </w:rPr>
      </w:pPr>
      <w:r>
        <w:rPr>
          <w:i/>
          <w:color w:val="888888"/>
          <w:sz w:val="18"/>
        </w:rPr>
        <w:t>Figure 19 — Telnet packet decoded: Terminal Type and Speed negotiation visible in Frame 251</w:t>
      </w:r>
    </w:p>
    <w:p>
      <w:pPr>
        <w:pStyle w:val="Normal"/>
        <w:spacing w:before="280" w:after="80"/>
        <w:rPr/>
      </w:pPr>
      <w:r>
        <w:rPr>
          <w:b/>
          <w:color w:val="C0392B"/>
          <w:sz w:val="26"/>
        </w:rPr>
        <w:t>4.5  RPC  Traffic</w:t>
      </w:r>
    </w:p>
    <w:p>
      <w:pPr>
        <w:pStyle w:val="Normal"/>
        <w:jc w:val="center"/>
        <w:rPr/>
      </w:pPr>
      <w:r>
        <w:rPr/>
        <w:drawing>
          <wp:inline distT="0" distB="0" distL="0" distR="0">
            <wp:extent cx="5029200" cy="1658620"/>
            <wp:effectExtent l="0" t="0" r="0" b="0"/>
            <wp:docPr id="1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0"/>
                    <pic:cNvPicPr>
                      <a:picLocks noChangeAspect="1" noChangeArrowheads="1"/>
                    </pic:cNvPicPr>
                  </pic:nvPicPr>
                  <pic:blipFill>
                    <a:blip r:embed="rId20"/>
                    <a:stretch>
                      <a:fillRect/>
                    </a:stretch>
                  </pic:blipFill>
                  <pic:spPr bwMode="auto">
                    <a:xfrm>
                      <a:off x="0" y="0"/>
                      <a:ext cx="5029200" cy="1658620"/>
                    </a:xfrm>
                    <a:prstGeom prst="rect">
                      <a:avLst/>
                    </a:prstGeom>
                    <a:noFill/>
                  </pic:spPr>
                </pic:pic>
              </a:graphicData>
            </a:graphic>
          </wp:inline>
        </w:drawing>
      </w:r>
    </w:p>
    <w:p>
      <w:pPr>
        <w:pStyle w:val="Normal"/>
        <w:spacing w:before="40" w:after="200"/>
        <w:jc w:val="center"/>
        <w:rPr>
          <w:i/>
          <w:color w:val="888888"/>
          <w:sz w:val="18"/>
        </w:rPr>
      </w:pPr>
      <w:r>
        <w:rPr>
          <w:i/>
          <w:color w:val="888888"/>
          <w:sz w:val="18"/>
        </w:rPr>
        <w:t>Figure 20 — RPC Portmap DUMP call captured (Frame 292) — NFS service enumeration</w:t>
      </w:r>
    </w:p>
    <w:p>
      <w:pPr>
        <w:pStyle w:val="Normal"/>
        <w:spacing w:before="280" w:after="80"/>
        <w:rPr>
          <w:b/>
          <w:color w:val="C0392B"/>
          <w:sz w:val="26"/>
        </w:rPr>
      </w:pPr>
      <w:r>
        <w:rPr>
          <w:b/>
          <w:color w:val="C0392B"/>
          <w:sz w:val="26"/>
        </w:rPr>
        <w:t>4.6  Filters Used</w:t>
      </w:r>
    </w:p>
    <w:tbl>
      <w:tblPr>
        <w:tblW w:w="9405" w:type="dxa"/>
        <w:jc w:val="center"/>
        <w:tblInd w:w="0" w:type="dxa"/>
        <w:tblLayout w:type="fixed"/>
        <w:tblCellMar>
          <w:top w:w="0" w:type="dxa"/>
          <w:start w:w="108" w:type="dxa"/>
          <w:bottom w:w="0" w:type="dxa"/>
          <w:end w:w="108" w:type="dxa"/>
        </w:tblCellMar>
      </w:tblPr>
      <w:tblGrid>
        <w:gridCol w:w="3135"/>
        <w:gridCol w:w="3135"/>
        <w:gridCol w:w="3135"/>
      </w:tblGrid>
      <w:tr>
        <w:trPr/>
        <w:tc>
          <w:tcPr>
            <w:tcW w:w="3135" w:type="dxa"/>
            <w:tcBorders>
              <w:top w:val="single" w:sz="4" w:space="0" w:color="000000"/>
              <w:start w:val="single" w:sz="4" w:space="0" w:color="000000"/>
              <w:bottom w:val="single" w:sz="4" w:space="0" w:color="000000"/>
              <w:end w:val="single" w:sz="4" w:space="0" w:color="000000"/>
            </w:tcBorders>
            <w:shd w:fill="1A1A2E" w:val="clear"/>
          </w:tcPr>
          <w:p>
            <w:pPr>
              <w:pStyle w:val="Normal"/>
              <w:widowControl/>
              <w:spacing w:lineRule="auto" w:line="240" w:before="0" w:after="0"/>
              <w:jc w:val="center"/>
              <w:rPr>
                <w:rFonts w:eastAsia="ＭＳ 明朝"/>
                <w:b/>
                <w:color w:val="FFFFFF"/>
                <w:kern w:val="0"/>
                <w:sz w:val="20"/>
                <w:szCs w:val="22"/>
                <w:lang w:val="en-US" w:eastAsia="en-US" w:bidi="ar-SA"/>
              </w:rPr>
            </w:pPr>
            <w:r>
              <w:rPr>
                <w:rFonts w:eastAsia="ＭＳ 明朝"/>
                <w:b/>
                <w:color w:val="FFFFFF"/>
                <w:kern w:val="0"/>
                <w:sz w:val="20"/>
                <w:szCs w:val="22"/>
                <w:lang w:val="en-US" w:eastAsia="en-US" w:bidi="ar-SA"/>
              </w:rPr>
              <w:t>Filter Expression</w:t>
            </w:r>
          </w:p>
        </w:tc>
        <w:tc>
          <w:tcPr>
            <w:tcW w:w="3135" w:type="dxa"/>
            <w:tcBorders>
              <w:top w:val="single" w:sz="4" w:space="0" w:color="000000"/>
              <w:start w:val="single" w:sz="4" w:space="0" w:color="000000"/>
              <w:bottom w:val="single" w:sz="4" w:space="0" w:color="000000"/>
              <w:end w:val="single" w:sz="4" w:space="0" w:color="000000"/>
            </w:tcBorders>
            <w:shd w:fill="1A1A2E" w:val="clear"/>
          </w:tcPr>
          <w:p>
            <w:pPr>
              <w:pStyle w:val="Normal"/>
              <w:widowControl/>
              <w:spacing w:lineRule="auto" w:line="240" w:before="0" w:after="0"/>
              <w:jc w:val="center"/>
              <w:rPr>
                <w:rFonts w:eastAsia="ＭＳ 明朝"/>
                <w:b/>
                <w:color w:val="FFFFFF"/>
                <w:kern w:val="0"/>
                <w:sz w:val="20"/>
                <w:szCs w:val="22"/>
                <w:lang w:val="en-US" w:eastAsia="en-US" w:bidi="ar-SA"/>
              </w:rPr>
            </w:pPr>
            <w:r>
              <w:rPr>
                <w:rFonts w:eastAsia="ＭＳ 明朝"/>
                <w:b/>
                <w:color w:val="FFFFFF"/>
                <w:kern w:val="0"/>
                <w:sz w:val="20"/>
                <w:szCs w:val="22"/>
                <w:lang w:val="en-US" w:eastAsia="en-US" w:bidi="ar-SA"/>
              </w:rPr>
              <w:t>Purpose</w:t>
            </w:r>
          </w:p>
        </w:tc>
        <w:tc>
          <w:tcPr>
            <w:tcW w:w="3135" w:type="dxa"/>
            <w:tcBorders>
              <w:top w:val="single" w:sz="4" w:space="0" w:color="000000"/>
              <w:start w:val="single" w:sz="4" w:space="0" w:color="000000"/>
              <w:bottom w:val="single" w:sz="4" w:space="0" w:color="000000"/>
              <w:end w:val="single" w:sz="4" w:space="0" w:color="000000"/>
            </w:tcBorders>
            <w:shd w:fill="1A1A2E" w:val="clear"/>
          </w:tcPr>
          <w:p>
            <w:pPr>
              <w:pStyle w:val="Normal"/>
              <w:widowControl/>
              <w:spacing w:lineRule="auto" w:line="240" w:before="0" w:after="0"/>
              <w:jc w:val="center"/>
              <w:rPr>
                <w:rFonts w:eastAsia="ＭＳ 明朝"/>
                <w:b/>
                <w:color w:val="FFFFFF"/>
                <w:kern w:val="0"/>
                <w:sz w:val="20"/>
                <w:szCs w:val="22"/>
                <w:lang w:val="en-US" w:eastAsia="en-US" w:bidi="ar-SA"/>
              </w:rPr>
            </w:pPr>
            <w:r>
              <w:rPr>
                <w:rFonts w:eastAsia="ＭＳ 明朝"/>
                <w:b/>
                <w:color w:val="FFFFFF"/>
                <w:kern w:val="0"/>
                <w:sz w:val="20"/>
                <w:szCs w:val="22"/>
                <w:lang w:val="en-US" w:eastAsia="en-US" w:bidi="ar-SA"/>
              </w:rPr>
              <w:t>What Was Found</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tcp.port == 21</w:t>
            </w:r>
          </w:p>
        </w:tc>
        <w:tc>
          <w:tcPr>
            <w:tcW w:w="3135"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FTP traffic</w:t>
            </w:r>
          </w:p>
        </w:tc>
        <w:tc>
          <w:tcPr>
            <w:tcW w:w="3135"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USER/PASS in plaintext</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http</w:t>
            </w:r>
          </w:p>
        </w:tc>
        <w:tc>
          <w:tcPr>
            <w:tcW w:w="3135"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HTTP requests</w:t>
            </w:r>
          </w:p>
        </w:tc>
        <w:tc>
          <w:tcPr>
            <w:tcW w:w="3135"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Form data, server headers</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tcp.port == 23</w:t>
            </w:r>
          </w:p>
        </w:tc>
        <w:tc>
          <w:tcPr>
            <w:tcW w:w="3135"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Telnet traffic</w:t>
            </w:r>
          </w:p>
        </w:tc>
        <w:tc>
          <w:tcPr>
            <w:tcW w:w="3135"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Full unencrypted session</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tcp.port == 111</w:t>
            </w:r>
          </w:p>
        </w:tc>
        <w:tc>
          <w:tcPr>
            <w:tcW w:w="3135"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RPC traffic</w:t>
            </w:r>
          </w:p>
        </w:tc>
        <w:tc>
          <w:tcPr>
            <w:tcW w:w="3135"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NFS/Portmap enumeration</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icmp</w:t>
            </w:r>
          </w:p>
        </w:tc>
        <w:tc>
          <w:tcPr>
            <w:tcW w:w="3135"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Ping verification</w:t>
            </w:r>
          </w:p>
        </w:tc>
        <w:tc>
          <w:tcPr>
            <w:tcW w:w="3135"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Host alive confirmation</w:t>
            </w:r>
          </w:p>
        </w:tc>
      </w:tr>
    </w:tbl>
    <w:p>
      <w:pPr>
        <w:pStyle w:val="Normal"/>
        <w:pBdr>
          <w:bottom w:val="single" w:sz="4" w:space="2" w:color="C0392B"/>
        </w:pBdr>
        <w:spacing w:before="0" w:after="80"/>
        <w:rPr>
          <w:b/>
          <w:color w:val="C0392B"/>
          <w:sz w:val="30"/>
        </w:rPr>
      </w:pPr>
      <w:r>
        <w:rPr>
          <w:b/>
          <w:color w:val="C0392B"/>
          <w:sz w:val="30"/>
        </w:rPr>
      </w:r>
    </w:p>
    <w:p>
      <w:pPr>
        <w:pStyle w:val="Normal"/>
        <w:pBdr>
          <w:bottom w:val="single" w:sz="4" w:space="2" w:color="C0392B"/>
        </w:pBdr>
        <w:spacing w:before="0" w:after="80"/>
        <w:rPr>
          <w:b/>
          <w:color w:val="C0392B"/>
          <w:sz w:val="30"/>
        </w:rPr>
      </w:pPr>
      <w:r>
        <w:rPr>
          <w:b/>
          <w:color w:val="C0392B"/>
          <w:sz w:val="30"/>
        </w:rPr>
        <w:t>5. Task 3 — Basic Exploitation</w:t>
      </w:r>
    </w:p>
    <w:p>
      <w:pPr>
        <w:pStyle w:val="Normal"/>
        <w:spacing w:before="0" w:after="120"/>
        <w:rPr/>
      </w:pPr>
      <w:r>
        <w:rPr/>
        <w:t>The exploitation task targeted CVE-2011-2523 — a backdoor deliberately introduced into vsftpd 2.3.4 in 2011. When a username containing ":)" is sent to the FTP service, the backdoor opens a bind shell on TCP port 6200, giving the connecting client a root shell with no password required. The Metasploit Framework was used to automate this.</w:t>
      </w:r>
    </w:p>
    <w:p>
      <w:pPr>
        <w:pStyle w:val="Normal"/>
        <w:spacing w:before="280" w:after="80"/>
        <w:rPr>
          <w:b/>
          <w:color w:val="C0392B"/>
          <w:sz w:val="26"/>
        </w:rPr>
      </w:pPr>
      <w:r>
        <w:rPr>
          <w:b/>
          <w:color w:val="C0392B"/>
          <w:sz w:val="26"/>
        </w:rPr>
        <w:t>5.1  Vulnerability Details</w:t>
      </w:r>
    </w:p>
    <w:tbl>
      <w:tblPr>
        <w:tblW w:w="9406" w:type="dxa"/>
        <w:jc w:val="center"/>
        <w:tblInd w:w="0" w:type="dxa"/>
        <w:tblLayout w:type="fixed"/>
        <w:tblCellMar>
          <w:top w:w="0" w:type="dxa"/>
          <w:start w:w="108" w:type="dxa"/>
          <w:bottom w:w="0" w:type="dxa"/>
          <w:end w:w="108" w:type="dxa"/>
        </w:tblCellMar>
      </w:tblPr>
      <w:tblGrid>
        <w:gridCol w:w="4703"/>
        <w:gridCol w:w="4703"/>
      </w:tblGrid>
      <w:tr>
        <w:trPr/>
        <w:tc>
          <w:tcPr>
            <w:tcW w:w="4703" w:type="dxa"/>
            <w:tcBorders>
              <w:top w:val="single" w:sz="4" w:space="0" w:color="000000"/>
              <w:start w:val="single" w:sz="4" w:space="0" w:color="000000"/>
              <w:bottom w:val="single" w:sz="4" w:space="0" w:color="000000"/>
              <w:end w:val="single" w:sz="4" w:space="0" w:color="000000"/>
            </w:tcBorders>
            <w:shd w:fill="1A1A2E" w:val="clear"/>
          </w:tcPr>
          <w:p>
            <w:pPr>
              <w:pStyle w:val="Normal"/>
              <w:widowControl/>
              <w:spacing w:lineRule="auto" w:line="240" w:before="0" w:after="0"/>
              <w:jc w:val="center"/>
              <w:rPr>
                <w:rFonts w:eastAsia="ＭＳ 明朝"/>
                <w:b/>
                <w:color w:val="FFFFFF"/>
                <w:kern w:val="0"/>
                <w:sz w:val="20"/>
                <w:szCs w:val="22"/>
                <w:lang w:val="en-US" w:eastAsia="en-US" w:bidi="ar-SA"/>
              </w:rPr>
            </w:pPr>
            <w:r>
              <w:rPr>
                <w:rFonts w:eastAsia="ＭＳ 明朝"/>
                <w:b/>
                <w:color w:val="FFFFFF"/>
                <w:kern w:val="0"/>
                <w:sz w:val="20"/>
                <w:szCs w:val="22"/>
                <w:lang w:val="en-US" w:eastAsia="en-US" w:bidi="ar-SA"/>
              </w:rPr>
              <w:t>Field</w:t>
            </w:r>
          </w:p>
        </w:tc>
        <w:tc>
          <w:tcPr>
            <w:tcW w:w="4703" w:type="dxa"/>
            <w:tcBorders>
              <w:top w:val="single" w:sz="4" w:space="0" w:color="000000"/>
              <w:start w:val="single" w:sz="4" w:space="0" w:color="000000"/>
              <w:bottom w:val="single" w:sz="4" w:space="0" w:color="000000"/>
              <w:end w:val="single" w:sz="4" w:space="0" w:color="000000"/>
            </w:tcBorders>
            <w:shd w:fill="1A1A2E" w:val="clear"/>
          </w:tcPr>
          <w:p>
            <w:pPr>
              <w:pStyle w:val="Normal"/>
              <w:widowControl/>
              <w:spacing w:lineRule="auto" w:line="240" w:before="0" w:after="0"/>
              <w:jc w:val="center"/>
              <w:rPr>
                <w:rFonts w:eastAsia="ＭＳ 明朝"/>
                <w:b/>
                <w:color w:val="FFFFFF"/>
                <w:kern w:val="0"/>
                <w:sz w:val="20"/>
                <w:szCs w:val="22"/>
                <w:lang w:val="en-US" w:eastAsia="en-US" w:bidi="ar-SA"/>
              </w:rPr>
            </w:pPr>
            <w:r>
              <w:rPr>
                <w:rFonts w:eastAsia="ＭＳ 明朝"/>
                <w:b/>
                <w:color w:val="FFFFFF"/>
                <w:kern w:val="0"/>
                <w:sz w:val="20"/>
                <w:szCs w:val="22"/>
                <w:lang w:val="en-US" w:eastAsia="en-US" w:bidi="ar-SA"/>
              </w:rPr>
              <w:t>Detail</w:t>
            </w:r>
          </w:p>
        </w:tc>
      </w:tr>
      <w:tr>
        <w:trPr/>
        <w:tc>
          <w:tcPr>
            <w:tcW w:w="4703"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CVE ID</w:t>
            </w:r>
          </w:p>
        </w:tc>
        <w:tc>
          <w:tcPr>
            <w:tcW w:w="4703"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CVE-2011-2523</w:t>
            </w:r>
          </w:p>
        </w:tc>
      </w:tr>
      <w:tr>
        <w:trPr/>
        <w:tc>
          <w:tcPr>
            <w:tcW w:w="4703"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Affected Software</w:t>
            </w:r>
          </w:p>
        </w:tc>
        <w:tc>
          <w:tcPr>
            <w:tcW w:w="4703"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vsftpd 2.3.4</w:t>
            </w:r>
          </w:p>
        </w:tc>
      </w:tr>
      <w:tr>
        <w:trPr/>
        <w:tc>
          <w:tcPr>
            <w:tcW w:w="4703"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Type</w:t>
            </w:r>
          </w:p>
        </w:tc>
        <w:tc>
          <w:tcPr>
            <w:tcW w:w="4703"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Remote Code Execution — Backdoor</w:t>
            </w:r>
          </w:p>
        </w:tc>
      </w:tr>
      <w:tr>
        <w:trPr/>
        <w:tc>
          <w:tcPr>
            <w:tcW w:w="4703"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Authentication Required</w:t>
            </w:r>
          </w:p>
        </w:tc>
        <w:tc>
          <w:tcPr>
            <w:tcW w:w="4703"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None</w:t>
            </w:r>
          </w:p>
        </w:tc>
      </w:tr>
      <w:tr>
        <w:trPr/>
        <w:tc>
          <w:tcPr>
            <w:tcW w:w="4703"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Metasploit Module</w:t>
            </w:r>
          </w:p>
        </w:tc>
        <w:tc>
          <w:tcPr>
            <w:tcW w:w="4703"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exploit/unix/ftp/vsftpd_234_backdoor</w:t>
            </w:r>
          </w:p>
        </w:tc>
      </w:tr>
      <w:tr>
        <w:trPr/>
        <w:tc>
          <w:tcPr>
            <w:tcW w:w="4703"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Result</w:t>
            </w:r>
          </w:p>
        </w:tc>
        <w:tc>
          <w:tcPr>
            <w:tcW w:w="4703"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Root shell on target system</w:t>
            </w:r>
          </w:p>
        </w:tc>
      </w:tr>
    </w:tbl>
    <w:p>
      <w:pPr>
        <w:pStyle w:val="Normal"/>
        <w:rPr/>
      </w:pPr>
      <w:r>
        <w:rPr/>
      </w:r>
    </w:p>
    <w:p>
      <w:pPr>
        <w:pStyle w:val="Normal"/>
        <w:spacing w:before="280" w:after="80"/>
        <w:rPr>
          <w:b/>
          <w:color w:val="C0392B"/>
          <w:sz w:val="26"/>
        </w:rPr>
      </w:pPr>
      <w:r>
        <w:rPr>
          <w:b/>
          <w:color w:val="C0392B"/>
          <w:sz w:val="26"/>
        </w:rPr>
      </w:r>
    </w:p>
    <w:p>
      <w:pPr>
        <w:pStyle w:val="Normal"/>
        <w:spacing w:before="280" w:after="80"/>
        <w:rPr>
          <w:b/>
          <w:color w:val="C0392B"/>
          <w:sz w:val="26"/>
        </w:rPr>
      </w:pPr>
      <w:r>
        <w:rPr>
          <w:b/>
          <w:color w:val="C0392B"/>
          <w:sz w:val="26"/>
        </w:rPr>
      </w:r>
    </w:p>
    <w:p>
      <w:pPr>
        <w:pStyle w:val="Normal"/>
        <w:spacing w:before="280" w:after="80"/>
        <w:rPr>
          <w:b/>
          <w:color w:val="C0392B"/>
          <w:sz w:val="26"/>
        </w:rPr>
      </w:pPr>
      <w:r>
        <w:rPr>
          <w:b/>
          <w:color w:val="C0392B"/>
          <w:sz w:val="26"/>
        </w:rPr>
      </w:r>
    </w:p>
    <w:p>
      <w:pPr>
        <w:pStyle w:val="Normal"/>
        <w:spacing w:before="280" w:after="80"/>
        <w:rPr>
          <w:b/>
          <w:color w:val="C0392B"/>
          <w:sz w:val="26"/>
        </w:rPr>
      </w:pPr>
      <w:r>
        <w:rPr>
          <w:b/>
          <w:color w:val="C0392B"/>
          <w:sz w:val="26"/>
        </w:rPr>
      </w:r>
    </w:p>
    <w:p>
      <w:pPr>
        <w:pStyle w:val="Normal"/>
        <w:spacing w:before="280" w:after="80"/>
        <w:rPr>
          <w:b/>
          <w:color w:val="C0392B"/>
          <w:sz w:val="26"/>
        </w:rPr>
      </w:pPr>
      <w:r>
        <w:rPr>
          <w:b/>
          <w:color w:val="C0392B"/>
          <w:sz w:val="26"/>
        </w:rPr>
        <w:t>5.2  Exploitation Steps</w:t>
      </w:r>
    </w:p>
    <w:p>
      <w:pPr>
        <w:pStyle w:val="Normal"/>
        <w:spacing w:before="0" w:after="120"/>
        <w:rPr/>
      </w:pPr>
      <w:r>
        <w:rPr/>
        <w:t>The full Metasploit session is shown below — from searching for the module through to receiving a root shell on the target.</w:t>
      </w:r>
    </w:p>
    <w:p>
      <w:pPr>
        <w:pStyle w:val="Normal"/>
        <w:jc w:val="center"/>
        <w:rPr/>
      </w:pPr>
      <w:r>
        <w:rPr/>
        <w:drawing>
          <wp:inline distT="0" distB="0" distL="0" distR="0">
            <wp:extent cx="4205605" cy="4498975"/>
            <wp:effectExtent l="0" t="0" r="0" b="0"/>
            <wp:docPr id="2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1"/>
                    <pic:cNvPicPr>
                      <a:picLocks noChangeAspect="1" noChangeArrowheads="1"/>
                    </pic:cNvPicPr>
                  </pic:nvPicPr>
                  <pic:blipFill>
                    <a:blip r:embed="rId21"/>
                    <a:stretch>
                      <a:fillRect/>
                    </a:stretch>
                  </pic:blipFill>
                  <pic:spPr bwMode="auto">
                    <a:xfrm>
                      <a:off x="0" y="0"/>
                      <a:ext cx="4205605" cy="4498975"/>
                    </a:xfrm>
                    <a:prstGeom prst="rect">
                      <a:avLst/>
                    </a:prstGeom>
                    <a:noFill/>
                  </pic:spPr>
                </pic:pic>
              </a:graphicData>
            </a:graphic>
          </wp:inline>
        </w:drawing>
      </w:r>
    </w:p>
    <w:p>
      <w:pPr>
        <w:pStyle w:val="Normal"/>
        <w:spacing w:before="40" w:after="200"/>
        <w:jc w:val="center"/>
        <w:rPr>
          <w:i/>
          <w:color w:val="888888"/>
          <w:sz w:val="18"/>
        </w:rPr>
      </w:pPr>
      <w:r>
        <w:rPr>
          <w:i/>
          <w:color w:val="888888"/>
          <w:sz w:val="18"/>
        </w:rPr>
        <w:t>Figure 21 — Metasploit: vsftpd_234_backdoor module configured and executed against 192.168.38.130</w:t>
      </w:r>
    </w:p>
    <w:p>
      <w:pPr>
        <w:pStyle w:val="Normal"/>
        <w:spacing w:before="280" w:after="80"/>
        <w:rPr>
          <w:b/>
          <w:color w:val="C0392B"/>
          <w:sz w:val="26"/>
        </w:rPr>
      </w:pPr>
      <w:r>
        <w:rPr>
          <w:b/>
          <w:color w:val="C0392B"/>
          <w:sz w:val="26"/>
        </w:rPr>
      </w:r>
    </w:p>
    <w:p>
      <w:pPr>
        <w:pStyle w:val="Normal"/>
        <w:spacing w:before="280" w:after="80"/>
        <w:rPr>
          <w:b/>
          <w:color w:val="C0392B"/>
          <w:sz w:val="26"/>
        </w:rPr>
      </w:pPr>
      <w:r>
        <w:rPr>
          <w:b/>
          <w:color w:val="C0392B"/>
          <w:sz w:val="26"/>
        </w:rPr>
      </w:r>
    </w:p>
    <w:p>
      <w:pPr>
        <w:pStyle w:val="Normal"/>
        <w:spacing w:before="280" w:after="80"/>
        <w:rPr>
          <w:b/>
          <w:color w:val="C0392B"/>
          <w:sz w:val="26"/>
        </w:rPr>
      </w:pPr>
      <w:r>
        <w:rPr>
          <w:b/>
          <w:color w:val="C0392B"/>
          <w:sz w:val="26"/>
        </w:rPr>
      </w:r>
    </w:p>
    <w:p>
      <w:pPr>
        <w:pStyle w:val="Normal"/>
        <w:spacing w:before="280" w:after="80"/>
        <w:rPr>
          <w:b/>
          <w:color w:val="C0392B"/>
          <w:sz w:val="26"/>
        </w:rPr>
      </w:pPr>
      <w:r>
        <w:rPr>
          <w:b/>
          <w:color w:val="C0392B"/>
          <w:sz w:val="26"/>
        </w:rPr>
      </w:r>
    </w:p>
    <w:p>
      <w:pPr>
        <w:pStyle w:val="Normal"/>
        <w:spacing w:before="280" w:after="80"/>
        <w:rPr>
          <w:b/>
          <w:color w:val="C0392B"/>
          <w:sz w:val="26"/>
        </w:rPr>
      </w:pPr>
      <w:r>
        <w:rPr>
          <w:b/>
          <w:color w:val="C0392B"/>
          <w:sz w:val="26"/>
        </w:rPr>
      </w:r>
    </w:p>
    <w:p>
      <w:pPr>
        <w:pStyle w:val="Normal"/>
        <w:spacing w:before="280" w:after="80"/>
        <w:rPr>
          <w:b/>
          <w:color w:val="C0392B"/>
          <w:sz w:val="26"/>
        </w:rPr>
      </w:pPr>
      <w:r>
        <w:rPr>
          <w:b/>
          <w:color w:val="C0392B"/>
          <w:sz w:val="26"/>
        </w:rPr>
      </w:r>
    </w:p>
    <w:p>
      <w:pPr>
        <w:pStyle w:val="Normal"/>
        <w:spacing w:before="280" w:after="80"/>
        <w:rPr>
          <w:b/>
          <w:color w:val="C0392B"/>
          <w:sz w:val="26"/>
        </w:rPr>
      </w:pPr>
      <w:r>
        <w:rPr>
          <w:b/>
          <w:color w:val="C0392B"/>
          <w:sz w:val="26"/>
        </w:rPr>
      </w:r>
    </w:p>
    <w:p>
      <w:pPr>
        <w:pStyle w:val="Normal"/>
        <w:spacing w:before="280" w:after="80"/>
        <w:rPr>
          <w:b/>
          <w:color w:val="C0392B"/>
          <w:sz w:val="26"/>
        </w:rPr>
      </w:pPr>
      <w:r>
        <w:rPr>
          <w:b/>
          <w:color w:val="C0392B"/>
          <w:sz w:val="26"/>
        </w:rPr>
        <w:t xml:space="preserve">5.3  Root Shell Obtained </w:t>
      </w:r>
      <w:r>
        <w:rPr>
          <w:b/>
          <w:color w:val="C0392B"/>
          <w:sz w:val="26"/>
        </w:rPr>
        <w:t>in Three Different Protocol</w:t>
      </w:r>
    </w:p>
    <w:p>
      <w:pPr>
        <w:pStyle w:val="Normal"/>
        <w:spacing w:before="0" w:after="120"/>
        <w:rPr/>
      </w:pPr>
      <w:r>
        <w:rPr/>
      </w:r>
    </w:p>
    <w:p>
      <w:pPr>
        <w:pStyle w:val="Normal"/>
        <w:jc w:val="center"/>
        <w:rPr/>
      </w:pPr>
      <w:r>
        <w:rPr/>
        <w:drawing>
          <wp:inline distT="0" distB="0" distL="0" distR="0">
            <wp:extent cx="5029200" cy="4291330"/>
            <wp:effectExtent l="0" t="0" r="0" b="0"/>
            <wp:docPr id="2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2"/>
                    <pic:cNvPicPr>
                      <a:picLocks noChangeAspect="1" noChangeArrowheads="1"/>
                    </pic:cNvPicPr>
                  </pic:nvPicPr>
                  <pic:blipFill>
                    <a:blip r:embed="rId22"/>
                    <a:stretch>
                      <a:fillRect/>
                    </a:stretch>
                  </pic:blipFill>
                  <pic:spPr bwMode="auto">
                    <a:xfrm>
                      <a:off x="0" y="0"/>
                      <a:ext cx="5029200" cy="4291330"/>
                    </a:xfrm>
                    <a:prstGeom prst="rect">
                      <a:avLst/>
                    </a:prstGeom>
                    <a:noFill/>
                  </pic:spPr>
                </pic:pic>
              </a:graphicData>
            </a:graphic>
          </wp:inline>
        </w:drawing>
      </w:r>
    </w:p>
    <w:p>
      <w:pPr>
        <w:pStyle w:val="Normal"/>
        <w:spacing w:before="40" w:after="200"/>
        <w:jc w:val="center"/>
        <w:rPr>
          <w:i/>
          <w:color w:val="888888"/>
          <w:sz w:val="18"/>
        </w:rPr>
      </w:pPr>
      <w:r>
        <w:rPr>
          <w:i/>
          <w:color w:val="888888"/>
          <w:sz w:val="18"/>
        </w:rPr>
        <w:t xml:space="preserve">Figure 22 — Root shell  </w:t>
      </w:r>
      <w:r>
        <w:rPr/>
        <w:drawing>
          <wp:inline distT="0" distB="0" distL="0" distR="0">
            <wp:extent cx="5029200" cy="2804795"/>
            <wp:effectExtent l="0" t="0" r="0" b="0"/>
            <wp:docPr id="2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3"/>
                    <pic:cNvPicPr>
                      <a:picLocks noChangeAspect="1" noChangeArrowheads="1"/>
                    </pic:cNvPicPr>
                  </pic:nvPicPr>
                  <pic:blipFill>
                    <a:blip r:embed="rId23"/>
                    <a:stretch>
                      <a:fillRect/>
                    </a:stretch>
                  </pic:blipFill>
                  <pic:spPr bwMode="auto">
                    <a:xfrm>
                      <a:off x="0" y="0"/>
                      <a:ext cx="5029200" cy="2804795"/>
                    </a:xfrm>
                    <a:prstGeom prst="rect">
                      <a:avLst/>
                    </a:prstGeom>
                    <a:noFill/>
                  </pic:spPr>
                </pic:pic>
              </a:graphicData>
            </a:graphic>
          </wp:inline>
        </w:drawing>
      </w:r>
    </w:p>
    <w:p>
      <w:pPr>
        <w:pStyle w:val="Normal"/>
        <w:spacing w:before="40" w:after="200"/>
        <w:jc w:val="center"/>
        <w:rPr>
          <w:i/>
          <w:color w:val="888888"/>
          <w:sz w:val="18"/>
        </w:rPr>
      </w:pPr>
      <w:r>
        <w:rPr>
          <w:i/>
          <w:color w:val="888888"/>
          <w:sz w:val="18"/>
        </w:rPr>
        <w:t xml:space="preserve">Figure 23 — </w:t>
      </w:r>
      <w:r>
        <w:rPr>
          <w:i/>
          <w:color w:val="888888"/>
          <w:sz w:val="18"/>
        </w:rPr>
        <w:t>rsh</w:t>
      </w:r>
      <w:r>
        <w:rPr>
          <w:i/>
          <w:color w:val="888888"/>
          <w:sz w:val="18"/>
        </w:rPr>
        <w:t xml:space="preserve"> login to Metasploitable, successful authentication</w:t>
      </w:r>
    </w:p>
    <w:p>
      <w:pPr>
        <w:pStyle w:val="Normal"/>
        <w:jc w:val="center"/>
        <w:rPr/>
      </w:pPr>
      <w:r>
        <w:rPr/>
        <w:drawing>
          <wp:inline distT="0" distB="0" distL="0" distR="0">
            <wp:extent cx="5029200" cy="2520315"/>
            <wp:effectExtent l="0" t="0" r="0" b="0"/>
            <wp:docPr id="2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4"/>
                    <pic:cNvPicPr>
                      <a:picLocks noChangeAspect="1" noChangeArrowheads="1"/>
                    </pic:cNvPicPr>
                  </pic:nvPicPr>
                  <pic:blipFill>
                    <a:blip r:embed="rId24"/>
                    <a:stretch>
                      <a:fillRect/>
                    </a:stretch>
                  </pic:blipFill>
                  <pic:spPr bwMode="auto">
                    <a:xfrm>
                      <a:off x="0" y="0"/>
                      <a:ext cx="5029200" cy="2520315"/>
                    </a:xfrm>
                    <a:prstGeom prst="rect">
                      <a:avLst/>
                    </a:prstGeom>
                    <a:noFill/>
                  </pic:spPr>
                </pic:pic>
              </a:graphicData>
            </a:graphic>
          </wp:inline>
        </w:drawing>
      </w:r>
    </w:p>
    <w:p>
      <w:pPr>
        <w:pStyle w:val="Normal"/>
        <w:spacing w:before="40" w:after="200"/>
        <w:jc w:val="center"/>
        <w:rPr>
          <w:i/>
          <w:color w:val="888888"/>
          <w:sz w:val="18"/>
        </w:rPr>
      </w:pPr>
      <w:r>
        <w:rPr>
          <w:i/>
          <w:color w:val="888888"/>
          <w:sz w:val="18"/>
        </w:rPr>
        <w:t xml:space="preserve">Figure 24 — </w:t>
      </w:r>
      <w:r>
        <w:rPr>
          <w:i/>
          <w:color w:val="888888"/>
          <w:sz w:val="18"/>
        </w:rPr>
        <w:t>rlogin using root user via rlogin tool</w:t>
      </w:r>
    </w:p>
    <w:p>
      <w:pPr>
        <w:pStyle w:val="Normal"/>
        <w:rPr/>
      </w:pPr>
      <w:r>
        <w:rPr/>
      </w:r>
      <w:r>
        <w:br w:type="page"/>
      </w:r>
    </w:p>
    <w:p>
      <w:pPr>
        <w:pStyle w:val="Normal"/>
        <w:pBdr>
          <w:bottom w:val="single" w:sz="4" w:space="2" w:color="C0392B"/>
        </w:pBdr>
        <w:spacing w:before="0" w:after="80"/>
        <w:rPr>
          <w:b/>
          <w:color w:val="C0392B"/>
          <w:sz w:val="30"/>
        </w:rPr>
      </w:pPr>
      <w:r>
        <w:rPr>
          <w:b/>
          <w:color w:val="C0392B"/>
          <w:sz w:val="30"/>
        </w:rPr>
        <w:t>6. Summary of Findings</w:t>
      </w:r>
    </w:p>
    <w:tbl>
      <w:tblPr>
        <w:tblW w:w="9900" w:type="dxa"/>
        <w:jc w:val="center"/>
        <w:tblInd w:w="0" w:type="dxa"/>
        <w:tblLayout w:type="fixed"/>
        <w:tblCellMar>
          <w:top w:w="0" w:type="dxa"/>
          <w:start w:w="108" w:type="dxa"/>
          <w:bottom w:w="0" w:type="dxa"/>
          <w:end w:w="108" w:type="dxa"/>
        </w:tblCellMar>
      </w:tblPr>
      <w:tblGrid>
        <w:gridCol w:w="2351"/>
        <w:gridCol w:w="2350"/>
        <w:gridCol w:w="2351"/>
        <w:gridCol w:w="2848"/>
      </w:tblGrid>
      <w:tr>
        <w:trPr/>
        <w:tc>
          <w:tcPr>
            <w:tcW w:w="2351" w:type="dxa"/>
            <w:tcBorders>
              <w:top w:val="single" w:sz="4" w:space="0" w:color="000000"/>
              <w:start w:val="single" w:sz="4" w:space="0" w:color="000000"/>
              <w:bottom w:val="single" w:sz="4" w:space="0" w:color="000000"/>
              <w:end w:val="single" w:sz="4" w:space="0" w:color="000000"/>
            </w:tcBorders>
            <w:shd w:fill="1A1A2E" w:val="clear"/>
          </w:tcPr>
          <w:p>
            <w:pPr>
              <w:pStyle w:val="Normal"/>
              <w:widowControl/>
              <w:spacing w:lineRule="auto" w:line="240" w:before="0" w:after="0"/>
              <w:jc w:val="center"/>
              <w:rPr>
                <w:rFonts w:eastAsia="ＭＳ 明朝"/>
                <w:b/>
                <w:color w:val="FFFFFF"/>
                <w:kern w:val="0"/>
                <w:sz w:val="20"/>
                <w:szCs w:val="22"/>
                <w:lang w:val="en-US" w:eastAsia="en-US" w:bidi="ar-SA"/>
              </w:rPr>
            </w:pPr>
            <w:r>
              <w:rPr>
                <w:rFonts w:eastAsia="ＭＳ 明朝"/>
                <w:b/>
                <w:color w:val="FFFFFF"/>
                <w:kern w:val="0"/>
                <w:sz w:val="20"/>
                <w:szCs w:val="22"/>
                <w:lang w:val="en-US" w:eastAsia="en-US" w:bidi="ar-SA"/>
              </w:rPr>
              <w:t>#</w:t>
            </w:r>
          </w:p>
        </w:tc>
        <w:tc>
          <w:tcPr>
            <w:tcW w:w="2350" w:type="dxa"/>
            <w:tcBorders>
              <w:top w:val="single" w:sz="4" w:space="0" w:color="000000"/>
              <w:start w:val="single" w:sz="4" w:space="0" w:color="000000"/>
              <w:bottom w:val="single" w:sz="4" w:space="0" w:color="000000"/>
              <w:end w:val="single" w:sz="4" w:space="0" w:color="000000"/>
            </w:tcBorders>
            <w:shd w:fill="1A1A2E" w:val="clear"/>
          </w:tcPr>
          <w:p>
            <w:pPr>
              <w:pStyle w:val="Normal"/>
              <w:widowControl/>
              <w:spacing w:lineRule="auto" w:line="240" w:before="0" w:after="0"/>
              <w:jc w:val="center"/>
              <w:rPr>
                <w:rFonts w:eastAsia="ＭＳ 明朝"/>
                <w:b/>
                <w:color w:val="FFFFFF"/>
                <w:kern w:val="0"/>
                <w:sz w:val="20"/>
                <w:szCs w:val="22"/>
                <w:lang w:val="en-US" w:eastAsia="en-US" w:bidi="ar-SA"/>
              </w:rPr>
            </w:pPr>
            <w:r>
              <w:rPr>
                <w:rFonts w:eastAsia="ＭＳ 明朝"/>
                <w:b/>
                <w:color w:val="FFFFFF"/>
                <w:kern w:val="0"/>
                <w:sz w:val="20"/>
                <w:szCs w:val="22"/>
                <w:lang w:val="en-US" w:eastAsia="en-US" w:bidi="ar-SA"/>
              </w:rPr>
              <w:t>Finding</w:t>
            </w:r>
          </w:p>
        </w:tc>
        <w:tc>
          <w:tcPr>
            <w:tcW w:w="2351" w:type="dxa"/>
            <w:tcBorders>
              <w:top w:val="single" w:sz="4" w:space="0" w:color="000000"/>
              <w:start w:val="single" w:sz="4" w:space="0" w:color="000000"/>
              <w:bottom w:val="single" w:sz="4" w:space="0" w:color="000000"/>
              <w:end w:val="single" w:sz="4" w:space="0" w:color="000000"/>
            </w:tcBorders>
            <w:shd w:fill="1A1A2E" w:val="clear"/>
          </w:tcPr>
          <w:p>
            <w:pPr>
              <w:pStyle w:val="Normal"/>
              <w:widowControl/>
              <w:spacing w:lineRule="auto" w:line="240" w:before="0" w:after="0"/>
              <w:jc w:val="center"/>
              <w:rPr>
                <w:rFonts w:eastAsia="ＭＳ 明朝"/>
                <w:b/>
                <w:color w:val="FFFFFF"/>
                <w:kern w:val="0"/>
                <w:sz w:val="20"/>
                <w:szCs w:val="22"/>
                <w:lang w:val="en-US" w:eastAsia="en-US" w:bidi="ar-SA"/>
              </w:rPr>
            </w:pPr>
            <w:r>
              <w:rPr>
                <w:rFonts w:eastAsia="ＭＳ 明朝"/>
                <w:b/>
                <w:color w:val="FFFFFF"/>
                <w:kern w:val="0"/>
                <w:sz w:val="20"/>
                <w:szCs w:val="22"/>
                <w:lang w:val="en-US" w:eastAsia="en-US" w:bidi="ar-SA"/>
              </w:rPr>
              <w:t>Source</w:t>
            </w:r>
          </w:p>
        </w:tc>
        <w:tc>
          <w:tcPr>
            <w:tcW w:w="2848" w:type="dxa"/>
            <w:tcBorders>
              <w:top w:val="single" w:sz="4" w:space="0" w:color="000000"/>
              <w:start w:val="single" w:sz="4" w:space="0" w:color="000000"/>
              <w:bottom w:val="single" w:sz="4" w:space="0" w:color="000000"/>
              <w:end w:val="single" w:sz="4" w:space="0" w:color="000000"/>
            </w:tcBorders>
            <w:shd w:fill="1A1A2E" w:val="clear"/>
          </w:tcPr>
          <w:p>
            <w:pPr>
              <w:pStyle w:val="Normal"/>
              <w:widowControl/>
              <w:spacing w:lineRule="auto" w:line="240" w:before="0" w:after="0"/>
              <w:jc w:val="center"/>
              <w:rPr>
                <w:rFonts w:eastAsia="ＭＳ 明朝"/>
                <w:b/>
                <w:color w:val="FFFFFF"/>
                <w:kern w:val="0"/>
                <w:sz w:val="20"/>
                <w:szCs w:val="22"/>
                <w:lang w:val="en-US" w:eastAsia="en-US" w:bidi="ar-SA"/>
              </w:rPr>
            </w:pPr>
            <w:r>
              <w:rPr>
                <w:rFonts w:eastAsia="ＭＳ 明朝"/>
                <w:b/>
                <w:color w:val="FFFFFF"/>
                <w:kern w:val="0"/>
                <w:sz w:val="20"/>
                <w:szCs w:val="22"/>
                <w:lang w:val="en-US" w:eastAsia="en-US" w:bidi="ar-SA"/>
              </w:rPr>
              <w:t>Severity</w:t>
            </w:r>
          </w:p>
        </w:tc>
      </w:tr>
      <w:tr>
        <w:trPr/>
        <w:tc>
          <w:tcPr>
            <w:tcW w:w="235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1</w:t>
            </w:r>
          </w:p>
        </w:tc>
        <w:tc>
          <w:tcPr>
            <w:tcW w:w="2350"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vsftpd 2.3.4 backdoor — unauthenticated root RCE (CVE-2011-2523)</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Nmap + Metasploit</w:t>
            </w:r>
          </w:p>
        </w:tc>
        <w:tc>
          <w:tcPr>
            <w:tcW w:w="2848"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Critical</w:t>
            </w:r>
          </w:p>
        </w:tc>
      </w:tr>
      <w:tr>
        <w:trPr/>
        <w:tc>
          <w:tcPr>
            <w:tcW w:w="235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2</w:t>
            </w:r>
          </w:p>
        </w:tc>
        <w:tc>
          <w:tcPr>
            <w:tcW w:w="2350"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Root bind shell open on port 1524</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Nmap</w:t>
            </w:r>
          </w:p>
        </w:tc>
        <w:tc>
          <w:tcPr>
            <w:tcW w:w="2848"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Critical</w:t>
            </w:r>
          </w:p>
        </w:tc>
      </w:tr>
      <w:tr>
        <w:trPr/>
        <w:tc>
          <w:tcPr>
            <w:tcW w:w="235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3</w:t>
            </w:r>
          </w:p>
        </w:tc>
        <w:tc>
          <w:tcPr>
            <w:tcW w:w="2350"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Samba 3.0.20 — known exploitable SMB version</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Nmap</w:t>
            </w:r>
          </w:p>
        </w:tc>
        <w:tc>
          <w:tcPr>
            <w:tcW w:w="2848"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Critical</w:t>
            </w:r>
          </w:p>
        </w:tc>
      </w:tr>
      <w:tr>
        <w:trPr/>
        <w:tc>
          <w:tcPr>
            <w:tcW w:w="235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4</w:t>
            </w:r>
          </w:p>
        </w:tc>
        <w:tc>
          <w:tcPr>
            <w:tcW w:w="2350"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FTP transmits credentials in cleartext</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Wireshark</w:t>
            </w:r>
          </w:p>
        </w:tc>
        <w:tc>
          <w:tcPr>
            <w:tcW w:w="2848"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High</w:t>
            </w:r>
          </w:p>
        </w:tc>
      </w:tr>
      <w:tr>
        <w:trPr/>
        <w:tc>
          <w:tcPr>
            <w:tcW w:w="235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5</w:t>
            </w:r>
          </w:p>
        </w:tc>
        <w:tc>
          <w:tcPr>
            <w:tcW w:w="2350"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Telnet active — full session visible without encryption</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Wireshark + Nmap</w:t>
            </w:r>
          </w:p>
        </w:tc>
        <w:tc>
          <w:tcPr>
            <w:tcW w:w="2848"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High</w:t>
            </w:r>
          </w:p>
        </w:tc>
      </w:tr>
      <w:tr>
        <w:trPr/>
        <w:tc>
          <w:tcPr>
            <w:tcW w:w="235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6</w:t>
            </w:r>
          </w:p>
        </w:tc>
        <w:tc>
          <w:tcPr>
            <w:tcW w:w="2350"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MySQL listening with no authentication required</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Nmap</w:t>
            </w:r>
          </w:p>
        </w:tc>
        <w:tc>
          <w:tcPr>
            <w:tcW w:w="2848"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High</w:t>
            </w:r>
          </w:p>
        </w:tc>
      </w:tr>
      <w:tr>
        <w:trPr/>
        <w:tc>
          <w:tcPr>
            <w:tcW w:w="235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7</w:t>
            </w:r>
          </w:p>
        </w:tc>
        <w:tc>
          <w:tcPr>
            <w:tcW w:w="2350"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SMTP service exposed — 20 valid users enumerated</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smtp-user-enum</w:t>
            </w:r>
          </w:p>
        </w:tc>
        <w:tc>
          <w:tcPr>
            <w:tcW w:w="2848"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High</w:t>
            </w:r>
          </w:p>
        </w:tc>
      </w:tr>
      <w:tr>
        <w:trPr/>
        <w:tc>
          <w:tcPr>
            <w:tcW w:w="235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8</w:t>
            </w:r>
          </w:p>
        </w:tc>
        <w:tc>
          <w:tcPr>
            <w:tcW w:w="2350"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Apache HTTP server version disclosed in response headers</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Wireshark</w:t>
            </w:r>
          </w:p>
        </w:tc>
        <w:tc>
          <w:tcPr>
            <w:tcW w:w="2848"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Medium</w:t>
            </w:r>
          </w:p>
        </w:tc>
      </w:tr>
      <w:tr>
        <w:trPr/>
        <w:tc>
          <w:tcPr>
            <w:tcW w:w="235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9</w:t>
            </w:r>
          </w:p>
        </w:tc>
        <w:tc>
          <w:tcPr>
            <w:tcW w:w="2350"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NFS share exposed with no access restrictions</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Nmap</w:t>
            </w:r>
          </w:p>
        </w:tc>
        <w:tc>
          <w:tcPr>
            <w:tcW w:w="2848"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Medium</w:t>
            </w:r>
          </w:p>
        </w:tc>
      </w:tr>
      <w:tr>
        <w:trPr>
          <w:trHeight w:val="138" w:hRule="atLeast"/>
        </w:trPr>
        <w:tc>
          <w:tcPr>
            <w:tcW w:w="235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10</w:t>
            </w:r>
          </w:p>
        </w:tc>
        <w:tc>
          <w:tcPr>
            <w:tcW w:w="2350"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VNC remote desktop exposed on port 5900</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Nmap</w:t>
            </w:r>
          </w:p>
        </w:tc>
        <w:tc>
          <w:tcPr>
            <w:tcW w:w="2848"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rFonts w:eastAsia="ＭＳ 明朝"/>
                <w:kern w:val="0"/>
                <w:sz w:val="20"/>
                <w:szCs w:val="22"/>
                <w:lang w:val="en-US" w:eastAsia="en-US" w:bidi="ar-SA"/>
              </w:rPr>
            </w:pPr>
            <w:r>
              <w:rPr>
                <w:rFonts w:eastAsia="ＭＳ 明朝"/>
                <w:kern w:val="0"/>
                <w:sz w:val="20"/>
                <w:szCs w:val="22"/>
                <w:lang w:val="en-US" w:eastAsia="en-US" w:bidi="ar-SA"/>
              </w:rPr>
              <w:t>Medium</w:t>
            </w:r>
          </w:p>
        </w:tc>
      </w:tr>
    </w:tbl>
    <w:p>
      <w:pPr>
        <w:pStyle w:val="Normal"/>
        <w:pBdr>
          <w:bottom w:val="single" w:sz="4" w:space="2" w:color="C0392B"/>
        </w:pBdr>
        <w:spacing w:before="280" w:after="80"/>
        <w:rPr>
          <w:b/>
          <w:color w:val="C0392B"/>
          <w:sz w:val="30"/>
        </w:rPr>
      </w:pPr>
      <w:r>
        <w:rPr>
          <w:b/>
          <w:color w:val="C0392B"/>
          <w:sz w:val="30"/>
        </w:rPr>
        <w:t>7. Conclusion</w:t>
      </w:r>
    </w:p>
    <w:p>
      <w:pPr>
        <w:pStyle w:val="Normal"/>
        <w:spacing w:before="0" w:after="120"/>
        <w:rPr/>
      </w:pPr>
      <w:r>
        <w:rPr/>
        <w:t>This assessment covered the three core areas of practical security work. The lab was built on VMware Workstation using a Host-Only network, keeping all activity isolated. Nmap revealed 16+ open services, several running dangerously outdated software with known CVEs. Wireshark confirmed how much sensitive information leaks over unencrypted protocols.</w:t>
      </w:r>
    </w:p>
    <w:p>
      <w:pPr>
        <w:pStyle w:val="Normal"/>
        <w:spacing w:before="400" w:after="200"/>
        <w:rPr>
          <w:b/>
          <w:sz w:val="24"/>
        </w:rPr>
      </w:pPr>
      <w:r>
        <w:rPr>
          <w:b/>
          <w:sz w:val="24"/>
        </w:rPr>
        <w:t>Declaration</w:t>
      </w:r>
    </w:p>
    <w:p>
      <w:pPr>
        <w:pStyle w:val="Normal"/>
        <w:spacing w:before="0" w:after="120"/>
        <w:rPr/>
      </w:pPr>
      <w:r>
        <w:rPr/>
        <w:t>I confirm that this submission is my own work, completed as per WILA guidelines. All tasks were performed within a controlled lab environment.</w:t>
      </w:r>
    </w:p>
    <w:sectPr>
      <w:type w:val="nextPage"/>
      <w:pgSz w:w="12240" w:h="15840"/>
      <w:pgMar w:left="1417" w:right="1417"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DejaVu Sans"/>
        <w:sz w:val="22"/>
        <w:szCs w:val="22"/>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false"/>
      <w:autoSpaceDE w:val="true"/>
      <w:bidi w:val="0"/>
      <w:spacing w:lineRule="auto" w:line="276" w:before="0" w:after="200"/>
      <w:jc w:val="start"/>
    </w:pPr>
    <w:rPr>
      <w:rFonts w:ascii="Calibri" w:hAnsi="Calibri" w:eastAsia="ＭＳ 明朝" w:cs="DejaVu Sans"/>
      <w:color w:val="auto"/>
      <w:kern w:val="0"/>
      <w:sz w:val="22"/>
      <w:szCs w:val="22"/>
      <w:lang w:val="en-US" w:eastAsia="en-US" w:bidi="ar-SA"/>
    </w:rPr>
  </w:style>
  <w:style w:type="paragraph" w:styleId="Heading1">
    <w:name w:val="heading 1"/>
    <w:basedOn w:val="Normal"/>
    <w:next w:val="Normal"/>
    <w:link w:val="Heading1Char"/>
    <w:qFormat/>
    <w:pPr>
      <w:keepNext w:val="true"/>
      <w:keepLines/>
      <w:numPr>
        <w:ilvl w:val="0"/>
        <w:numId w:val="0"/>
      </w:numPr>
      <w:spacing w:before="480" w:after="0"/>
      <w:outlineLvl w:val="0"/>
    </w:pPr>
    <w:rPr>
      <w:rFonts w:ascii="Calibri" w:hAnsi="Calibri" w:eastAsia="ＭＳ ゴシック" w:cs="DejaVu Sans"/>
      <w:b/>
      <w:bCs/>
      <w:color w:themeColor="accent1" w:themeShade="bf" w:val="365F91"/>
      <w:sz w:val="28"/>
      <w:szCs w:val="28"/>
    </w:rPr>
  </w:style>
  <w:style w:type="paragraph" w:styleId="Heading2">
    <w:name w:val="heading 2"/>
    <w:basedOn w:val="Normal"/>
    <w:next w:val="Normal"/>
    <w:link w:val="Heading2Char"/>
    <w:qFormat/>
    <w:pPr>
      <w:keepNext w:val="true"/>
      <w:keepLines/>
      <w:numPr>
        <w:ilvl w:val="0"/>
        <w:numId w:val="0"/>
      </w:numPr>
      <w:spacing w:before="200" w:after="0"/>
      <w:outlineLvl w:val="1"/>
    </w:pPr>
    <w:rPr>
      <w:rFonts w:ascii="Calibri" w:hAnsi="Calibri" w:eastAsia="ＭＳ ゴシック" w:cs="DejaVu Sans"/>
      <w:b/>
      <w:bCs/>
      <w:color w:themeColor="accent1" w:val="4F81BD"/>
      <w:sz w:val="26"/>
      <w:szCs w:val="26"/>
    </w:rPr>
  </w:style>
  <w:style w:type="paragraph" w:styleId="Heading3">
    <w:name w:val="heading 3"/>
    <w:basedOn w:val="Normal"/>
    <w:next w:val="Normal"/>
    <w:link w:val="Heading3Char"/>
    <w:qFormat/>
    <w:pPr>
      <w:keepNext w:val="true"/>
      <w:keepLines/>
      <w:numPr>
        <w:ilvl w:val="0"/>
        <w:numId w:val="0"/>
      </w:numPr>
      <w:spacing w:before="200" w:after="0"/>
      <w:outlineLvl w:val="2"/>
    </w:pPr>
    <w:rPr>
      <w:rFonts w:ascii="Calibri" w:hAnsi="Calibri" w:eastAsia="ＭＳ ゴシック" w:cs="DejaVu Sans"/>
      <w:b/>
      <w:bCs/>
      <w:color w:themeColor="accent1" w:val="4F81BD"/>
    </w:rPr>
  </w:style>
  <w:style w:type="paragraph" w:styleId="Heading4">
    <w:name w:val="heading 4"/>
    <w:basedOn w:val="Normal"/>
    <w:next w:val="Normal"/>
    <w:link w:val="Heading4Char"/>
    <w:qFormat/>
    <w:pPr>
      <w:keepNext w:val="true"/>
      <w:keepLines/>
      <w:numPr>
        <w:ilvl w:val="0"/>
        <w:numId w:val="0"/>
      </w:numPr>
      <w:spacing w:before="200" w:after="0"/>
      <w:outlineLvl w:val="3"/>
    </w:pPr>
    <w:rPr>
      <w:rFonts w:ascii="Calibri" w:hAnsi="Calibri" w:eastAsia="ＭＳ ゴシック" w:cs="DejaVu Sans"/>
      <w:b/>
      <w:bCs/>
      <w:i/>
      <w:iCs/>
      <w:color w:themeColor="accent1" w:val="4F81BD"/>
    </w:rPr>
  </w:style>
  <w:style w:type="paragraph" w:styleId="Heading5">
    <w:name w:val="heading 5"/>
    <w:basedOn w:val="Normal"/>
    <w:next w:val="Normal"/>
    <w:link w:val="Heading5Char"/>
    <w:qFormat/>
    <w:pPr>
      <w:keepNext w:val="true"/>
      <w:keepLines/>
      <w:numPr>
        <w:ilvl w:val="0"/>
        <w:numId w:val="0"/>
      </w:numPr>
      <w:spacing w:before="200" w:after="0"/>
      <w:outlineLvl w:val="4"/>
    </w:pPr>
    <w:rPr>
      <w:rFonts w:ascii="Calibri" w:hAnsi="Calibri" w:eastAsia="ＭＳ ゴシック" w:cs="DejaVu Sans"/>
      <w:color w:themeColor="accent1" w:themeShade="7f" w:val="243F60"/>
    </w:rPr>
  </w:style>
  <w:style w:type="paragraph" w:styleId="Heading6">
    <w:name w:val="heading 6"/>
    <w:basedOn w:val="Normal"/>
    <w:next w:val="Normal"/>
    <w:link w:val="Heading6Char"/>
    <w:qFormat/>
    <w:pPr>
      <w:keepNext w:val="true"/>
      <w:keepLines/>
      <w:numPr>
        <w:ilvl w:val="0"/>
        <w:numId w:val="0"/>
      </w:numPr>
      <w:spacing w:before="200" w:after="0"/>
      <w:outlineLvl w:val="5"/>
    </w:pPr>
    <w:rPr>
      <w:rFonts w:ascii="Calibri" w:hAnsi="Calibri" w:eastAsia="ＭＳ ゴシック" w:cs="DejaVu Sans"/>
      <w:i/>
      <w:iCs/>
      <w:color w:themeColor="accent1" w:themeShade="7f" w:val="243F60"/>
    </w:rPr>
  </w:style>
  <w:style w:type="paragraph" w:styleId="Heading7">
    <w:name w:val="heading 7"/>
    <w:basedOn w:val="Normal"/>
    <w:next w:val="Normal"/>
    <w:link w:val="Heading7Char"/>
    <w:qFormat/>
    <w:pPr>
      <w:keepNext w:val="true"/>
      <w:keepLines/>
      <w:numPr>
        <w:ilvl w:val="0"/>
        <w:numId w:val="0"/>
      </w:numPr>
      <w:spacing w:before="200" w:after="0"/>
      <w:outlineLvl w:val="6"/>
    </w:pPr>
    <w:rPr>
      <w:rFonts w:ascii="Calibri" w:hAnsi="Calibri" w:eastAsia="ＭＳ ゴシック" w:cs="DejaVu Sans"/>
      <w:i/>
      <w:iCs/>
      <w:color w:themeColor="dark1" w:themeTint="bf" w:val="404040"/>
    </w:rPr>
  </w:style>
  <w:style w:type="paragraph" w:styleId="Heading8">
    <w:name w:val="heading 8"/>
    <w:basedOn w:val="Normal"/>
    <w:next w:val="Normal"/>
    <w:link w:val="Heading8Char"/>
    <w:qFormat/>
    <w:pPr>
      <w:keepNext w:val="true"/>
      <w:keepLines/>
      <w:numPr>
        <w:ilvl w:val="0"/>
        <w:numId w:val="0"/>
      </w:numPr>
      <w:spacing w:before="200" w:after="0"/>
      <w:outlineLvl w:val="7"/>
    </w:pPr>
    <w:rPr>
      <w:rFonts w:ascii="Calibri" w:hAnsi="Calibri" w:eastAsia="ＭＳ ゴシック" w:cs="DejaVu Sans"/>
      <w:color w:themeColor="accent1" w:val="4F81BD"/>
      <w:sz w:val="20"/>
      <w:szCs w:val="20"/>
    </w:rPr>
  </w:style>
  <w:style w:type="paragraph" w:styleId="Heading9">
    <w:name w:val="heading 9"/>
    <w:basedOn w:val="Normal"/>
    <w:next w:val="Normal"/>
    <w:link w:val="Heading9Char"/>
    <w:qFormat/>
    <w:pPr>
      <w:keepNext w:val="true"/>
      <w:keepLines/>
      <w:numPr>
        <w:ilvl w:val="0"/>
        <w:numId w:val="0"/>
      </w:numPr>
      <w:spacing w:before="200" w:after="0"/>
      <w:outlineLvl w:val="8"/>
    </w:pPr>
    <w:rPr>
      <w:rFonts w:ascii="Calibri" w:hAnsi="Calibri" w:eastAsia="ＭＳ ゴシック" w:cs="DejaVu Sans"/>
      <w:i/>
      <w:iCs/>
      <w:color w:themeColor="dark1" w:themeTint="bf" w:val="404040"/>
      <w:sz w:val="20"/>
      <w:szCs w:val="20"/>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DefaultParagraphFont">
    <w:name w:val="Default Paragraph Font"/>
    <w:qFormat/>
    <w:rPr/>
  </w:style>
  <w:style w:type="character" w:styleId="Heading1Char">
    <w:name w:val="Heading 1 Char"/>
    <w:basedOn w:val="DefaultParagraphFont"/>
    <w:link w:val="Heading1"/>
    <w:qFormat/>
    <w:rPr>
      <w:rFonts w:ascii="Calibri" w:hAnsi="Calibri" w:eastAsia="ＭＳ ゴシック" w:cs="DejaVu Sans"/>
      <w:b/>
      <w:bCs/>
      <w:color w:themeColor="accent1" w:themeShade="bf" w:val="365F91"/>
      <w:sz w:val="28"/>
      <w:szCs w:val="28"/>
    </w:rPr>
  </w:style>
  <w:style w:type="character" w:styleId="Heading2Char">
    <w:name w:val="Heading 2 Char"/>
    <w:basedOn w:val="DefaultParagraphFont"/>
    <w:link w:val="Heading2"/>
    <w:qFormat/>
    <w:rPr>
      <w:rFonts w:ascii="Calibri" w:hAnsi="Calibri" w:eastAsia="ＭＳ ゴシック" w:cs="DejaVu Sans"/>
      <w:b/>
      <w:bCs/>
      <w:color w:themeColor="accent1" w:val="4F81BD"/>
      <w:sz w:val="26"/>
      <w:szCs w:val="26"/>
    </w:rPr>
  </w:style>
  <w:style w:type="character" w:styleId="Heading3Char">
    <w:name w:val="Heading 3 Char"/>
    <w:basedOn w:val="DefaultParagraphFont"/>
    <w:link w:val="Heading3"/>
    <w:qFormat/>
    <w:rPr>
      <w:rFonts w:ascii="Calibri" w:hAnsi="Calibri" w:eastAsia="ＭＳ ゴシック" w:cs="DejaVu Sans"/>
      <w:b/>
      <w:bCs/>
      <w:color w:themeColor="accent1" w:val="4F81BD"/>
    </w:rPr>
  </w:style>
  <w:style w:type="character" w:styleId="TitleChar">
    <w:name w:val="Title Char"/>
    <w:basedOn w:val="DefaultParagraphFont"/>
    <w:link w:val="Title"/>
    <w:qFormat/>
    <w:rPr>
      <w:rFonts w:ascii="Calibri" w:hAnsi="Calibri" w:eastAsia="ＭＳ ゴシック" w:cs="DejaVu Sans"/>
      <w:color w:themeColor="dark2" w:themeShade="bf" w:val="17365D"/>
      <w:spacing w:val="5"/>
      <w:kern w:val="2"/>
      <w:sz w:val="52"/>
      <w:szCs w:val="52"/>
    </w:rPr>
  </w:style>
  <w:style w:type="character" w:styleId="SubtitleChar">
    <w:name w:val="Subtitle Char"/>
    <w:basedOn w:val="DefaultParagraphFont"/>
    <w:link w:val="Subtitle"/>
    <w:qFormat/>
    <w:rPr>
      <w:rFonts w:ascii="Calibri" w:hAnsi="Calibri" w:eastAsia="ＭＳ ゴシック" w:cs="DejaVu Sans"/>
      <w:i/>
      <w:iCs/>
      <w:color w:themeColor="accent1" w:val="4F81BD"/>
      <w:spacing w:val="15"/>
      <w:sz w:val="24"/>
      <w:szCs w:val="24"/>
    </w:rPr>
  </w:style>
  <w:style w:type="character" w:styleId="BodyTextChar">
    <w:name w:val="Body Text Char"/>
    <w:basedOn w:val="DefaultParagraphFont"/>
    <w:qFormat/>
    <w:rPr/>
  </w:style>
  <w:style w:type="character" w:styleId="BodyText2Char">
    <w:name w:val="Body Text 2 Char"/>
    <w:basedOn w:val="DefaultParagraphFont"/>
    <w:link w:val="BodyText2"/>
    <w:qFormat/>
    <w:rPr/>
  </w:style>
  <w:style w:type="character" w:styleId="BodyText3Char">
    <w:name w:val="Body Text 3 Char"/>
    <w:basedOn w:val="DefaultParagraphFont"/>
    <w:link w:val="BodyText3"/>
    <w:qFormat/>
    <w:rPr>
      <w:sz w:val="16"/>
      <w:szCs w:val="16"/>
    </w:rPr>
  </w:style>
  <w:style w:type="character" w:styleId="MacroTextChar">
    <w:name w:val="Macro Text Char"/>
    <w:basedOn w:val="DefaultParagraphFont"/>
    <w:link w:val="MacroText"/>
    <w:qFormat/>
    <w:rPr>
      <w:rFonts w:ascii="Courier" w:hAnsi="Courier"/>
      <w:sz w:val="20"/>
      <w:szCs w:val="20"/>
    </w:rPr>
  </w:style>
  <w:style w:type="character" w:styleId="QuoteChar">
    <w:name w:val="Quote Char"/>
    <w:basedOn w:val="DefaultParagraphFont"/>
    <w:link w:val="Quote"/>
    <w:qFormat/>
    <w:rPr>
      <w:i/>
      <w:iCs/>
      <w:color w:themeColor="dark1" w:val="000000"/>
    </w:rPr>
  </w:style>
  <w:style w:type="character" w:styleId="Heading4Char">
    <w:name w:val="Heading 4 Char"/>
    <w:basedOn w:val="DefaultParagraphFont"/>
    <w:link w:val="Heading4"/>
    <w:qFormat/>
    <w:rPr>
      <w:rFonts w:ascii="Calibri" w:hAnsi="Calibri" w:eastAsia="ＭＳ ゴシック" w:cs="DejaVu Sans"/>
      <w:b/>
      <w:bCs/>
      <w:i/>
      <w:iCs/>
      <w:color w:themeColor="accent1" w:val="4F81BD"/>
    </w:rPr>
  </w:style>
  <w:style w:type="character" w:styleId="Heading5Char">
    <w:name w:val="Heading 5 Char"/>
    <w:basedOn w:val="DefaultParagraphFont"/>
    <w:link w:val="Heading5"/>
    <w:qFormat/>
    <w:rPr>
      <w:rFonts w:ascii="Calibri" w:hAnsi="Calibri" w:eastAsia="ＭＳ ゴシック" w:cs="DejaVu Sans"/>
      <w:color w:themeColor="accent1" w:themeShade="7f" w:val="243F60"/>
    </w:rPr>
  </w:style>
  <w:style w:type="character" w:styleId="Heading6Char">
    <w:name w:val="Heading 6 Char"/>
    <w:basedOn w:val="DefaultParagraphFont"/>
    <w:link w:val="Heading6"/>
    <w:qFormat/>
    <w:rPr>
      <w:rFonts w:ascii="Calibri" w:hAnsi="Calibri" w:eastAsia="ＭＳ ゴシック" w:cs="DejaVu Sans"/>
      <w:i/>
      <w:iCs/>
      <w:color w:themeColor="accent1" w:themeShade="7f" w:val="243F60"/>
    </w:rPr>
  </w:style>
  <w:style w:type="character" w:styleId="Heading7Char">
    <w:name w:val="Heading 7 Char"/>
    <w:basedOn w:val="DefaultParagraphFont"/>
    <w:link w:val="Heading7"/>
    <w:qFormat/>
    <w:rPr>
      <w:rFonts w:ascii="Calibri" w:hAnsi="Calibri" w:eastAsia="ＭＳ ゴシック" w:cs="DejaVu Sans"/>
      <w:i/>
      <w:iCs/>
      <w:color w:themeColor="dark1" w:themeTint="bf" w:val="404040"/>
    </w:rPr>
  </w:style>
  <w:style w:type="character" w:styleId="Heading8Char">
    <w:name w:val="Heading 8 Char"/>
    <w:basedOn w:val="DefaultParagraphFont"/>
    <w:link w:val="Heading8"/>
    <w:qFormat/>
    <w:rPr>
      <w:rFonts w:ascii="Calibri" w:hAnsi="Calibri" w:eastAsia="ＭＳ ゴシック" w:cs="DejaVu Sans"/>
      <w:color w:themeColor="accent1" w:val="4F81BD"/>
      <w:sz w:val="20"/>
      <w:szCs w:val="20"/>
    </w:rPr>
  </w:style>
  <w:style w:type="character" w:styleId="Heading9Char">
    <w:name w:val="Heading 9 Char"/>
    <w:basedOn w:val="DefaultParagraphFont"/>
    <w:link w:val="Heading9"/>
    <w:qFormat/>
    <w:rPr>
      <w:rFonts w:ascii="Calibri" w:hAnsi="Calibri" w:eastAsia="ＭＳ ゴシック" w:cs="DejaVu Sans"/>
      <w:i/>
      <w:iCs/>
      <w:color w:themeColor="dark1" w:themeTint="bf" w:val="404040"/>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IntenseQuoteChar">
    <w:name w:val="Intense Quote Char"/>
    <w:basedOn w:val="DefaultParagraphFont"/>
    <w:link w:val="IntenseQuote"/>
    <w:qFormat/>
    <w:rPr>
      <w:b/>
      <w:bCs/>
      <w:i/>
      <w:iCs/>
      <w:color w:themeColor="accent1" w:val="4F81BD"/>
    </w:rPr>
  </w:style>
  <w:style w:type="character" w:styleId="SubtleEmphasis">
    <w:name w:val="Subtle Emphasis"/>
    <w:basedOn w:val="DefaultParagraphFont"/>
    <w:qFormat/>
    <w:rPr>
      <w:i/>
      <w:iCs/>
      <w:color w:themeColor="dark1" w:themeTint="7f" w:val="808080"/>
    </w:rPr>
  </w:style>
  <w:style w:type="character" w:styleId="IntenseEmphasis">
    <w:name w:val="Intense Emphasis"/>
    <w:basedOn w:val="DefaultParagraphFont"/>
    <w:qFormat/>
    <w:rPr>
      <w:b/>
      <w:bCs/>
      <w:i/>
      <w:iCs/>
      <w:color w:themeColor="accent1" w:val="4F81BD"/>
    </w:rPr>
  </w:style>
  <w:style w:type="character" w:styleId="SubtleReference">
    <w:name w:val="Subtle Reference"/>
    <w:basedOn w:val="DefaultParagraphFont"/>
    <w:qFormat/>
    <w:rPr>
      <w:smallCaps/>
      <w:color w:themeColor="accent2" w:val="C0504D"/>
      <w:u w:val="single"/>
    </w:rPr>
  </w:style>
  <w:style w:type="character" w:styleId="IntenseReference">
    <w:name w:val="Intense Reference"/>
    <w:basedOn w:val="DefaultParagraphFont"/>
    <w:qFormat/>
    <w:rPr>
      <w:b/>
      <w:bCs/>
      <w:smallCaps/>
      <w:color w:themeColor="accent2" w:val="C0504D"/>
      <w:spacing w:val="5"/>
      <w:u w:val="single"/>
    </w:rPr>
  </w:style>
  <w:style w:type="character" w:styleId="BookTitle">
    <w:name w:val="Book Title"/>
    <w:basedOn w:val="DefaultParagraphFont"/>
    <w:qFormat/>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link w:val="BodyTextChar"/>
    <w:pPr>
      <w:spacing w:before="0" w:after="120"/>
    </w:pPr>
    <w:rPr/>
  </w:style>
  <w:style w:type="paragraph" w:styleId="List">
    <w:name w:val="List"/>
    <w:basedOn w:val="Normal"/>
    <w:pPr>
      <w:spacing w:before="0" w:after="200"/>
      <w:ind w:hanging="360" w:start="360"/>
      <w:contextualSpacing/>
    </w:pPr>
    <w:rPr/>
  </w:style>
  <w:style w:type="paragraph" w:styleId="Caption">
    <w:name w:val="caption"/>
    <w:basedOn w:val="Normal"/>
    <w:next w:val="Normal"/>
    <w:qFormat/>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NoSpacing">
    <w:name w:val="No Spacing"/>
    <w:qFormat/>
    <w:pPr>
      <w:widowControl/>
      <w:suppressAutoHyphens w:val="true"/>
      <w:kinsoku w:val="true"/>
      <w:overflowPunct w:val="false"/>
      <w:autoSpaceDE w:val="true"/>
      <w:bidi w:val="0"/>
      <w:spacing w:lineRule="auto" w:line="240" w:before="0" w:after="0"/>
      <w:jc w:val="start"/>
    </w:pPr>
    <w:rPr>
      <w:rFonts w:ascii="Cambria" w:hAnsi="Cambria" w:eastAsia="ＭＳ 明朝" w:cs="DejaVu Sans"/>
      <w:color w:val="auto"/>
      <w:kern w:val="0"/>
      <w:sz w:val="22"/>
      <w:szCs w:val="22"/>
      <w:lang w:val="en-US" w:eastAsia="en-US" w:bidi="ar-SA"/>
    </w:rPr>
  </w:style>
  <w:style w:type="paragraph" w:styleId="Title">
    <w:name w:val="Title"/>
    <w:basedOn w:val="Normal"/>
    <w:next w:val="Normal"/>
    <w:link w:val="TitleChar"/>
    <w:qFormat/>
    <w:pPr>
      <w:pBdr>
        <w:bottom w:val="single" w:sz="8" w:space="4" w:color="4F81BD"/>
      </w:pBdr>
      <w:spacing w:lineRule="auto" w:line="240" w:before="0" w:after="300"/>
      <w:contextualSpacing/>
    </w:pPr>
    <w:rPr>
      <w:rFonts w:ascii="Calibri" w:hAnsi="Calibri" w:eastAsia="ＭＳ ゴシック" w:cs="DejaVu Sans"/>
      <w:color w:themeColor="dark2" w:themeShade="bf" w:val="17365D"/>
      <w:spacing w:val="5"/>
      <w:kern w:val="2"/>
      <w:sz w:val="52"/>
      <w:szCs w:val="52"/>
    </w:rPr>
  </w:style>
  <w:style w:type="paragraph" w:styleId="Subtitle">
    <w:name w:val="Subtitle"/>
    <w:basedOn w:val="Normal"/>
    <w:next w:val="Normal"/>
    <w:link w:val="SubtitleChar"/>
    <w:qFormat/>
    <w:pPr/>
    <w:rPr>
      <w:rFonts w:ascii="Calibri" w:hAnsi="Calibri" w:eastAsia="ＭＳ ゴシック" w:cs="DejaVu Sans"/>
      <w:i/>
      <w:iCs/>
      <w:color w:themeColor="accent1" w:val="4F81BD"/>
      <w:spacing w:val="15"/>
      <w:sz w:val="24"/>
      <w:szCs w:val="24"/>
    </w:rPr>
  </w:style>
  <w:style w:type="paragraph" w:styleId="ListParagraph">
    <w:name w:val="List Paragraph"/>
    <w:basedOn w:val="Normal"/>
    <w:qFormat/>
    <w:pPr>
      <w:spacing w:before="0" w:after="200"/>
      <w:ind w:start="720"/>
      <w:contextualSpacing/>
    </w:pPr>
    <w:rPr/>
  </w:style>
  <w:style w:type="paragraph" w:styleId="BodyText2">
    <w:name w:val="Body Text 2"/>
    <w:basedOn w:val="Normal"/>
    <w:link w:val="BodyText2Char"/>
    <w:qFormat/>
    <w:pPr>
      <w:spacing w:lineRule="auto" w:line="480" w:before="0" w:after="120"/>
    </w:pPr>
    <w:rPr/>
  </w:style>
  <w:style w:type="paragraph" w:styleId="BodyText3">
    <w:name w:val="Body Text 3"/>
    <w:basedOn w:val="Normal"/>
    <w:link w:val="BodyText3Char"/>
    <w:qFormat/>
    <w:pPr>
      <w:spacing w:before="0" w:after="120"/>
    </w:pPr>
    <w:rPr>
      <w:sz w:val="16"/>
      <w:szCs w:val="16"/>
    </w:rPr>
  </w:style>
  <w:style w:type="paragraph" w:styleId="List2">
    <w:name w:val="List 2"/>
    <w:basedOn w:val="Normal"/>
    <w:qFormat/>
    <w:pPr>
      <w:spacing w:before="0" w:after="200"/>
      <w:ind w:hanging="360" w:start="720"/>
      <w:contextualSpacing/>
    </w:pPr>
    <w:rPr/>
  </w:style>
  <w:style w:type="paragraph" w:styleId="List3">
    <w:name w:val="List 3"/>
    <w:basedOn w:val="Normal"/>
    <w:qFormat/>
    <w:pPr>
      <w:spacing w:before="0" w:after="200"/>
      <w:ind w:hanging="360" w:start="1080"/>
      <w:contextualSpacing/>
    </w:pPr>
    <w:rPr/>
  </w:style>
  <w:style w:type="paragraph" w:styleId="ListBullet">
    <w:name w:val="List Bullet"/>
    <w:basedOn w:val="Normal"/>
    <w:pPr>
      <w:numPr>
        <w:ilvl w:val="0"/>
        <w:numId w:val="2"/>
      </w:numPr>
      <w:spacing w:before="0" w:after="200"/>
      <w:contextualSpacing/>
    </w:pPr>
    <w:rPr/>
  </w:style>
  <w:style w:type="paragraph" w:styleId="ListBullet2">
    <w:name w:val="List Bullet 2"/>
    <w:basedOn w:val="Normal"/>
    <w:pPr>
      <w:numPr>
        <w:ilvl w:val="0"/>
        <w:numId w:val="3"/>
      </w:numPr>
      <w:spacing w:before="0" w:after="200"/>
      <w:contextualSpacing/>
    </w:pPr>
    <w:rPr/>
  </w:style>
  <w:style w:type="paragraph" w:styleId="ListBullet3">
    <w:name w:val="List Bullet 3"/>
    <w:basedOn w:val="Normal"/>
    <w:pPr>
      <w:numPr>
        <w:ilvl w:val="0"/>
        <w:numId w:val="4"/>
      </w:numPr>
      <w:spacing w:before="0" w:after="200"/>
      <w:contextualSpacing/>
    </w:pPr>
    <w:rPr/>
  </w:style>
  <w:style w:type="paragraph" w:styleId="ListNumber">
    <w:name w:val="List Number"/>
    <w:basedOn w:val="Normal"/>
    <w:pPr>
      <w:numPr>
        <w:ilvl w:val="0"/>
        <w:numId w:val="5"/>
      </w:numPr>
      <w:spacing w:before="0" w:after="200"/>
      <w:contextualSpacing/>
    </w:pPr>
    <w:rPr/>
  </w:style>
  <w:style w:type="paragraph" w:styleId="ListNumber2">
    <w:name w:val="List Number 2"/>
    <w:basedOn w:val="Normal"/>
    <w:pPr>
      <w:numPr>
        <w:ilvl w:val="0"/>
        <w:numId w:val="6"/>
      </w:numPr>
      <w:spacing w:before="0" w:after="200"/>
      <w:contextualSpacing/>
    </w:pPr>
    <w:rPr/>
  </w:style>
  <w:style w:type="paragraph" w:styleId="ListNumber3">
    <w:name w:val="List Number 3"/>
    <w:basedOn w:val="Normal"/>
    <w:pPr>
      <w:numPr>
        <w:ilvl w:val="0"/>
        <w:numId w:val="7"/>
      </w:numPr>
      <w:spacing w:before="0" w:after="200"/>
      <w:contextualSpacing/>
    </w:pPr>
    <w:rPr/>
  </w:style>
  <w:style w:type="paragraph" w:styleId="ListContinue">
    <w:name w:val="List Continue"/>
    <w:basedOn w:val="Normal"/>
    <w:pPr>
      <w:spacing w:before="0" w:after="120"/>
      <w:ind w:start="360"/>
      <w:contextualSpacing/>
    </w:pPr>
    <w:rPr/>
  </w:style>
  <w:style w:type="paragraph" w:styleId="ListContinue2">
    <w:name w:val="List Continue 2"/>
    <w:basedOn w:val="Normal"/>
    <w:pPr>
      <w:spacing w:before="0" w:after="120"/>
      <w:ind w:start="720"/>
      <w:contextualSpacing/>
    </w:pPr>
    <w:rPr/>
  </w:style>
  <w:style w:type="paragraph" w:styleId="ListContinue3">
    <w:name w:val="List Continue 3"/>
    <w:basedOn w:val="Normal"/>
    <w:pPr>
      <w:spacing w:before="0" w:after="120"/>
      <w:ind w:start="1080"/>
      <w:contextualSpacing/>
    </w:pPr>
    <w:rPr/>
  </w:style>
  <w:style w:type="paragraph" w:styleId="MacroText">
    <w:name w:val="macro"/>
    <w:link w:val="MacroTextChar"/>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kinsoku w:val="true"/>
      <w:overflowPunct w:val="false"/>
      <w:autoSpaceDE w:val="true"/>
      <w:bidi w:val="0"/>
      <w:spacing w:lineRule="auto" w:line="276" w:before="0" w:after="200"/>
      <w:jc w:val="start"/>
    </w:pPr>
    <w:rPr>
      <w:rFonts w:ascii="Courier" w:hAnsi="Courier" w:eastAsia="ＭＳ 明朝" w:cs="DejaVu Sans"/>
      <w:color w:val="auto"/>
      <w:kern w:val="0"/>
      <w:sz w:val="20"/>
      <w:szCs w:val="20"/>
      <w:lang w:val="en-US" w:eastAsia="en-US" w:bidi="ar-SA"/>
    </w:rPr>
  </w:style>
  <w:style w:type="paragraph" w:styleId="Quote">
    <w:name w:val="Quote"/>
    <w:basedOn w:val="Normal"/>
    <w:next w:val="Normal"/>
    <w:link w:val="QuoteChar"/>
    <w:qFormat/>
    <w:pPr/>
    <w:rPr>
      <w:i/>
      <w:iCs/>
      <w:color w:themeColor="dark1" w:val="000000"/>
    </w:rPr>
  </w:style>
  <w:style w:type="paragraph" w:styleId="IntenseQuote">
    <w:name w:val="Intense Quote"/>
    <w:basedOn w:val="Normal"/>
    <w:next w:val="Normal"/>
    <w:link w:val="IntenseQuoteChar"/>
    <w:qFormat/>
    <w:pPr>
      <w:pBdr>
        <w:bottom w:val="single" w:sz="4" w:space="4" w:color="4F81BD"/>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qFormat/>
    <w:pPr>
      <w:outlineLvl w:val="9"/>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908</TotalTime>
  <Application>LibreOffice/26.2.2.2$Linux_X86_64 LibreOffice_project/620$Build-2</Application>
  <AppVersion>15.0000</AppVersion>
  <Pages>16</Pages>
  <Words>1125</Words>
  <Characters>6392</Characters>
  <CharactersWithSpaces>7414</CharactersWithSpaces>
  <Paragraphs>198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2026-04-14T12:50:49Z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