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80"/>
        <w:jc w:val="center"/>
        <w:rPr>
          <w:rFonts w:ascii="Calibri" w:hAnsi="Calibri"/>
          <w:b/>
          <w:color w:val="C0392B"/>
          <w:sz w:val="26"/>
        </w:rPr>
      </w:pPr>
      <w:r>
        <w:rPr>
          <w:b/>
          <w:color w:val="C0392B"/>
          <w:sz w:val="26"/>
        </w:rPr>
        <w:t>CYBERSECURITY FOUNDATION LAB</w:t>
      </w:r>
    </w:p>
    <w:p>
      <w:pPr>
        <w:pStyle w:val="Normal"/>
        <w:spacing w:before="0" w:after="120"/>
        <w:jc w:val="center"/>
        <w:rPr>
          <w:rFonts w:ascii="Calibri" w:hAnsi="Calibri"/>
          <w:b/>
          <w:color w:val="0D1117"/>
          <w:sz w:val="56"/>
        </w:rPr>
      </w:pPr>
      <w:r>
        <w:rPr>
          <w:b/>
          <w:color w:val="0D1117"/>
          <w:sz w:val="56"/>
        </w:rPr>
        <w:t>Technical Assessment Report</w:t>
      </w:r>
    </w:p>
    <w:p>
      <w:pPr>
        <w:pStyle w:val="Normal"/>
        <w:spacing w:before="0" w:after="1200"/>
        <w:jc w:val="center"/>
        <w:rPr>
          <w:color w:val="555555"/>
          <w:sz w:val="26"/>
        </w:rPr>
      </w:pPr>
      <w:r>
        <w:rPr>
          <w:color w:val="555555"/>
          <w:sz w:val="26"/>
        </w:rPr>
        <w:t>Common Assessment — Practical Submission</w:t>
      </w:r>
    </w:p>
    <w:p>
      <w:pPr>
        <w:pStyle w:val="Normal"/>
        <w:pBdr>
          <w:bottom w:val="single" w:sz="8" w:space="1" w:color="C0392B"/>
        </w:pBdr>
        <w:spacing w:before="0" w:after="600"/>
        <w:rPr/>
      </w:pPr>
      <w:r>
        <w:rPr/>
      </w:r>
    </w:p>
    <w:p>
      <w:pPr>
        <w:pStyle w:val="Normal"/>
        <w:spacing w:before="0" w:after="80"/>
        <w:jc w:val="center"/>
        <w:rPr/>
      </w:pPr>
      <w:r>
        <w:rPr>
          <w:b/>
          <w:sz w:val="22"/>
        </w:rPr>
        <w:t xml:space="preserve">Candidate Name:  </w:t>
      </w:r>
      <w:r>
        <w:rPr>
          <w:sz w:val="22"/>
        </w:rPr>
        <w:t>Sridharan T</w:t>
      </w:r>
    </w:p>
    <w:p>
      <w:pPr>
        <w:pStyle w:val="Normal"/>
        <w:spacing w:before="0" w:after="80"/>
        <w:jc w:val="center"/>
        <w:rPr/>
      </w:pPr>
      <w:r>
        <w:rPr>
          <w:b/>
          <w:sz w:val="22"/>
        </w:rPr>
        <w:t xml:space="preserve">Submitted To:  </w:t>
      </w:r>
      <w:r>
        <w:rPr>
          <w:sz w:val="22"/>
        </w:rPr>
        <w:t>Mr. Ayush Singh</w:t>
      </w:r>
    </w:p>
    <w:p>
      <w:pPr>
        <w:pStyle w:val="Normal"/>
        <w:spacing w:before="0" w:after="80"/>
        <w:jc w:val="center"/>
        <w:rPr/>
      </w:pPr>
      <w:r>
        <w:rPr>
          <w:b/>
          <w:sz w:val="22"/>
        </w:rPr>
        <w:t xml:space="preserve">Date:  </w:t>
      </w:r>
      <w:r>
        <w:rPr>
          <w:sz w:val="22"/>
        </w:rPr>
        <w:t>April 2026</w:t>
      </w:r>
    </w:p>
    <w:p>
      <w:pPr>
        <w:pStyle w:val="Normal"/>
        <w:rPr/>
      </w:pPr>
      <w:r>
        <w:rPr/>
      </w:r>
      <w:r>
        <w:br w:type="page"/>
      </w:r>
    </w:p>
    <w:p>
      <w:pPr>
        <w:pStyle w:val="Normal"/>
        <w:pBdr>
          <w:bottom w:val="single" w:sz="4" w:space="2" w:color="C0392B"/>
        </w:pBdr>
        <w:spacing w:before="0" w:after="80"/>
        <w:rPr>
          <w:b/>
          <w:color w:val="C0392B"/>
          <w:sz w:val="30"/>
        </w:rPr>
      </w:pPr>
      <w:r>
        <w:rPr>
          <w:b/>
          <w:color w:val="C0392B"/>
          <w:sz w:val="30"/>
        </w:rPr>
        <w:t>1. Introduction</w:t>
      </w:r>
    </w:p>
    <w:p>
      <w:pPr>
        <w:pStyle w:val="Normal"/>
        <w:spacing w:before="0" w:after="120"/>
        <w:rPr/>
      </w:pPr>
      <w:r>
        <w:rPr/>
        <w:t>This report documents the hands-on work completed for the Cybersecurity Foundation Lab Assessment, assigned by Mr. Ayush Singh. The assessment covers three core practical tasks: network scanning and enumeration, network traffic analysis, and basic exploitation — all carried out inside an isolated virtual lab environment.</w:t>
      </w:r>
    </w:p>
    <w:p>
      <w:pPr>
        <w:pStyle w:val="Normal"/>
        <w:spacing w:before="0" w:after="120"/>
        <w:rPr/>
      </w:pPr>
      <w:r>
        <w:rPr/>
        <w:t>The tools used are Nmap for reconnaissance, Wireshark for packet analysis, and the Metasploit Framework for exploitation. Each task is documented with the actual commands run, screenshots of the output, and a summary of what was found.</w:t>
      </w:r>
    </w:p>
    <w:p>
      <w:pPr>
        <w:pStyle w:val="Normal"/>
        <w:pBdr>
          <w:bottom w:val="single" w:sz="4" w:space="2" w:color="C0392B"/>
        </w:pBdr>
        <w:spacing w:before="280" w:after="80"/>
        <w:rPr>
          <w:b/>
          <w:color w:val="C0392B"/>
          <w:sz w:val="30"/>
        </w:rPr>
      </w:pPr>
      <w:r>
        <w:rPr>
          <w:b/>
          <w:color w:val="C0392B"/>
          <w:sz w:val="30"/>
        </w:rPr>
        <w:t>2. Lab Setup &amp; Network Configuration</w:t>
      </w:r>
    </w:p>
    <w:p>
      <w:pPr>
        <w:pStyle w:val="Normal"/>
        <w:spacing w:before="0" w:after="120"/>
        <w:rPr/>
      </w:pPr>
      <w:r>
        <w:rPr/>
        <w:t>The lab was built using VMware Workstation Pro 25H2. A Host-Only network adapter was used so all machines are  private  with no internet exposure. Kali Linux runs as the attacker machine (host), Windows 10 x64 as an additional target, and Metasploitable 2 as the primary intentionally vulnerable target.</w:t>
      </w:r>
    </w:p>
    <w:p>
      <w:pPr>
        <w:pStyle w:val="Normal"/>
        <w:spacing w:before="280" w:after="80"/>
        <w:rPr>
          <w:b/>
          <w:color w:val="C0392B"/>
          <w:sz w:val="26"/>
        </w:rPr>
      </w:pPr>
      <w:r>
        <w:rPr>
          <w:b/>
          <w:color w:val="C0392B"/>
          <w:sz w:val="26"/>
        </w:rPr>
        <w:t>2.1  Virtualization Software</w:t>
      </w:r>
    </w:p>
    <w:p>
      <w:pPr>
        <w:pStyle w:val="Normal"/>
        <w:jc w:val="center"/>
        <w:rPr/>
      </w:pPr>
      <w:r>
        <w:rPr/>
        <w:drawing>
          <wp:inline distT="0" distB="0" distL="0" distR="0">
            <wp:extent cx="4572000" cy="4930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572000" cy="4930775"/>
                    </a:xfrm>
                    <a:prstGeom prst="rect">
                      <a:avLst/>
                    </a:prstGeom>
                    <a:noFill/>
                  </pic:spPr>
                </pic:pic>
              </a:graphicData>
            </a:graphic>
          </wp:inline>
        </w:drawing>
      </w:r>
    </w:p>
    <w:p>
      <w:pPr>
        <w:pStyle w:val="Normal"/>
        <w:spacing w:before="40" w:after="200"/>
        <w:jc w:val="center"/>
        <w:rPr/>
      </w:pPr>
      <w:r>
        <w:rPr>
          <w:i/>
          <w:color w:val="888888"/>
          <w:sz w:val="18"/>
        </w:rPr>
        <w:t>Figure 1 — VMware Workstation Pro 25H2 installed and running</w:t>
      </w:r>
    </w:p>
    <w:p>
      <w:pPr>
        <w:pStyle w:val="Normal"/>
        <w:spacing w:before="280" w:after="80"/>
        <w:rPr>
          <w:b/>
          <w:color w:val="C0392B"/>
          <w:sz w:val="26"/>
        </w:rPr>
      </w:pPr>
      <w:r>
        <w:rPr>
          <w:b/>
          <w:color w:val="C0392B"/>
          <w:sz w:val="26"/>
        </w:rPr>
        <w:t>2.2  Virtual Machines</w:t>
      </w:r>
    </w:p>
    <w:p>
      <w:pPr>
        <w:pStyle w:val="Normal"/>
        <w:jc w:val="center"/>
        <w:rPr/>
      </w:pPr>
      <w:r>
        <w:rPr/>
        <w:drawing>
          <wp:inline distT="0" distB="0" distL="0" distR="0">
            <wp:extent cx="5029200" cy="19030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029200" cy="190309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2 — All three VMs visible in VMware: Windows 10, Kali Linux, Metasploitable 2</w:t>
      </w:r>
    </w:p>
    <w:p>
      <w:pPr>
        <w:pStyle w:val="Normal"/>
        <w:spacing w:before="280" w:after="80"/>
        <w:rPr>
          <w:b/>
          <w:color w:val="C0392B"/>
          <w:sz w:val="26"/>
        </w:rPr>
      </w:pPr>
      <w:r>
        <w:rPr>
          <w:b/>
          <w:color w:val="C0392B"/>
          <w:sz w:val="26"/>
        </w:rPr>
        <w:t>2.3  VM Configuration Details</w:t>
      </w:r>
    </w:p>
    <w:tbl>
      <w:tblPr>
        <w:tblW w:w="9405" w:type="dxa"/>
        <w:jc w:val="center"/>
        <w:tblInd w:w="0" w:type="dxa"/>
        <w:tblLayout w:type="fixed"/>
        <w:tblCellMar>
          <w:top w:w="0" w:type="dxa"/>
          <w:start w:w="108" w:type="dxa"/>
          <w:bottom w:w="0" w:type="dxa"/>
          <w:end w:w="108" w:type="dxa"/>
        </w:tblCellMar>
      </w:tblPr>
      <w:tblGrid>
        <w:gridCol w:w="1881"/>
        <w:gridCol w:w="1881"/>
        <w:gridCol w:w="1881"/>
        <w:gridCol w:w="1881"/>
        <w:gridCol w:w="1881"/>
      </w:tblGrid>
      <w:tr>
        <w:trPr/>
        <w:tc>
          <w:tcPr>
            <w:tcW w:w="188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Machine</w:t>
            </w:r>
          </w:p>
        </w:tc>
        <w:tc>
          <w:tcPr>
            <w:tcW w:w="188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Role</w:t>
            </w:r>
          </w:p>
        </w:tc>
        <w:tc>
          <w:tcPr>
            <w:tcW w:w="188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RAM</w:t>
            </w:r>
          </w:p>
        </w:tc>
        <w:tc>
          <w:tcPr>
            <w:tcW w:w="188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Disk</w:t>
            </w:r>
          </w:p>
        </w:tc>
        <w:tc>
          <w:tcPr>
            <w:tcW w:w="188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Network Adapter</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Windows 10 x64</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Additional Target</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 GB</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60 GB</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Host-only</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Metasploitable 2</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Primary Vulnerable Target</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512 MB</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8 GB</w:t>
            </w:r>
          </w:p>
        </w:tc>
        <w:tc>
          <w:tcPr>
            <w:tcW w:w="188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Host-only</w:t>
            </w:r>
          </w:p>
        </w:tc>
      </w:tr>
    </w:tbl>
    <w:p>
      <w:pPr>
        <w:pStyle w:val="Normal"/>
        <w:rPr/>
      </w:pPr>
      <w:r>
        <w:rPr/>
      </w:r>
    </w:p>
    <w:p>
      <w:pPr>
        <w:pStyle w:val="Normal"/>
        <w:jc w:val="center"/>
        <w:rPr/>
      </w:pPr>
      <w:r>
        <w:rPr/>
        <w:drawing>
          <wp:inline distT="0" distB="0" distL="0" distR="0">
            <wp:extent cx="2743200" cy="35401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54012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3 — Windows 10 VM: Network Adapter set to Host-only</w:t>
      </w:r>
    </w:p>
    <w:p>
      <w:pPr>
        <w:pStyle w:val="Normal"/>
        <w:jc w:val="center"/>
        <w:rPr>
          <w:i/>
          <w:color w:val="888888"/>
          <w:sz w:val="18"/>
        </w:rPr>
      </w:pPr>
      <w:r>
        <w:rPr/>
      </w:r>
    </w:p>
    <w:p>
      <w:pPr>
        <w:pStyle w:val="Normal"/>
        <w:jc w:val="center"/>
        <w:rPr/>
      </w:pPr>
      <w:r>
        <w:rPr/>
        <w:drawing>
          <wp:inline distT="0" distB="0" distL="0" distR="0">
            <wp:extent cx="2743200" cy="258254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5"/>
                    <a:stretch>
                      <a:fillRect/>
                    </a:stretch>
                  </pic:blipFill>
                  <pic:spPr bwMode="auto">
                    <a:xfrm>
                      <a:off x="0" y="0"/>
                      <a:ext cx="2743200" cy="2582545"/>
                    </a:xfrm>
                    <a:prstGeom prst="rect">
                      <a:avLst/>
                    </a:prstGeom>
                    <a:noFill/>
                  </pic:spPr>
                </pic:pic>
              </a:graphicData>
            </a:graphic>
          </wp:inline>
        </w:drawing>
      </w:r>
    </w:p>
    <w:p>
      <w:pPr>
        <w:pStyle w:val="Normal"/>
        <w:spacing w:before="40" w:after="200"/>
        <w:jc w:val="center"/>
        <w:rPr/>
      </w:pPr>
      <w:r>
        <w:rPr>
          <w:i/>
          <w:color w:val="888888"/>
          <w:sz w:val="18"/>
        </w:rPr>
        <w:t xml:space="preserve">Figure </w:t>
      </w:r>
      <w:r>
        <w:rPr>
          <w:i/>
          <w:color w:val="888888"/>
          <w:sz w:val="18"/>
        </w:rPr>
        <w:t>4</w:t>
      </w:r>
      <w:r>
        <w:rPr>
          <w:i/>
          <w:color w:val="888888"/>
          <w:sz w:val="18"/>
        </w:rPr>
        <w:t xml:space="preserve"> — Metasploitable 2 VM: Network Adapter set to Host-only</w:t>
      </w:r>
    </w:p>
    <w:p>
      <w:pPr>
        <w:pStyle w:val="Normal"/>
        <w:spacing w:before="280" w:after="80"/>
        <w:rPr>
          <w:b/>
          <w:color w:val="C0392B"/>
          <w:sz w:val="26"/>
        </w:rPr>
      </w:pPr>
      <w:r>
        <w:rPr>
          <w:b/>
          <w:color w:val="C0392B"/>
          <w:sz w:val="26"/>
        </w:rPr>
        <w:t>2.4  IP Address Table</w:t>
      </w:r>
    </w:p>
    <w:tbl>
      <w:tblPr>
        <w:tblW w:w="9390" w:type="dxa"/>
        <w:jc w:val="center"/>
        <w:tblInd w:w="0" w:type="dxa"/>
        <w:tblLayout w:type="fixed"/>
        <w:tblCellMar>
          <w:top w:w="0" w:type="dxa"/>
          <w:start w:w="108" w:type="dxa"/>
          <w:bottom w:w="0" w:type="dxa"/>
          <w:end w:w="108" w:type="dxa"/>
        </w:tblCellMar>
      </w:tblPr>
      <w:tblGrid>
        <w:gridCol w:w="2340"/>
        <w:gridCol w:w="2340"/>
        <w:gridCol w:w="2355"/>
        <w:gridCol w:w="2355"/>
      </w:tblGrid>
      <w:tr>
        <w:trPr/>
        <w:tc>
          <w:tcPr>
            <w:tcW w:w="2340"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Machine</w:t>
            </w:r>
          </w:p>
        </w:tc>
        <w:tc>
          <w:tcPr>
            <w:tcW w:w="2340"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IP Address</w:t>
            </w:r>
          </w:p>
        </w:tc>
        <w:tc>
          <w:tcPr>
            <w:tcW w:w="2355"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Interface</w:t>
            </w:r>
          </w:p>
        </w:tc>
        <w:tc>
          <w:tcPr>
            <w:tcW w:w="2355"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Role</w:t>
            </w:r>
          </w:p>
        </w:tc>
      </w:tr>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Metasploitable 2</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192.168.38.130</w:t>
            </w:r>
          </w:p>
        </w:tc>
        <w:tc>
          <w:tcPr>
            <w:tcW w:w="235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vmnet1</w:t>
            </w:r>
          </w:p>
        </w:tc>
        <w:tc>
          <w:tcPr>
            <w:tcW w:w="235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Target</w:t>
            </w:r>
          </w:p>
        </w:tc>
      </w:tr>
      <w:tr>
        <w:trPr/>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Windows 10</w:t>
            </w:r>
          </w:p>
        </w:tc>
        <w:tc>
          <w:tcPr>
            <w:tcW w:w="2340"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Cs w:val="22"/>
                <w:lang w:val="en-US" w:eastAsia="en-US" w:bidi="ar-SA"/>
              </w:rPr>
            </w:pPr>
            <w:r>
              <w:rPr>
                <w:rFonts w:eastAsia="ＭＳ 明朝"/>
                <w:kern w:val="0"/>
                <w:sz w:val="20"/>
                <w:szCs w:val="22"/>
                <w:lang w:val="en-US" w:eastAsia="en-US" w:bidi="ar-SA"/>
              </w:rPr>
              <w:t>192.168.</w:t>
            </w:r>
            <w:r>
              <w:rPr>
                <w:rFonts w:eastAsia="ＭＳ 明朝"/>
                <w:kern w:val="0"/>
                <w:sz w:val="20"/>
                <w:szCs w:val="22"/>
                <w:lang w:val="en-US" w:eastAsia="en-US" w:bidi="ar-SA"/>
              </w:rPr>
              <w:t>38.129</w:t>
            </w:r>
          </w:p>
        </w:tc>
        <w:tc>
          <w:tcPr>
            <w:tcW w:w="235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vmnet1</w:t>
            </w:r>
          </w:p>
        </w:tc>
        <w:tc>
          <w:tcPr>
            <w:tcW w:w="235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Additional Target</w:t>
            </w:r>
          </w:p>
        </w:tc>
      </w:tr>
    </w:tbl>
    <w:p>
      <w:pPr>
        <w:pStyle w:val="Normal"/>
        <w:rPr/>
      </w:pPr>
      <w:r>
        <w:rPr/>
      </w:r>
    </w:p>
    <w:p>
      <w:pPr>
        <w:pStyle w:val="Normal"/>
        <w:spacing w:before="280" w:after="80"/>
        <w:rPr>
          <w:b/>
          <w:color w:val="C0392B"/>
          <w:sz w:val="26"/>
        </w:rPr>
      </w:pPr>
      <w:r>
        <w:rPr>
          <w:b/>
          <w:color w:val="C0392B"/>
          <w:sz w:val="26"/>
        </w:rPr>
        <w:t>2.5  Connectivity Verification</w:t>
      </w:r>
    </w:p>
    <w:p>
      <w:pPr>
        <w:pStyle w:val="Normal"/>
        <w:spacing w:before="0" w:after="120"/>
        <w:rPr/>
      </w:pPr>
      <w:r>
        <w:rPr/>
        <w:t>Before starting any tasks, connectivity between the machines was confirmed using ping from the Kali terminal to the Metasploitable target.</w:t>
      </w:r>
    </w:p>
    <w:p>
      <w:pPr>
        <w:pStyle w:val="Normal"/>
        <w:jc w:val="center"/>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972810" cy="268160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6"/>
                    <a:stretch>
                      <a:fillRect/>
                    </a:stretch>
                  </pic:blipFill>
                  <pic:spPr bwMode="auto">
                    <a:xfrm>
                      <a:off x="0" y="0"/>
                      <a:ext cx="5972810" cy="2681605"/>
                    </a:xfrm>
                    <a:prstGeom prst="rect">
                      <a:avLst/>
                    </a:prstGeom>
                    <a:noFill/>
                  </pic:spPr>
                </pic:pic>
              </a:graphicData>
            </a:graphic>
          </wp:anchor>
        </w:drawing>
      </w:r>
    </w:p>
    <w:p>
      <w:pPr>
        <w:pStyle w:val="Normal"/>
        <w:spacing w:before="40" w:after="200"/>
        <w:jc w:val="center"/>
        <w:rPr>
          <w:i/>
          <w:color w:val="888888"/>
          <w:sz w:val="18"/>
        </w:rPr>
      </w:pPr>
      <w:r>
        <w:rPr>
          <w:i/>
          <w:color w:val="888888"/>
          <w:sz w:val="18"/>
        </w:rPr>
        <w:t>Figure 6 — Ping from Kali (192.168.1.50) to Metasploitable (192.168.38.130) — 0% packet loss</w:t>
      </w:r>
    </w:p>
    <w:p>
      <w:pPr>
        <w:pStyle w:val="Normal"/>
        <w:jc w:val="center"/>
        <w:rPr/>
      </w:pPr>
      <w:r>
        <w:rPr/>
        <w:drawing>
          <wp:inline distT="0" distB="0" distL="0" distR="0">
            <wp:extent cx="5029200" cy="270637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7"/>
                    <a:stretch>
                      <a:fillRect/>
                    </a:stretch>
                  </pic:blipFill>
                  <pic:spPr bwMode="auto">
                    <a:xfrm>
                      <a:off x="0" y="0"/>
                      <a:ext cx="5029200" cy="270637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7 — Metasploitable network interface showing IP 192.168.38.130</w:t>
      </w:r>
    </w:p>
    <w:p>
      <w:pPr>
        <w:pStyle w:val="Normal"/>
        <w:pBdr>
          <w:bottom w:val="single" w:sz="4" w:space="2" w:color="C0392B"/>
        </w:pBdr>
        <w:spacing w:before="0" w:after="80"/>
        <w:rPr>
          <w:b/>
          <w:color w:val="C0392B"/>
          <w:sz w:val="30"/>
        </w:rPr>
      </w:pPr>
      <w:r>
        <w:rPr>
          <w:b/>
          <w:color w:val="C0392B"/>
          <w:sz w:val="30"/>
        </w:rPr>
        <w:t>3. Task 1 — Network Scanning &amp; Enumeration</w:t>
      </w:r>
    </w:p>
    <w:p>
      <w:pPr>
        <w:pStyle w:val="Normal"/>
        <w:spacing w:before="0" w:after="120"/>
        <w:rPr/>
      </w:pPr>
      <w:r>
        <w:rPr/>
        <w:t>Nmap was used to discover open ports, identify running services, detect service versions, and fingerprint the operating system on the Metasploitable target (192.168.38.130). The scan was done in stages — starting with a ping sweep to confirm the host is live, followed by progressively deeper scans on specific ports and services.</w:t>
      </w:r>
    </w:p>
    <w:p>
      <w:pPr>
        <w:pStyle w:val="Normal"/>
        <w:spacing w:before="280" w:after="80"/>
        <w:rPr>
          <w:b/>
          <w:color w:val="C0392B"/>
          <w:sz w:val="26"/>
        </w:rPr>
      </w:pPr>
      <w:r>
        <w:rPr>
          <w:b/>
          <w:color w:val="C0392B"/>
          <w:sz w:val="26"/>
        </w:rPr>
        <w:t>3.1  Host Discovery</w:t>
      </w:r>
    </w:p>
    <w:p>
      <w:pPr>
        <w:pStyle w:val="Normal"/>
        <w:jc w:val="center"/>
        <w:rPr/>
      </w:pPr>
      <w:r>
        <w:rPr/>
        <w:drawing>
          <wp:inline distT="0" distB="0" distL="0" distR="0">
            <wp:extent cx="5029200" cy="2632075"/>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pic:cNvPicPr>
                      <a:picLocks noChangeAspect="1" noChangeArrowheads="1"/>
                    </pic:cNvPicPr>
                  </pic:nvPicPr>
                  <pic:blipFill>
                    <a:blip r:embed="rId8"/>
                    <a:stretch>
                      <a:fillRect/>
                    </a:stretch>
                  </pic:blipFill>
                  <pic:spPr bwMode="auto">
                    <a:xfrm>
                      <a:off x="0" y="0"/>
                      <a:ext cx="5029200" cy="263207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8 — Nmap ping sweep confirming Metasploitable host is up</w:t>
      </w:r>
    </w:p>
    <w:p>
      <w:pPr>
        <w:pStyle w:val="Normal"/>
        <w:spacing w:before="280" w:after="80"/>
        <w:rPr>
          <w:b/>
          <w:color w:val="C0392B"/>
          <w:sz w:val="26"/>
        </w:rPr>
      </w:pPr>
      <w:r>
        <w:rPr>
          <w:b/>
          <w:color w:val="C0392B"/>
          <w:sz w:val="26"/>
        </w:rPr>
        <w:t>3.2  Full Port Scan — All Services</w:t>
      </w:r>
    </w:p>
    <w:p>
      <w:pPr>
        <w:pStyle w:val="Normal"/>
        <w:spacing w:before="0" w:after="120"/>
        <w:rPr/>
      </w:pPr>
      <w:r>
        <w:rPr/>
        <w:t>A full TCP scan was run against the target. The output below shows all open ports with their associated service names.</w:t>
      </w:r>
    </w:p>
    <w:p>
      <w:pPr>
        <w:pStyle w:val="Normal"/>
        <w:jc w:val="center"/>
        <w:rPr/>
      </w:pPr>
      <w:r>
        <w:rPr/>
        <w:drawing>
          <wp:inline distT="0" distB="0" distL="0" distR="0">
            <wp:extent cx="2952750" cy="4932045"/>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noChangeArrowheads="1"/>
                    </pic:cNvPicPr>
                  </pic:nvPicPr>
                  <pic:blipFill>
                    <a:blip r:embed="rId9"/>
                    <a:stretch>
                      <a:fillRect/>
                    </a:stretch>
                  </pic:blipFill>
                  <pic:spPr bwMode="auto">
                    <a:xfrm>
                      <a:off x="0" y="0"/>
                      <a:ext cx="2952750" cy="4932045"/>
                    </a:xfrm>
                    <a:prstGeom prst="rect">
                      <a:avLst/>
                    </a:prstGeom>
                    <a:noFill/>
                  </pic:spPr>
                </pic:pic>
              </a:graphicData>
            </a:graphic>
          </wp:inline>
        </w:drawing>
      </w:r>
    </w:p>
    <w:p>
      <w:pPr>
        <w:pStyle w:val="Normal"/>
        <w:jc w:val="center"/>
        <w:rPr>
          <w:i/>
          <w:color w:val="888888"/>
          <w:sz w:val="18"/>
        </w:rPr>
      </w:pPr>
      <w:r>
        <w:rPr>
          <w:i/>
          <w:color w:val="888888"/>
          <w:sz w:val="18"/>
        </w:rPr>
        <w:t>Figure 9 — Nmap full port scan output showing all open ports on Metasploitable</w:t>
      </w:r>
    </w:p>
    <w:p>
      <w:pPr>
        <w:pStyle w:val="Normal"/>
        <w:spacing w:before="280" w:after="80"/>
        <w:rPr/>
      </w:pPr>
      <w:r>
        <w:rPr>
          <w:b/>
          <w:color w:val="C0392B"/>
          <w:sz w:val="26"/>
        </w:rPr>
        <w:t>3.</w:t>
      </w:r>
      <w:r>
        <w:rPr>
          <w:b/>
          <w:color w:val="C0392B"/>
          <w:sz w:val="26"/>
        </w:rPr>
        <w:t>3</w:t>
      </w:r>
      <w:r>
        <w:rPr>
          <w:b/>
          <w:color w:val="C0392B"/>
          <w:sz w:val="26"/>
        </w:rPr>
        <w:t xml:space="preserve">  Open Ports Summary</w:t>
      </w:r>
    </w:p>
    <w:tbl>
      <w:tblPr>
        <w:tblW w:w="9404" w:type="dxa"/>
        <w:jc w:val="center"/>
        <w:tblInd w:w="0" w:type="dxa"/>
        <w:tblLayout w:type="fixed"/>
        <w:tblCellMar>
          <w:top w:w="0" w:type="dxa"/>
          <w:start w:w="108" w:type="dxa"/>
          <w:bottom w:w="0" w:type="dxa"/>
          <w:end w:w="108" w:type="dxa"/>
        </w:tblCellMar>
      </w:tblPr>
      <w:tblGrid>
        <w:gridCol w:w="2351"/>
        <w:gridCol w:w="2351"/>
        <w:gridCol w:w="2351"/>
        <w:gridCol w:w="2351"/>
      </w:tblGrid>
      <w:tr>
        <w:trPr/>
        <w:tc>
          <w:tcPr>
            <w:tcW w:w="235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Port</w:t>
            </w:r>
          </w:p>
        </w:tc>
        <w:tc>
          <w:tcPr>
            <w:tcW w:w="235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Service</w:t>
            </w:r>
          </w:p>
        </w:tc>
        <w:tc>
          <w:tcPr>
            <w:tcW w:w="235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Version</w:t>
            </w:r>
          </w:p>
        </w:tc>
        <w:tc>
          <w:tcPr>
            <w:tcW w:w="235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Note</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21</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FTP</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vsftpd 2.3.4</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Backdoored — CVE-2011-2523</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22</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SSH</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OpenSSH 4.7p1</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Outdated version</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23</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Telnet</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Linux telnetd</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Cleartext protocol</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25</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SMTP</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Postfix smtpd</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20 users enumerated</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53</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DNS</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ISC BIND 9.4.2</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Exposed DNS service</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80</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HTTP</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Apache 2.2.8 (Ubuntu)</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Version disclosed</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111</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RPCBind</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 (RPC #100000)</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NFS/mountd exposed</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139</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SMB</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Samba smbd 3.X–4.X</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Exploitable version</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445</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SMB</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Samba smbd 3.X–4.X</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Exploitable version</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1524</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Bindshell</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Root shell</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Direct root access</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2049</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NFS</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2-4 (RPC #100003)</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No access control</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3306</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MySQL</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MySQL 5.0.51a</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No auth by default</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5432</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PostgreSQL</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PostgreSQL 8.3.0</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Database exposed</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5900</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VNC</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Protocol 3.3</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Remote desktop open</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6667</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IRC</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UnrealIRCd</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Known vulnerable</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8180</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HTTP</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Apache Tomcat JSP 1.1</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Management interface</w:t>
            </w:r>
          </w:p>
        </w:tc>
      </w:tr>
    </w:tbl>
    <w:p>
      <w:pPr>
        <w:pStyle w:val="Normal"/>
        <w:spacing w:before="280" w:after="80"/>
        <w:rPr/>
      </w:pPr>
      <w:r>
        <w:rPr>
          <w:b/>
          <w:color w:val="C0392B"/>
          <w:sz w:val="26"/>
        </w:rPr>
        <w:t>3.</w:t>
      </w:r>
      <w:r>
        <w:rPr>
          <w:b/>
          <w:color w:val="C0392B"/>
          <w:sz w:val="26"/>
        </w:rPr>
        <w:t>4</w:t>
      </w:r>
      <w:r>
        <w:rPr>
          <w:b/>
          <w:color w:val="C0392B"/>
          <w:sz w:val="26"/>
        </w:rPr>
        <w:t xml:space="preserve">  FTP Service Scan (Port 21)</w:t>
      </w:r>
    </w:p>
    <w:p>
      <w:pPr>
        <w:pStyle w:val="Normal"/>
        <w:spacing w:before="0" w:after="120"/>
        <w:rPr/>
      </w:pPr>
      <w:r>
        <w:rPr/>
        <w:t>A detailed scan of port 21 revealed vsftpd 2.3.4 running with anonymous login allowed. The -A flag was used to get full service and OS detail.</w:t>
      </w:r>
    </w:p>
    <w:p>
      <w:pPr>
        <w:pStyle w:val="Normal"/>
        <w:jc w:val="center"/>
        <w:rPr/>
      </w:pPr>
      <w:r>
        <w:rPr/>
        <w:drawing>
          <wp:inline distT="0" distB="0" distL="0" distR="0">
            <wp:extent cx="4705350" cy="3938905"/>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noChangeArrowheads="1"/>
                    </pic:cNvPicPr>
                  </pic:nvPicPr>
                  <pic:blipFill>
                    <a:blip r:embed="rId10"/>
                    <a:stretch>
                      <a:fillRect/>
                    </a:stretch>
                  </pic:blipFill>
                  <pic:spPr bwMode="auto">
                    <a:xfrm>
                      <a:off x="0" y="0"/>
                      <a:ext cx="4705350" cy="393890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10 — Nmap -sV -sC -A on port 21: vsftpd 2.3.4, anonymous FTP login allowed</w:t>
      </w:r>
    </w:p>
    <w:p>
      <w:pPr>
        <w:pStyle w:val="Normal"/>
        <w:spacing w:before="280" w:after="80"/>
        <w:rPr/>
      </w:pPr>
      <w:r>
        <w:rPr>
          <w:b/>
          <w:color w:val="C0392B"/>
          <w:sz w:val="26"/>
        </w:rPr>
        <w:t>3.</w:t>
      </w:r>
      <w:r>
        <w:rPr>
          <w:b/>
          <w:color w:val="C0392B"/>
          <w:sz w:val="26"/>
        </w:rPr>
        <w:t>5</w:t>
      </w:r>
      <w:r>
        <w:rPr>
          <w:b/>
          <w:color w:val="C0392B"/>
          <w:sz w:val="26"/>
        </w:rPr>
        <w:t xml:space="preserve">  Vulnerability Detection — vsftpd Backdoor</w:t>
      </w:r>
    </w:p>
    <w:p>
      <w:pPr>
        <w:pStyle w:val="Normal"/>
        <w:spacing w:before="0" w:after="120"/>
        <w:rPr/>
      </w:pPr>
      <w:r>
        <w:rPr/>
        <w:t>Running the Nmap vuln script against port 21 confirmed that vsftpd 2.3.4 contains the known backdoor vulnerability CVE-2011-2523. Nmap explicitly flagged it as VULNERABLE and exploitable.</w:t>
      </w:r>
    </w:p>
    <w:p>
      <w:pPr>
        <w:pStyle w:val="Normal"/>
        <w:jc w:val="center"/>
        <w:rPr/>
      </w:pPr>
      <w:r>
        <w:rPr/>
        <w:drawing>
          <wp:inline distT="0" distB="0" distL="0" distR="0">
            <wp:extent cx="4114800" cy="2371090"/>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noChangeArrowheads="1"/>
                    </pic:cNvPicPr>
                  </pic:nvPicPr>
                  <pic:blipFill>
                    <a:blip r:embed="rId11"/>
                    <a:stretch>
                      <a:fillRect/>
                    </a:stretch>
                  </pic:blipFill>
                  <pic:spPr bwMode="auto">
                    <a:xfrm>
                      <a:off x="0" y="0"/>
                      <a:ext cx="4114800" cy="237109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11 — Nmap vuln script confirming CVE-2011-2523: vsftpd 2.3.4 backdoor VULNERABLE</w:t>
      </w:r>
    </w:p>
    <w:p>
      <w:pPr>
        <w:pStyle w:val="Normal"/>
        <w:spacing w:before="280" w:after="80"/>
        <w:rPr/>
      </w:pPr>
      <w:r>
        <w:rPr>
          <w:b/>
          <w:color w:val="C0392B"/>
          <w:sz w:val="26"/>
        </w:rPr>
        <w:t>3.</w:t>
      </w:r>
      <w:r>
        <w:rPr>
          <w:b/>
          <w:color w:val="C0392B"/>
          <w:sz w:val="26"/>
        </w:rPr>
        <w:t>6</w:t>
      </w:r>
      <w:r>
        <w:rPr>
          <w:b/>
          <w:color w:val="C0392B"/>
          <w:sz w:val="26"/>
        </w:rPr>
        <w:t xml:space="preserve">  FTP Anonymous Login Verification</w:t>
      </w:r>
    </w:p>
    <w:p>
      <w:pPr>
        <w:pStyle w:val="Normal"/>
        <w:jc w:val="center"/>
        <w:rPr/>
      </w:pPr>
      <w:r>
        <w:rPr/>
        <w:drawing>
          <wp:inline distT="0" distB="0" distL="0" distR="0">
            <wp:extent cx="5029200" cy="219075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noChangeArrowheads="1"/>
                    </pic:cNvPicPr>
                  </pic:nvPicPr>
                  <pic:blipFill>
                    <a:blip r:embed="rId12"/>
                    <a:stretch>
                      <a:fillRect/>
                    </a:stretch>
                  </pic:blipFill>
                  <pic:spPr bwMode="auto">
                    <a:xfrm>
                      <a:off x="0" y="0"/>
                      <a:ext cx="5029200" cy="219075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12 — FTP anonymous login confirmed on Metasploitable</w:t>
      </w:r>
    </w:p>
    <w:p>
      <w:pPr>
        <w:pStyle w:val="Normal"/>
        <w:spacing w:before="280" w:after="80"/>
        <w:rPr/>
      </w:pPr>
      <w:r>
        <w:rPr>
          <w:b/>
          <w:color w:val="C0392B"/>
          <w:sz w:val="26"/>
        </w:rPr>
        <w:t>3.</w:t>
      </w:r>
      <w:r>
        <w:rPr>
          <w:b/>
          <w:color w:val="C0392B"/>
          <w:sz w:val="26"/>
        </w:rPr>
        <w:t>7</w:t>
      </w:r>
      <w:r>
        <w:rPr>
          <w:b/>
          <w:color w:val="C0392B"/>
          <w:sz w:val="26"/>
        </w:rPr>
        <w:t xml:space="preserve">  SMTP User Enumeration (Port 25)</w:t>
      </w:r>
    </w:p>
    <w:p>
      <w:pPr>
        <w:pStyle w:val="Normal"/>
        <w:spacing w:before="0" w:after="120"/>
        <w:rPr/>
      </w:pPr>
      <w:r>
        <w:rPr/>
        <w:t>smtp-user-enum was run against the SMTP service on port 25 using the VRFY method. 20 valid system users were found.</w:t>
      </w:r>
    </w:p>
    <w:p>
      <w:pPr>
        <w:pStyle w:val="Normal"/>
        <w:jc w:val="center"/>
        <w:rPr/>
      </w:pPr>
      <w:r>
        <w:rPr/>
        <w:drawing>
          <wp:inline distT="0" distB="0" distL="0" distR="0">
            <wp:extent cx="4072890" cy="4288790"/>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13"/>
                    <a:stretch>
                      <a:fillRect/>
                    </a:stretch>
                  </pic:blipFill>
                  <pic:spPr bwMode="auto">
                    <a:xfrm>
                      <a:off x="0" y="0"/>
                      <a:ext cx="4072890" cy="4288790"/>
                    </a:xfrm>
                    <a:prstGeom prst="rect">
                      <a:avLst/>
                    </a:prstGeom>
                    <a:noFill/>
                  </pic:spPr>
                </pic:pic>
              </a:graphicData>
            </a:graphic>
          </wp:inline>
        </w:drawing>
      </w:r>
    </w:p>
    <w:p>
      <w:pPr>
        <w:pStyle w:val="Normal"/>
        <w:jc w:val="center"/>
        <w:rPr>
          <w:i/>
          <w:color w:val="888888"/>
          <w:sz w:val="18"/>
        </w:rPr>
      </w:pPr>
      <w:r>
        <w:rPr>
          <w:i/>
          <w:color w:val="888888"/>
          <w:sz w:val="18"/>
        </w:rPr>
        <w:t>Figure 13 — SMTP user enumeration: 20 valid users found on Metasploitabl</w:t>
      </w:r>
    </w:p>
    <w:p>
      <w:pPr>
        <w:pStyle w:val="Normal"/>
        <w:jc w:val="center"/>
        <w:rPr>
          <w:b/>
          <w:i/>
          <w:color w:val="888888"/>
          <w:sz w:val="18"/>
        </w:rPr>
      </w:pPr>
      <w:r>
        <w:rPr>
          <w:b/>
          <w:i/>
          <w:color w:val="888888"/>
          <w:sz w:val="18"/>
        </w:rPr>
      </w:r>
    </w:p>
    <w:p>
      <w:pPr>
        <w:pStyle w:val="Normal"/>
        <w:jc w:val="center"/>
        <w:rPr>
          <w:b/>
          <w:color w:val="C0392B"/>
          <w:sz w:val="26"/>
        </w:rPr>
      </w:pPr>
      <w:r>
        <w:rPr>
          <w:b/>
          <w:color w:val="C0392B"/>
          <w:sz w:val="26"/>
        </w:rPr>
        <w:t>3.7  RPC / NFS Enumeration (Port 111)</w:t>
      </w:r>
    </w:p>
    <w:p>
      <w:pPr>
        <w:pStyle w:val="Normal"/>
        <w:jc w:val="center"/>
        <w:rPr/>
      </w:pPr>
      <w:r>
        <w:rPr/>
        <w:drawing>
          <wp:inline distT="0" distB="0" distL="0" distR="0">
            <wp:extent cx="5029200" cy="4730115"/>
            <wp:effectExtent l="0" t="0" r="0" b="0"/>
            <wp:docPr id="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pic:cNvPicPr>
                      <a:picLocks noChangeAspect="1" noChangeArrowheads="1"/>
                    </pic:cNvPicPr>
                  </pic:nvPicPr>
                  <pic:blipFill>
                    <a:blip r:embed="rId14"/>
                    <a:stretch>
                      <a:fillRect/>
                    </a:stretch>
                  </pic:blipFill>
                  <pic:spPr bwMode="auto">
                    <a:xfrm>
                      <a:off x="0" y="0"/>
                      <a:ext cx="5029200" cy="473011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14 — Nmap scan on port 111: rpcbind, NFS, mountd, nlockmgr exposed</w:t>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t>4. Task 2 — Network Traffic Analysis</w:t>
      </w:r>
    </w:p>
    <w:p>
      <w:pPr>
        <w:pStyle w:val="Normal"/>
        <w:spacing w:before="0" w:after="120"/>
        <w:rPr/>
      </w:pPr>
      <w:r>
        <w:rPr/>
        <w:t>Wireshark was used to capture live network traffic on the vmnet1 (Host-Only) interface during active interaction with the target. The goal was to observe how different protocols behave at the packet level, identify cleartext credential exposure, and understand what information is visible to anyone on the same network segment.</w:t>
      </w:r>
    </w:p>
    <w:p>
      <w:pPr>
        <w:pStyle w:val="Normal"/>
        <w:spacing w:before="280" w:after="80"/>
        <w:rPr>
          <w:b/>
          <w:color w:val="C0392B"/>
          <w:sz w:val="26"/>
        </w:rPr>
      </w:pPr>
      <w:r>
        <w:rPr>
          <w:b/>
          <w:color w:val="C0392B"/>
          <w:sz w:val="26"/>
        </w:rPr>
        <w:t>4.1  HTTP Traffic Capture</w:t>
      </w:r>
    </w:p>
    <w:p>
      <w:pPr>
        <w:pStyle w:val="Normal"/>
        <w:spacing w:before="0" w:after="120"/>
        <w:rPr/>
      </w:pPr>
      <w:r>
        <w:rPr/>
        <w:t>HTTP traffic between Kali and the Metasploitable web server (port 80) was captured. The packet inspection pane shows a POST request with form data — including field names and values — fully visible in plaintext. No decryption was needed.</w:t>
      </w:r>
    </w:p>
    <w:p>
      <w:pPr>
        <w:pStyle w:val="Normal"/>
        <w:jc w:val="center"/>
        <w:rPr/>
      </w:pPr>
      <w:r>
        <w:rPr/>
        <w:drawing>
          <wp:inline distT="0" distB="0" distL="0" distR="0">
            <wp:extent cx="5029200" cy="2691130"/>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pic:cNvPicPr>
                      <a:picLocks noChangeAspect="1" noChangeArrowheads="1"/>
                    </pic:cNvPicPr>
                  </pic:nvPicPr>
                  <pic:blipFill>
                    <a:blip r:embed="rId15"/>
                    <a:stretch>
                      <a:fillRect/>
                    </a:stretch>
                  </pic:blipFill>
                  <pic:spPr bwMode="auto">
                    <a:xfrm>
                      <a:off x="0" y="0"/>
                      <a:ext cx="5029200" cy="269113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15 — HTTP POST request captured: form data visible in cleartext</w:t>
      </w:r>
    </w:p>
    <w:p>
      <w:pPr>
        <w:pStyle w:val="Normal"/>
        <w:spacing w:before="280" w:after="80"/>
        <w:rPr>
          <w:b/>
          <w:color w:val="C0392B"/>
          <w:sz w:val="26"/>
        </w:rPr>
      </w:pPr>
      <w:r>
        <w:rPr>
          <w:b/>
          <w:color w:val="C0392B"/>
          <w:sz w:val="26"/>
        </w:rPr>
        <w:t>4.2  Traffic Overview — Multiple Protocols</w:t>
      </w:r>
    </w:p>
    <w:p>
      <w:pPr>
        <w:pStyle w:val="Normal"/>
        <w:jc w:val="center"/>
        <w:rPr/>
      </w:pPr>
      <w:r>
        <w:rPr/>
        <w:drawing>
          <wp:inline distT="0" distB="0" distL="0" distR="0">
            <wp:extent cx="5029200" cy="1287145"/>
            <wp:effectExtent l="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pic:cNvPicPr>
                      <a:picLocks noChangeAspect="1" noChangeArrowheads="1"/>
                    </pic:cNvPicPr>
                  </pic:nvPicPr>
                  <pic:blipFill>
                    <a:blip r:embed="rId16"/>
                    <a:stretch>
                      <a:fillRect/>
                    </a:stretch>
                  </pic:blipFill>
                  <pic:spPr bwMode="auto">
                    <a:xfrm>
                      <a:off x="0" y="0"/>
                      <a:ext cx="5029200" cy="128714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16 — Wireshark packet list: HTTP, TCP, and other protocol traffic visible</w:t>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t>4.3  FTP Credentials in Plaintext</w:t>
      </w:r>
    </w:p>
    <w:p>
      <w:pPr>
        <w:pStyle w:val="Normal"/>
        <w:spacing w:before="0" w:after="120"/>
        <w:rPr/>
      </w:pPr>
      <w:r>
        <w:rPr/>
        <w:t>FTP login packets were captured and inspected. The USER and PASS commands are sent in cleartext — the username "anonymous" and password "pass" are directly readable in the packet detail pane without any decryption.</w:t>
      </w:r>
    </w:p>
    <w:p>
      <w:pPr>
        <w:pStyle w:val="Normal"/>
        <w:jc w:val="center"/>
        <w:rPr/>
      </w:pPr>
      <w:r>
        <w:rPr/>
        <w:drawing>
          <wp:inline distT="0" distB="0" distL="0" distR="0">
            <wp:extent cx="5029200" cy="1367155"/>
            <wp:effectExtent l="0" t="0" r="0" b="0"/>
            <wp:docPr id="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pic:cNvPicPr>
                      <a:picLocks noChangeAspect="1" noChangeArrowheads="1"/>
                    </pic:cNvPicPr>
                  </pic:nvPicPr>
                  <pic:blipFill>
                    <a:blip r:embed="rId17"/>
                    <a:stretch>
                      <a:fillRect/>
                    </a:stretch>
                  </pic:blipFill>
                  <pic:spPr bwMode="auto">
                    <a:xfrm>
                      <a:off x="0" y="0"/>
                      <a:ext cx="5029200" cy="136715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17 — FTP USER anonymous captured in plaintext (Frame 188)</w:t>
      </w:r>
    </w:p>
    <w:p>
      <w:pPr>
        <w:pStyle w:val="Normal"/>
        <w:jc w:val="center"/>
        <w:rPr/>
      </w:pPr>
      <w:r>
        <w:rPr/>
        <w:drawing>
          <wp:inline distT="0" distB="0" distL="0" distR="0">
            <wp:extent cx="5029200" cy="1524635"/>
            <wp:effectExtent l="0" t="0" r="0" b="0"/>
            <wp:docPr id="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pic:cNvPicPr>
                      <a:picLocks noChangeAspect="1" noChangeArrowheads="1"/>
                    </pic:cNvPicPr>
                  </pic:nvPicPr>
                  <pic:blipFill>
                    <a:blip r:embed="rId18"/>
                    <a:stretch>
                      <a:fillRect/>
                    </a:stretch>
                  </pic:blipFill>
                  <pic:spPr bwMode="auto">
                    <a:xfrm>
                      <a:off x="0" y="0"/>
                      <a:ext cx="5029200" cy="152463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18 — FTP PASS captured in plaintext — password visible in packet (Frame 192)</w:t>
      </w:r>
    </w:p>
    <w:p>
      <w:pPr>
        <w:pStyle w:val="Normal"/>
        <w:spacing w:before="280" w:after="80"/>
        <w:rPr>
          <w:b/>
          <w:color w:val="C0392B"/>
          <w:sz w:val="26"/>
        </w:rPr>
      </w:pPr>
      <w:r>
        <w:rPr>
          <w:b/>
          <w:color w:val="C0392B"/>
          <w:sz w:val="26"/>
        </w:rPr>
        <w:t>4.4  Telnet Session — Unencrypted Terminal</w:t>
      </w:r>
    </w:p>
    <w:p>
      <w:pPr>
        <w:pStyle w:val="Normal"/>
        <w:spacing w:before="0" w:after="120"/>
        <w:rPr/>
      </w:pPr>
      <w:r>
        <w:rPr/>
        <w:t>A Telnet connection from the target to the host was captured. The packet detail shows the Telnet negotiation (Terminal Type, Speed, X Display) in readable form. Every command in a Telnet session is transmitted as plaintext, making it trivial to read any session data.</w:t>
      </w:r>
    </w:p>
    <w:p>
      <w:pPr>
        <w:pStyle w:val="Normal"/>
        <w:jc w:val="center"/>
        <w:rPr/>
      </w:pPr>
      <w:r>
        <w:rPr/>
        <w:drawing>
          <wp:inline distT="0" distB="0" distL="0" distR="0">
            <wp:extent cx="5029200" cy="237045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19"/>
                    <a:stretch>
                      <a:fillRect/>
                    </a:stretch>
                  </pic:blipFill>
                  <pic:spPr bwMode="auto">
                    <a:xfrm>
                      <a:off x="0" y="0"/>
                      <a:ext cx="5029200" cy="237045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19 — Telnet packet decoded: Terminal Type and Speed negotiation visible in Frame 251</w:t>
      </w:r>
    </w:p>
    <w:p>
      <w:pPr>
        <w:pStyle w:val="Normal"/>
        <w:spacing w:before="280" w:after="80"/>
        <w:rPr/>
      </w:pPr>
      <w:r>
        <w:rPr>
          <w:b/>
          <w:color w:val="C0392B"/>
          <w:sz w:val="26"/>
        </w:rPr>
        <w:t>4.5  RPC  Traffic</w:t>
      </w:r>
    </w:p>
    <w:p>
      <w:pPr>
        <w:pStyle w:val="Normal"/>
        <w:jc w:val="center"/>
        <w:rPr/>
      </w:pPr>
      <w:r>
        <w:rPr/>
        <w:drawing>
          <wp:inline distT="0" distB="0" distL="0" distR="0">
            <wp:extent cx="5029200" cy="1658620"/>
            <wp:effectExtent l="0" t="0" r="0" b="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noChangeArrowheads="1"/>
                    </pic:cNvPicPr>
                  </pic:nvPicPr>
                  <pic:blipFill>
                    <a:blip r:embed="rId20"/>
                    <a:stretch>
                      <a:fillRect/>
                    </a:stretch>
                  </pic:blipFill>
                  <pic:spPr bwMode="auto">
                    <a:xfrm>
                      <a:off x="0" y="0"/>
                      <a:ext cx="5029200" cy="165862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20 — RPC Portmap DUMP call captured (Frame 292) — NFS service enumeration</w:t>
      </w:r>
    </w:p>
    <w:p>
      <w:pPr>
        <w:pStyle w:val="Normal"/>
        <w:spacing w:before="280" w:after="80"/>
        <w:rPr>
          <w:b/>
          <w:color w:val="C0392B"/>
          <w:sz w:val="26"/>
        </w:rPr>
      </w:pPr>
      <w:r>
        <w:rPr>
          <w:b/>
          <w:color w:val="C0392B"/>
          <w:sz w:val="26"/>
        </w:rPr>
        <w:t>4.6  Filters Used</w:t>
      </w:r>
    </w:p>
    <w:tbl>
      <w:tblPr>
        <w:tblW w:w="9405" w:type="dxa"/>
        <w:jc w:val="center"/>
        <w:tblInd w:w="0" w:type="dxa"/>
        <w:tblLayout w:type="fixed"/>
        <w:tblCellMar>
          <w:top w:w="0" w:type="dxa"/>
          <w:start w:w="108" w:type="dxa"/>
          <w:bottom w:w="0" w:type="dxa"/>
          <w:end w:w="108" w:type="dxa"/>
        </w:tblCellMar>
      </w:tblPr>
      <w:tblGrid>
        <w:gridCol w:w="3135"/>
        <w:gridCol w:w="3135"/>
        <w:gridCol w:w="3135"/>
      </w:tblGrid>
      <w:tr>
        <w:trPr/>
        <w:tc>
          <w:tcPr>
            <w:tcW w:w="3135"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Filter Expression</w:t>
            </w:r>
          </w:p>
        </w:tc>
        <w:tc>
          <w:tcPr>
            <w:tcW w:w="3135"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Purpose</w:t>
            </w:r>
          </w:p>
        </w:tc>
        <w:tc>
          <w:tcPr>
            <w:tcW w:w="3135"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What Was Found</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tcp.port == 21</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FTP traffic</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USER/PASS in plaintext</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http</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HTTP requests</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Form data, server headers</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tcp.port == 23</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Telnet traffic</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Full unencrypted session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tcp.port == 111</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RPC traffic</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NFS/Portmap enumeration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icmp</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Ping verification</w:t>
            </w:r>
          </w:p>
        </w:tc>
        <w:tc>
          <w:tcPr>
            <w:tcW w:w="3135"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Host alive confirmation</w:t>
            </w:r>
          </w:p>
        </w:tc>
      </w:tr>
    </w:tbl>
    <w:p>
      <w:pPr>
        <w:pStyle w:val="Normal"/>
        <w:pBdr>
          <w:bottom w:val="single" w:sz="4" w:space="2" w:color="C0392B"/>
        </w:pBdr>
        <w:spacing w:before="0" w:after="80"/>
        <w:rPr>
          <w:b/>
          <w:color w:val="C0392B"/>
          <w:sz w:val="30"/>
        </w:rPr>
      </w:pPr>
      <w:r>
        <w:rPr>
          <w:b/>
          <w:color w:val="C0392B"/>
          <w:sz w:val="30"/>
        </w:rPr>
      </w:r>
    </w:p>
    <w:p>
      <w:pPr>
        <w:pStyle w:val="Normal"/>
        <w:pBdr>
          <w:bottom w:val="single" w:sz="4" w:space="2" w:color="C0392B"/>
        </w:pBdr>
        <w:spacing w:before="0" w:after="80"/>
        <w:rPr>
          <w:b/>
          <w:color w:val="C0392B"/>
          <w:sz w:val="30"/>
        </w:rPr>
      </w:pPr>
      <w:r>
        <w:rPr>
          <w:b/>
          <w:color w:val="C0392B"/>
          <w:sz w:val="30"/>
        </w:rPr>
        <w:t>5. Task 3 — Basic Exploitation</w:t>
      </w:r>
    </w:p>
    <w:p>
      <w:pPr>
        <w:pStyle w:val="Normal"/>
        <w:spacing w:before="0" w:after="120"/>
        <w:rPr/>
      </w:pPr>
      <w:r>
        <w:rPr/>
        <w:t>The exploitation task targeted CVE-2011-2523 — a backdoor deliberately introduced into vsftpd 2.3.4 in 2011. When a username containing ":)" is sent to the FTP service, the backdoor opens a bind shell on TCP port 6200, giving the connecting client a root shell with no password required. The Metasploit Framework was used to automate this.</w:t>
      </w:r>
    </w:p>
    <w:p>
      <w:pPr>
        <w:pStyle w:val="Normal"/>
        <w:spacing w:before="280" w:after="80"/>
        <w:rPr>
          <w:b/>
          <w:color w:val="C0392B"/>
          <w:sz w:val="26"/>
        </w:rPr>
      </w:pPr>
      <w:r>
        <w:rPr>
          <w:b/>
          <w:color w:val="C0392B"/>
          <w:sz w:val="26"/>
        </w:rPr>
        <w:t>5.1  Vulnerability Details</w:t>
      </w:r>
    </w:p>
    <w:tbl>
      <w:tblPr>
        <w:tblW w:w="9406" w:type="dxa"/>
        <w:jc w:val="center"/>
        <w:tblInd w:w="0" w:type="dxa"/>
        <w:tblLayout w:type="fixed"/>
        <w:tblCellMar>
          <w:top w:w="0" w:type="dxa"/>
          <w:start w:w="108" w:type="dxa"/>
          <w:bottom w:w="0" w:type="dxa"/>
          <w:end w:w="108" w:type="dxa"/>
        </w:tblCellMar>
      </w:tblPr>
      <w:tblGrid>
        <w:gridCol w:w="4703"/>
        <w:gridCol w:w="4703"/>
      </w:tblGrid>
      <w:tr>
        <w:trPr/>
        <w:tc>
          <w:tcPr>
            <w:tcW w:w="4703"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Field</w:t>
            </w:r>
          </w:p>
        </w:tc>
        <w:tc>
          <w:tcPr>
            <w:tcW w:w="4703"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Detail</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CVE ID</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CVE-2011-2523</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Affected Software</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vsftpd 2.3.4</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Type</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Remote Code Execution — Backdoor</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Authentication Required</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None</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Metasploit Module</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exploit/unix/ftp/vsftpd_234_backdoor</w:t>
            </w:r>
          </w:p>
        </w:tc>
      </w:tr>
      <w:tr>
        <w:trPr/>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Result</w:t>
            </w:r>
          </w:p>
        </w:tc>
        <w:tc>
          <w:tcPr>
            <w:tcW w:w="4703"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Root shell on target system</w:t>
            </w:r>
          </w:p>
        </w:tc>
      </w:tr>
    </w:tbl>
    <w:p>
      <w:pPr>
        <w:pStyle w:val="Normal"/>
        <w:rPr/>
      </w:pPr>
      <w:r>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t>5.2  Exploitation Steps</w:t>
      </w:r>
    </w:p>
    <w:p>
      <w:pPr>
        <w:pStyle w:val="Normal"/>
        <w:spacing w:before="0" w:after="120"/>
        <w:rPr/>
      </w:pPr>
      <w:r>
        <w:rPr/>
        <w:t>The full Metasploit session is shown below — from searching for the module through to receiving a root shell on the target.</w:t>
      </w:r>
    </w:p>
    <w:p>
      <w:pPr>
        <w:pStyle w:val="Normal"/>
        <w:jc w:val="center"/>
        <w:rPr/>
      </w:pPr>
      <w:r>
        <w:rPr/>
        <w:drawing>
          <wp:inline distT="0" distB="0" distL="0" distR="0">
            <wp:extent cx="5029200" cy="5379720"/>
            <wp:effectExtent l="0" t="0" r="0" b="0"/>
            <wp:docPr id="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
                    <pic:cNvPicPr>
                      <a:picLocks noChangeAspect="1" noChangeArrowheads="1"/>
                    </pic:cNvPicPr>
                  </pic:nvPicPr>
                  <pic:blipFill>
                    <a:blip r:embed="rId21"/>
                    <a:stretch>
                      <a:fillRect/>
                    </a:stretch>
                  </pic:blipFill>
                  <pic:spPr bwMode="auto">
                    <a:xfrm>
                      <a:off x="0" y="0"/>
                      <a:ext cx="5029200" cy="537972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21 — Metasploit: vsftpd_234_backdoor module configured and executed against 192.168.38.130</w:t>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t>5.3  Root Shell Obtained</w:t>
      </w:r>
    </w:p>
    <w:p>
      <w:pPr>
        <w:pStyle w:val="Normal"/>
        <w:spacing w:before="0" w:after="120"/>
        <w:rPr/>
      </w:pPr>
      <w:r>
        <w:rPr/>
        <w:t>After the exploit ran, a command shell session opened. The id command confirmed root access (uid=0). The ls command showed the full filesystem. The uname -a confirmed the target OS.</w:t>
      </w:r>
    </w:p>
    <w:p>
      <w:pPr>
        <w:pStyle w:val="Normal"/>
        <w:jc w:val="center"/>
        <w:rPr/>
      </w:pPr>
      <w:r>
        <w:rPr/>
        <w:drawing>
          <wp:inline distT="0" distB="0" distL="0" distR="0">
            <wp:extent cx="5029200" cy="4291330"/>
            <wp:effectExtent l="0" t="0" r="0" b="0"/>
            <wp:docPr id="2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2"/>
                    <pic:cNvPicPr>
                      <a:picLocks noChangeAspect="1" noChangeArrowheads="1"/>
                    </pic:cNvPicPr>
                  </pic:nvPicPr>
                  <pic:blipFill>
                    <a:blip r:embed="rId22"/>
                    <a:stretch>
                      <a:fillRect/>
                    </a:stretch>
                  </pic:blipFill>
                  <pic:spPr bwMode="auto">
                    <a:xfrm>
                      <a:off x="0" y="0"/>
                      <a:ext cx="5029200" cy="4291330"/>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22 — Root shell on Metasploitable: id = root, whoami = root, uname -a confirms OS</w:t>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r>
    </w:p>
    <w:p>
      <w:pPr>
        <w:pStyle w:val="Normal"/>
        <w:spacing w:before="280" w:after="80"/>
        <w:rPr>
          <w:b/>
          <w:color w:val="C0392B"/>
          <w:sz w:val="26"/>
        </w:rPr>
      </w:pPr>
      <w:r>
        <w:rPr>
          <w:b/>
          <w:color w:val="C0392B"/>
          <w:sz w:val="26"/>
        </w:rPr>
        <w:t>5.4  SSH Login to Metasploitable</w:t>
      </w:r>
    </w:p>
    <w:p>
      <w:pPr>
        <w:pStyle w:val="Normal"/>
        <w:spacing w:before="0" w:after="120"/>
        <w:rPr/>
      </w:pPr>
      <w:r>
        <w:rPr/>
        <w:t>In addition to the exploit, SSH login was also tested using the default credentials (msfadmin / msfadmin) to confirm service access and further validate the attack surface.</w:t>
      </w:r>
    </w:p>
    <w:p>
      <w:pPr>
        <w:pStyle w:val="Normal"/>
        <w:jc w:val="center"/>
        <w:rPr/>
      </w:pPr>
      <w:r>
        <w:rPr/>
        <w:drawing>
          <wp:inline distT="0" distB="0" distL="0" distR="0">
            <wp:extent cx="5029200" cy="2804795"/>
            <wp:effectExtent l="0" t="0" r="0" b="0"/>
            <wp:docPr id="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3"/>
                    <pic:cNvPicPr>
                      <a:picLocks noChangeAspect="1" noChangeArrowheads="1"/>
                    </pic:cNvPicPr>
                  </pic:nvPicPr>
                  <pic:blipFill>
                    <a:blip r:embed="rId23"/>
                    <a:stretch>
                      <a:fillRect/>
                    </a:stretch>
                  </pic:blipFill>
                  <pic:spPr bwMode="auto">
                    <a:xfrm>
                      <a:off x="0" y="0"/>
                      <a:ext cx="5029200" cy="280479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23 — SSH login to Metasploitable: Ubuntu 8.04 banner, successful authentication</w:t>
      </w:r>
    </w:p>
    <w:p>
      <w:pPr>
        <w:pStyle w:val="Normal"/>
        <w:jc w:val="center"/>
        <w:rPr/>
      </w:pPr>
      <w:r>
        <w:rPr/>
        <w:drawing>
          <wp:inline distT="0" distB="0" distL="0" distR="0">
            <wp:extent cx="5029200" cy="2520315"/>
            <wp:effectExtent l="0" t="0" r="0" b="0"/>
            <wp:docPr id="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4"/>
                    <pic:cNvPicPr>
                      <a:picLocks noChangeAspect="1" noChangeArrowheads="1"/>
                    </pic:cNvPicPr>
                  </pic:nvPicPr>
                  <pic:blipFill>
                    <a:blip r:embed="rId24"/>
                    <a:stretch>
                      <a:fillRect/>
                    </a:stretch>
                  </pic:blipFill>
                  <pic:spPr bwMode="auto">
                    <a:xfrm>
                      <a:off x="0" y="0"/>
                      <a:ext cx="5029200" cy="2520315"/>
                    </a:xfrm>
                    <a:prstGeom prst="rect">
                      <a:avLst/>
                    </a:prstGeom>
                    <a:noFill/>
                  </pic:spPr>
                </pic:pic>
              </a:graphicData>
            </a:graphic>
          </wp:inline>
        </w:drawing>
      </w:r>
    </w:p>
    <w:p>
      <w:pPr>
        <w:pStyle w:val="Normal"/>
        <w:spacing w:before="40" w:after="200"/>
        <w:jc w:val="center"/>
        <w:rPr>
          <w:i/>
          <w:color w:val="888888"/>
          <w:sz w:val="18"/>
        </w:rPr>
      </w:pPr>
      <w:r>
        <w:rPr>
          <w:i/>
          <w:color w:val="888888"/>
          <w:sz w:val="18"/>
        </w:rPr>
        <w:t>Figure 24 — SSH session active on Metasploitable as msfadmin</w:t>
      </w:r>
    </w:p>
    <w:p>
      <w:pPr>
        <w:pStyle w:val="Normal"/>
        <w:rPr/>
      </w:pPr>
      <w:r>
        <w:rPr/>
      </w:r>
      <w:r>
        <w:br w:type="page"/>
      </w:r>
    </w:p>
    <w:p>
      <w:pPr>
        <w:pStyle w:val="Normal"/>
        <w:pBdr>
          <w:bottom w:val="single" w:sz="4" w:space="2" w:color="C0392B"/>
        </w:pBdr>
        <w:spacing w:before="0" w:after="80"/>
        <w:rPr>
          <w:b/>
          <w:color w:val="C0392B"/>
          <w:sz w:val="30"/>
        </w:rPr>
      </w:pPr>
      <w:r>
        <w:rPr>
          <w:b/>
          <w:color w:val="C0392B"/>
          <w:sz w:val="30"/>
        </w:rPr>
        <w:t>6. Summary of Findings</w:t>
      </w:r>
    </w:p>
    <w:tbl>
      <w:tblPr>
        <w:tblW w:w="9900" w:type="dxa"/>
        <w:jc w:val="center"/>
        <w:tblInd w:w="0" w:type="dxa"/>
        <w:tblLayout w:type="fixed"/>
        <w:tblCellMar>
          <w:top w:w="0" w:type="dxa"/>
          <w:start w:w="108" w:type="dxa"/>
          <w:bottom w:w="0" w:type="dxa"/>
          <w:end w:w="108" w:type="dxa"/>
        </w:tblCellMar>
      </w:tblPr>
      <w:tblGrid>
        <w:gridCol w:w="2351"/>
        <w:gridCol w:w="2351"/>
        <w:gridCol w:w="2351"/>
        <w:gridCol w:w="2847"/>
      </w:tblGrid>
      <w:tr>
        <w:trPr/>
        <w:tc>
          <w:tcPr>
            <w:tcW w:w="235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w:t>
            </w:r>
          </w:p>
        </w:tc>
        <w:tc>
          <w:tcPr>
            <w:tcW w:w="235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Finding</w:t>
            </w:r>
          </w:p>
        </w:tc>
        <w:tc>
          <w:tcPr>
            <w:tcW w:w="2351"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Source</w:t>
            </w:r>
          </w:p>
        </w:tc>
        <w:tc>
          <w:tcPr>
            <w:tcW w:w="2847" w:type="dxa"/>
            <w:tcBorders>
              <w:top w:val="single" w:sz="4" w:space="0" w:color="000000"/>
              <w:start w:val="single" w:sz="4" w:space="0" w:color="000000"/>
              <w:bottom w:val="single" w:sz="4" w:space="0" w:color="000000"/>
              <w:end w:val="single" w:sz="4" w:space="0" w:color="000000"/>
            </w:tcBorders>
            <w:shd w:fill="1A1A2E" w:val="clear"/>
          </w:tcPr>
          <w:p>
            <w:pPr>
              <w:pStyle w:val="Normal"/>
              <w:widowControl/>
              <w:spacing w:lineRule="auto" w:line="240" w:before="0" w:after="0"/>
              <w:jc w:val="center"/>
              <w:rPr>
                <w:rFonts w:eastAsia="ＭＳ 明朝"/>
                <w:b/>
                <w:color w:val="FFFFFF"/>
                <w:kern w:val="0"/>
                <w:sz w:val="20"/>
                <w:szCs w:val="22"/>
                <w:lang w:val="en-US" w:eastAsia="en-US" w:bidi="ar-SA"/>
              </w:rPr>
            </w:pPr>
            <w:r>
              <w:rPr>
                <w:rFonts w:eastAsia="ＭＳ 明朝"/>
                <w:b/>
                <w:color w:val="FFFFFF"/>
                <w:kern w:val="0"/>
                <w:sz w:val="20"/>
                <w:szCs w:val="22"/>
                <w:lang w:val="en-US" w:eastAsia="en-US" w:bidi="ar-SA"/>
              </w:rPr>
              <w:t>Severity</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1</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vsftpd 2.3.4 backdoor — unauthenticated root RCE (CVE-2011-2523)</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 + Metasploit</w:t>
            </w:r>
          </w:p>
        </w:tc>
        <w:tc>
          <w:tcPr>
            <w:tcW w:w="28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Critical</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2</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Root bind shell open on port 1524</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w:t>
            </w:r>
          </w:p>
        </w:tc>
        <w:tc>
          <w:tcPr>
            <w:tcW w:w="28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Critical</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3</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Samba 3.0.20 — known exploitable SMB version</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w:t>
            </w:r>
          </w:p>
        </w:tc>
        <w:tc>
          <w:tcPr>
            <w:tcW w:w="28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Critical</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4</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FTP transmits credentials in cleartext</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Wireshark</w:t>
            </w:r>
          </w:p>
        </w:tc>
        <w:tc>
          <w:tcPr>
            <w:tcW w:w="28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High</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5</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Telnet active — full session visible without encryption</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Wireshark + Nmap</w:t>
            </w:r>
          </w:p>
        </w:tc>
        <w:tc>
          <w:tcPr>
            <w:tcW w:w="28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High</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6</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MySQL listening with no authentication required</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w:t>
            </w:r>
          </w:p>
        </w:tc>
        <w:tc>
          <w:tcPr>
            <w:tcW w:w="28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High</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7</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SMTP service exposed — 20 valid users enumerated</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smtp-user-enum</w:t>
            </w:r>
          </w:p>
        </w:tc>
        <w:tc>
          <w:tcPr>
            <w:tcW w:w="28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High</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8</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Apache HTTP server version disclosed in response headers</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Wireshark</w:t>
            </w:r>
          </w:p>
        </w:tc>
        <w:tc>
          <w:tcPr>
            <w:tcW w:w="28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Medium</w:t>
            </w:r>
          </w:p>
        </w:tc>
      </w:tr>
      <w:tr>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9</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NFS share exposed with no access restrictions</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w:t>
            </w:r>
          </w:p>
        </w:tc>
        <w:tc>
          <w:tcPr>
            <w:tcW w:w="28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Medium</w:t>
            </w:r>
          </w:p>
        </w:tc>
      </w:tr>
      <w:tr>
        <w:trPr>
          <w:trHeight w:val="138" w:hRule="atLeast"/>
        </w:trPr>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10</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VNC remote desktop exposed on port 5900</w:t>
            </w:r>
          </w:p>
        </w:tc>
        <w:tc>
          <w:tcPr>
            <w:tcW w:w="2351"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Nmap</w:t>
            </w:r>
          </w:p>
        </w:tc>
        <w:tc>
          <w:tcPr>
            <w:tcW w:w="2847"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rFonts w:eastAsia="ＭＳ 明朝"/>
                <w:kern w:val="0"/>
                <w:sz w:val="20"/>
                <w:szCs w:val="22"/>
                <w:lang w:val="en-US" w:eastAsia="en-US" w:bidi="ar-SA"/>
              </w:rPr>
            </w:pPr>
            <w:r>
              <w:rPr>
                <w:rFonts w:eastAsia="ＭＳ 明朝"/>
                <w:kern w:val="0"/>
                <w:sz w:val="20"/>
                <w:szCs w:val="22"/>
                <w:lang w:val="en-US" w:eastAsia="en-US" w:bidi="ar-SA"/>
              </w:rPr>
              <w:t>Medium</w:t>
            </w:r>
          </w:p>
        </w:tc>
      </w:tr>
    </w:tbl>
    <w:p>
      <w:pPr>
        <w:pStyle w:val="Normal"/>
        <w:pBdr>
          <w:bottom w:val="single" w:sz="4" w:space="2" w:color="C0392B"/>
        </w:pBdr>
        <w:spacing w:before="280" w:after="80"/>
        <w:rPr/>
      </w:pPr>
      <w:r>
        <w:rPr>
          <w:b/>
          <w:color w:val="C0392B"/>
          <w:sz w:val="30"/>
        </w:rPr>
        <w:t>7</w:t>
      </w:r>
      <w:r>
        <w:rPr>
          <w:b/>
          <w:color w:val="C0392B"/>
          <w:sz w:val="30"/>
        </w:rPr>
        <w:t>. Conclusion</w:t>
      </w:r>
    </w:p>
    <w:p>
      <w:pPr>
        <w:pStyle w:val="Normal"/>
        <w:spacing w:before="0" w:after="120"/>
        <w:rPr/>
      </w:pPr>
      <w:r>
        <w:rPr/>
        <w:t>This assessment covered the three core areas of practical security work. The lab was built on VMware Workstation using a Host-Only network, keeping all activity isolated. Nmap revealed a wide attack surface on the Metasploitable target — 16+ open services, several running dangerously outdated software with known CVEs.</w:t>
      </w:r>
    </w:p>
    <w:p>
      <w:pPr>
        <w:pStyle w:val="Normal"/>
        <w:spacing w:before="0" w:after="120"/>
        <w:rPr/>
      </w:pPr>
      <w:r>
        <w:rPr/>
        <w:t>Wireshark confirmed how much sensitive information leaks over unencrypted protocols. FTP and Telnet both exposed credentials in plaintext — a critical finding in any real engagement. The exploitation phase demonstrated a full attack chain: the vsftpd 2.3.4 backdoor was exploited via Metasploit to obtain an unauthenticated root shell in under two minutes.</w:t>
      </w:r>
    </w:p>
    <w:p>
      <w:pPr>
        <w:pStyle w:val="Normal"/>
        <w:spacing w:before="400" w:after="200"/>
        <w:rPr>
          <w:b/>
          <w:sz w:val="24"/>
        </w:rPr>
      </w:pPr>
      <w:r>
        <w:rPr>
          <w:b/>
          <w:sz w:val="24"/>
        </w:rPr>
        <w:t>Declaration</w:t>
      </w:r>
    </w:p>
    <w:p>
      <w:pPr>
        <w:pStyle w:val="Normal"/>
        <w:spacing w:before="0" w:after="120"/>
        <w:rPr/>
      </w:pPr>
      <w:r>
        <w:rPr/>
        <w:t xml:space="preserve">I confirm that this submission is my own work, completed as per WILA guidelines. All tasks were performed within </w:t>
      </w:r>
      <w:r>
        <w:rPr/>
        <w:t>a</w:t>
      </w:r>
      <w:r>
        <w:rPr/>
        <w:t xml:space="preserve"> controlled lab environment.</w:t>
      </w:r>
    </w:p>
    <w:sectPr>
      <w:type w:val="nextPage"/>
      <w:pgSz w:w="12240" w:h="15840"/>
      <w:pgMar w:left="1417" w:right="1417"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DejaVu Sans"/>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200"/>
      <w:jc w:val="start"/>
    </w:pPr>
    <w:rPr>
      <w:rFonts w:ascii="Calibri" w:hAnsi="Calibri" w:eastAsia="ＭＳ 明朝"/>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libri" w:hAnsi="Calibri" w:eastAsia="ＭＳ ゴシック" w:cs="DejaVu Sans"/>
      <w:b/>
      <w:bCs/>
      <w:color w:themeColor="accent1" w:themeShade="bf" w:val="365F91"/>
      <w:sz w:val="28"/>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libri" w:hAnsi="Calibri" w:eastAsia="ＭＳ ゴシック" w:cs="DejaVu Sans"/>
      <w:b/>
      <w:bCs/>
      <w:color w:themeColor="accent1" w:val="4F81BD"/>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ＭＳ ゴシック" w:cs="DejaVu Sans"/>
      <w:b/>
      <w:bCs/>
      <w:color w:themeColor="accent1" w:val="4F81BD"/>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ＭＳ ゴシック" w:cs="DejaVu Sans"/>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ＭＳ ゴシック" w:cs="DejaVu Sans"/>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ＭＳ ゴシック" w:cs="DejaVu Sans"/>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ＭＳ ゴシック" w:cs="DejaVu Sans"/>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ＭＳ ゴシック" w:cs="DejaVu Sans"/>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ＭＳ ゴシック" w:cs="DejaVu Sans"/>
      <w:i/>
      <w:iCs/>
      <w:color w:themeColor="dark1" w:themeTint="bf" w:val="404040"/>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ＭＳ ゴシック" w:cs="DejaVu Sans"/>
      <w:b/>
      <w:bCs/>
      <w:color w:themeColor="accent1" w:themeShade="bf" w:val="365F91"/>
      <w:sz w:val="28"/>
      <w:szCs w:val="28"/>
    </w:rPr>
  </w:style>
  <w:style w:type="character" w:styleId="Heading2Char">
    <w:name w:val="Heading 2 Char"/>
    <w:basedOn w:val="DefaultParagraphFont"/>
    <w:link w:val="Heading2"/>
    <w:qFormat/>
    <w:rPr>
      <w:rFonts w:ascii="Calibri" w:hAnsi="Calibri" w:eastAsia="ＭＳ ゴシック" w:cs="DejaVu Sans"/>
      <w:b/>
      <w:bCs/>
      <w:color w:themeColor="accent1" w:val="4F81BD"/>
      <w:sz w:val="26"/>
      <w:szCs w:val="26"/>
    </w:rPr>
  </w:style>
  <w:style w:type="character" w:styleId="Heading3Char">
    <w:name w:val="Heading 3 Char"/>
    <w:basedOn w:val="DefaultParagraphFont"/>
    <w:link w:val="Heading3"/>
    <w:qFormat/>
    <w:rPr>
      <w:rFonts w:ascii="Calibri" w:hAnsi="Calibri" w:eastAsia="ＭＳ ゴシック" w:cs="DejaVu Sans"/>
      <w:b/>
      <w:bCs/>
      <w:color w:themeColor="accent1" w:val="4F81BD"/>
    </w:rPr>
  </w:style>
  <w:style w:type="character" w:styleId="TitleChar">
    <w:name w:val="Title Char"/>
    <w:basedOn w:val="DefaultParagraphFont"/>
    <w:link w:val="Title"/>
    <w:qFormat/>
    <w:rPr>
      <w:rFonts w:ascii="Calibri" w:hAnsi="Calibri" w:eastAsia="ＭＳ ゴシック" w:cs="DejaVu Sans"/>
      <w:color w:themeColor="dark2" w:themeShade="bf" w:val="17365D"/>
      <w:spacing w:val="5"/>
      <w:kern w:val="2"/>
      <w:sz w:val="52"/>
      <w:szCs w:val="52"/>
    </w:rPr>
  </w:style>
  <w:style w:type="character" w:styleId="SubtitleChar">
    <w:name w:val="Subtitle Char"/>
    <w:basedOn w:val="DefaultParagraphFont"/>
    <w:link w:val="Subtitle"/>
    <w:qFormat/>
    <w:rPr>
      <w:rFonts w:ascii="Calibri" w:hAnsi="Calibri" w:eastAsia="ＭＳ ゴシック" w:cs="DejaVu Sans"/>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Text"/>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link w:val="Heading4"/>
    <w:qFormat/>
    <w:rPr>
      <w:rFonts w:ascii="Calibri" w:hAnsi="Calibri" w:eastAsia="ＭＳ ゴシック" w:cs="DejaVu Sans"/>
      <w:b/>
      <w:bCs/>
      <w:i/>
      <w:iCs/>
      <w:color w:themeColor="accent1" w:val="4F81BD"/>
    </w:rPr>
  </w:style>
  <w:style w:type="character" w:styleId="Heading5Char">
    <w:name w:val="Heading 5 Char"/>
    <w:basedOn w:val="DefaultParagraphFont"/>
    <w:link w:val="Heading5"/>
    <w:qFormat/>
    <w:rPr>
      <w:rFonts w:ascii="Calibri" w:hAnsi="Calibri" w:eastAsia="ＭＳ ゴシック" w:cs="DejaVu Sans"/>
      <w:color w:themeColor="accent1" w:themeShade="7f" w:val="243F60"/>
    </w:rPr>
  </w:style>
  <w:style w:type="character" w:styleId="Heading6Char">
    <w:name w:val="Heading 6 Char"/>
    <w:basedOn w:val="DefaultParagraphFont"/>
    <w:link w:val="Heading6"/>
    <w:qFormat/>
    <w:rPr>
      <w:rFonts w:ascii="Calibri" w:hAnsi="Calibri" w:eastAsia="ＭＳ ゴシック" w:cs="DejaVu Sans"/>
      <w:i/>
      <w:iCs/>
      <w:color w:themeColor="accent1" w:themeShade="7f" w:val="243F60"/>
    </w:rPr>
  </w:style>
  <w:style w:type="character" w:styleId="Heading7Char">
    <w:name w:val="Heading 7 Char"/>
    <w:basedOn w:val="DefaultParagraphFont"/>
    <w:link w:val="Heading7"/>
    <w:qFormat/>
    <w:rPr>
      <w:rFonts w:ascii="Calibri" w:hAnsi="Calibri" w:eastAsia="ＭＳ ゴシック" w:cs="DejaVu Sans"/>
      <w:i/>
      <w:iCs/>
      <w:color w:themeColor="dark1" w:themeTint="bf" w:val="404040"/>
    </w:rPr>
  </w:style>
  <w:style w:type="character" w:styleId="Heading8Char">
    <w:name w:val="Heading 8 Char"/>
    <w:basedOn w:val="DefaultParagraphFont"/>
    <w:link w:val="Heading8"/>
    <w:qFormat/>
    <w:rPr>
      <w:rFonts w:ascii="Calibri" w:hAnsi="Calibri" w:eastAsia="ＭＳ ゴシック" w:cs="DejaVu Sans"/>
      <w:color w:themeColor="accent1" w:val="4F81BD"/>
      <w:sz w:val="20"/>
      <w:szCs w:val="20"/>
    </w:rPr>
  </w:style>
  <w:style w:type="character" w:styleId="Heading9Char">
    <w:name w:val="Heading 9 Char"/>
    <w:basedOn w:val="DefaultParagraphFont"/>
    <w:link w:val="Heading9"/>
    <w:qFormat/>
    <w:rPr>
      <w:rFonts w:ascii="Calibri" w:hAnsi="Calibri" w:eastAsia="ＭＳ ゴシック" w:cs="DejaVu Sans"/>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200"/>
      <w:ind w:hanging="360" w:star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kinsoku w:val="true"/>
      <w:overflowPunct w:val="true"/>
      <w:autoSpaceDE w:val="true"/>
      <w:bidi w:val="0"/>
      <w:spacing w:lineRule="auto" w:line="240" w:before="0" w:after="0"/>
      <w:jc w:val="start"/>
    </w:pPr>
    <w:rPr>
      <w:rFonts w:ascii="Cambria" w:hAnsi="Cambria" w:eastAsia="ＭＳ 明朝"/>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ＭＳ ゴシック" w:cs="DejaVu Sans"/>
      <w:color w:themeColor="dark2" w:themeShade="bf" w:val="17365D"/>
      <w:spacing w:val="5"/>
      <w:kern w:val="2"/>
      <w:sz w:val="52"/>
      <w:szCs w:val="52"/>
    </w:rPr>
  </w:style>
  <w:style w:type="paragraph" w:styleId="Subtitle">
    <w:name w:val="Subtitle"/>
    <w:basedOn w:val="Normal"/>
    <w:next w:val="Normal"/>
    <w:link w:val="SubtitleChar"/>
    <w:qFormat/>
    <w:pPr/>
    <w:rPr>
      <w:rFonts w:ascii="Calibri" w:hAnsi="Calibri" w:eastAsia="ＭＳ ゴシック" w:cs="DejaVu Sans"/>
      <w:i/>
      <w:iCs/>
      <w:color w:themeColor="accent1" w:val="4F81BD"/>
      <w:spacing w:val="15"/>
      <w:sz w:val="24"/>
      <w:szCs w:val="24"/>
    </w:rPr>
  </w:style>
  <w:style w:type="paragraph" w:styleId="ListParagraph">
    <w:name w:val="List Paragraph"/>
    <w:basedOn w:val="Normal"/>
    <w:qFormat/>
    <w:pPr>
      <w:spacing w:before="0" w:after="200"/>
      <w:ind w:star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200"/>
      <w:ind w:hanging="360" w:start="720"/>
      <w:contextualSpacing/>
    </w:pPr>
    <w:rPr/>
  </w:style>
  <w:style w:type="paragraph" w:styleId="List3">
    <w:name w:val="List 3"/>
    <w:basedOn w:val="Normal"/>
    <w:qFormat/>
    <w:pPr>
      <w:spacing w:before="0" w:after="200"/>
      <w:ind w:hanging="360" w:start="1080"/>
      <w:contextualSpacing/>
    </w:pPr>
    <w:rPr/>
  </w:style>
  <w:style w:type="paragraph" w:styleId="ListBullet">
    <w:name w:val="List Bullet"/>
    <w:basedOn w:val="Normal"/>
    <w:pPr>
      <w:numPr>
        <w:ilvl w:val="0"/>
        <w:numId w:val="2"/>
      </w:numPr>
      <w:spacing w:before="0" w:after="200"/>
      <w:contextualSpacing/>
    </w:pPr>
    <w:rPr/>
  </w:style>
  <w:style w:type="paragraph" w:styleId="ListBullet2">
    <w:name w:val="List Bullet 2"/>
    <w:basedOn w:val="Normal"/>
    <w:pPr>
      <w:numPr>
        <w:ilvl w:val="0"/>
        <w:numId w:val="3"/>
      </w:numPr>
      <w:spacing w:before="0" w:after="200"/>
      <w:contextualSpacing/>
    </w:pPr>
    <w:rPr/>
  </w:style>
  <w:style w:type="paragraph" w:styleId="ListBullet3">
    <w:name w:val="List Bullet 3"/>
    <w:basedOn w:val="Normal"/>
    <w:pPr>
      <w:numPr>
        <w:ilvl w:val="0"/>
        <w:numId w:val="4"/>
      </w:numPr>
      <w:spacing w:before="0" w:after="200"/>
      <w:contextualSpacing/>
    </w:pPr>
    <w:rPr/>
  </w:style>
  <w:style w:type="paragraph" w:styleId="ListNumber">
    <w:name w:val="List Number"/>
    <w:basedOn w:val="Normal"/>
    <w:pPr>
      <w:numPr>
        <w:ilvl w:val="0"/>
        <w:numId w:val="5"/>
      </w:numPr>
      <w:spacing w:before="0" w:after="200"/>
      <w:contextualSpacing/>
    </w:pPr>
    <w:rPr/>
  </w:style>
  <w:style w:type="paragraph" w:styleId="ListNumber2">
    <w:name w:val="List Number 2"/>
    <w:basedOn w:val="Normal"/>
    <w:pPr>
      <w:numPr>
        <w:ilvl w:val="0"/>
        <w:numId w:val="6"/>
      </w:numPr>
      <w:spacing w:before="0" w:after="200"/>
      <w:contextualSpacing/>
    </w:pPr>
    <w:rPr/>
  </w:style>
  <w:style w:type="paragraph" w:styleId="ListNumber3">
    <w:name w:val="List Number 3"/>
    <w:basedOn w:val="Normal"/>
    <w:pPr>
      <w:numPr>
        <w:ilvl w:val="0"/>
        <w:numId w:val="7"/>
      </w:numPr>
      <w:spacing w:before="0" w:after="200"/>
      <w:contextualSpacing/>
    </w:pPr>
    <w:rPr/>
  </w:style>
  <w:style w:type="paragraph" w:styleId="ListContinue">
    <w:name w:val="List Continue"/>
    <w:basedOn w:val="Normal"/>
    <w:pPr>
      <w:spacing w:before="0" w:after="120"/>
      <w:ind w:start="360"/>
      <w:contextualSpacing/>
    </w:pPr>
    <w:rPr/>
  </w:style>
  <w:style w:type="paragraph" w:styleId="ListContinue2">
    <w:name w:val="List Continue 2"/>
    <w:basedOn w:val="Normal"/>
    <w:pPr>
      <w:spacing w:before="0" w:after="120"/>
      <w:ind w:start="720"/>
      <w:contextualSpacing/>
    </w:pPr>
    <w:rPr/>
  </w:style>
  <w:style w:type="paragraph" w:styleId="ListContinue3">
    <w:name w:val="List Continue 3"/>
    <w:basedOn w:val="Normal"/>
    <w:pPr>
      <w:spacing w:before="0" w:after="120"/>
      <w:ind w:start="1080"/>
      <w:contextualSpacing/>
    </w:pPr>
    <w:rPr/>
  </w:style>
  <w:style w:type="paragraph" w:styleId="MacroText">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kinsoku w:val="true"/>
      <w:overflowPunct w:val="true"/>
      <w:autoSpaceDE w:val="true"/>
      <w:bidi w:val="0"/>
      <w:spacing w:lineRule="auto" w:line="276" w:before="0" w:after="200"/>
      <w:jc w:val="start"/>
    </w:pPr>
    <w:rPr>
      <w:rFonts w:ascii="Courier" w:hAnsi="Courier" w:eastAsia="ＭＳ 明朝"/>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LibreOffice/26.2.1.2$Linux_X86_64 LibreOffice_project/620$Build-2</Application>
  <AppVersion>15.0000</AppVersion>
  <Pages>16</Pages>
  <Words>1454</Words>
  <Characters>8136</Characters>
  <CharactersWithSpaces>9415</CharactersWithSpaces>
  <Paragraphs>273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2026-04-03T05:40:44Z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