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200"/>
        <w:jc w:val="center"/>
      </w:pPr>
      <w:r>
        <w:rPr>
          <w:rFonts w:ascii="Microsoft YaHei" w:eastAsia="Microsoft YaHei" w:hAnsi="Microsoft YaHei"/>
          <w:b/>
          <w:color w:val="0B3D91"/>
          <w:sz w:val="48"/>
        </w:rPr>
        <w:t xml:space="preserve">IIO 驱动:流程总结 · 文件主要内容数据存哪 · 关键结构体</w:t>
      </w:r>
    </w:p>
    <w:p>
      <w:pPr>
        <w:spacing w:after="200"/>
        <w:jc w:val="center"/>
      </w:pPr>
      <w:r>
        <w:rPr>
          <w:rFonts w:ascii="Microsoft YaHei" w:eastAsia="Microsoft YaHei" w:hAnsi="Microsoft YaHei"/>
          <w:color w:val="555555"/>
          <w:sz w:val="24"/>
        </w:rPr>
        <w:t xml:space="preserve">MPU-6050 IIO 驱动学习 · 结构化整理</w:t>
      </w:r>
    </w:p>
    <w:p>
      <w:pPr>
        <w:spacing w:after="200"/>
        <w:jc w:val="center"/>
      </w:pPr>
      <w:r>
        <w:rPr>
          <w:rFonts w:ascii="Microsoft YaHei" w:eastAsia="Microsoft YaHei" w:hAnsi="Microsoft YaHei"/>
          <w:color w:val="555555"/>
          <w:sz w:val="24"/>
        </w:rPr>
        <w:t xml:space="preserve">配套仓库 github.com/fyy0619-cell/xiangmu · 2026 年 9 月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一、一段话总结整个流程</w:t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二、驱动文件的主要内容(按书写/阅读顺序)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一个标准 i2c + IIO 驱动文件,主体就是下面这几块,顺序基本固定:</w:t>
      </w:r>
    </w:p>
    <w:tbl>
      <w:tblPr>
        <w:tblW w:w="5000" w:type="pct"/>
        <w:tblBorders>
          <w:top w:val="single" w:sz="4" w:space="0" w:color="9BB0D0"/>
          <w:left w:val="single" w:sz="4" w:space="0" w:color="9BB0D0"/>
          <w:bottom w:val="single" w:sz="4" w:space="0" w:color="9BB0D0"/>
          <w:right w:val="single" w:sz="4" w:space="0" w:color="9BB0D0"/>
          <w:insideH w:val="single" w:sz="4" w:space="0" w:color="9BB0D0"/>
          <w:insideV w:val="single" w:sz="4" w:space="0" w:color="9BB0D0"/>
        </w:tblBorders>
        <w:tblLayout w:type="autofit"/>
      </w:tblPr>
      <w:tblGrid>
        <w:gridCol/>
        <w:gridCol/>
        <w:gridCol/>
      </w:tblGrid>
      <w:tr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#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组成部分</w:t>
            </w:r>
          </w:p>
        </w:tc>
        <w:tc>
          <w:tcPr>
            <w:shd w:val="clear" w:fill="E8EEF8"/>
          </w:tcPr>
          <w:p>
            <w:pPr>
              <w:spacing w:after="40"/>
            </w:pPr>
            <w:r>
              <w:rPr>
                <w:rFonts w:ascii="Microsoft YaHei" w:eastAsia="Microsoft YaHei" w:hAnsi="Microsoft YaHei"/>
                <w:b/>
                <w:color w:val="0B3D91"/>
                <w:sz w:val="19"/>
              </w:rPr>
              <w:t xml:space="preserve">作用(一句话)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1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头文件 + 寄存器宏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引入 module/i2c/regmap/iio;定义芯片寄存器地址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2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struct 私有数据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存这台设备自己的状态(regmap 句柄、配置…)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3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regmap_config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告诉 regmap 寄存器几位、数据几位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4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通道数组 iio_chan_spec[]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声明"能测什么量",决定生成哪些 sysfs 属性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5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read_raw 回调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用户读某通道时,去芯片取数据返回(按 mask 分 RAW/SCALE)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6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struct iio_info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回调表,把 read_raw 交给 IIO 核心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7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probe()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分配 → 初始化(regmap/WHO_AM_I/唤醒)→ 注册 IIO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8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匹配表 id_table / of_match_table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声明"我认得哪些设备"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9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struct i2c_driver + module_i2c_driver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驱动"名片"并注册到 i2c 总线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10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MODULE_*</w:t>
            </w:r>
          </w:p>
        </w:tc>
        <w:tc>
          <w:tcPr/>
          <w:p>
            <w:pPr>
              <w:spacing w:after="40"/>
            </w:pPr>
            <w:r>
              <w:rPr>
                <w:rFonts w:ascii="Microsoft YaHei" w:eastAsia="Microsoft YaHei" w:hAnsi="Microsoft YaHei"/>
                <w:sz w:val="19"/>
              </w:rPr>
              <w:t xml:space="preserve">许可、作者、描述</w:t>
            </w:r>
          </w:p>
        </w:tc>
      </w:tr>
    </w:tbl>
    <w:p/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三、数据到底存在哪里(重点)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初学者最容易糊涂的是"传感器的数据到底存在驱动里的哪个变量"。答案是:测量数据根本不存在驱动里。要分三处看(图 1)。</w:t>
      </w:r>
    </w:p>
    <w:p>
      <w:pPr>
        <w:spacing w:after="40"/>
        <w:jc w:val="center"/>
      </w:pPr>
      <w:r>
        <w:drawing>
          <wp:inline distT="0" distB="0" distL="0" distR="0">
            <wp:extent cx="5486400" cy="3345365"/>
            <wp:docPr id="101" name="fig_where.png"/>
            <a:graphic>
              <a:graphicData uri="http://schemas.openxmlformats.org/drawingml/2006/picture">
                <pic:pic>
                  <pic:nvPicPr>
                    <pic:cNvPr id="101" name="fig_whe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eastAsia="Microsoft YaHei" w:hAnsi="Microsoft YaHei"/>
          <w:color w:val="444444"/>
          <w:sz w:val="19"/>
        </w:rPr>
        <w:t xml:space="preserve">图 1 三类"数据"分别住在三处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① 测量数据(加速度值)→ 住在芯片寄存器(如 0x3B 起)。由硬件实时更新。驱动不保存副本,每次被读时用 regmap 现读现返回。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② 驱动的持久状态 → 住在内核堆的"私有数据" struct mpu6050_data。它和 iio_dev 由 devm_iio_device_alloc 一整块分配在内核堆;里面存的是 regmap 句柄、配置等"怎么访问芯片"的信息,不是测量值。用 iio_priv() 存取。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③ 读出来的值 → 只是 read_raw 里的瞬时 *val。读一次、写回一次,不留存;内核把它格式化成字符串经 sysfs 交给用户。</w:t>
      </w:r>
    </w:p>
    <w:p>
      <w:r>
        <w:br w:type="page"/>
      </w:r>
    </w:p>
    <w:p>
      <w:pPr>
        <w:spacing w:after="140"/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附录 三个关键结构体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驱动里反复出现三个指针:i2c_client *client、iio_dev *indio_dev、regmap *regmap。搞懂它们各代表什么、从哪来、存在哪,代码就不再是"黑话"。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A. struct i2c_client *client —— "总线上这颗具体芯片"的把手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代表什么:挂在某条 I2C 总线上的一个具体从设备(就是你的 MPU6050)。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从哪来:设备出现时由 i2c 核心创建并作为参数传进你的 probe(client, id)。你不分配它。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client-&gt;addr —— 7 位从设备地址(如 0x68)。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client-&gt;adapter —— 它挂在哪条 I2C 总线(适配器);实际收发经它。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client-&gt;dev —— 内嵌的通用 struct device:打日志 dev_info(&amp;client-&gt;dev, ...)、申请 devm 资源、取设备树节点都用它。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client-&gt;irq —— 该设备的中断号(若接了中断)。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你怎么用它:把它交给 devm_regmap_init_i2c(client, &amp;cfg) 建 regmap;用 &amp;client-&gt;dev 做各种 devm_/日志调用。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一句话:client = "驱动和这颗具体芯片对话的把手"(在哪条总线、什么地址)。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B. struct iio_dev *indio_dev —— "一个 IIO 设备"的登记表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代表什么:IIO 子系统眼里的一个传感器设备;是你和 IIO 核心之间的句柄。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从哪来:devm_iio_device_alloc(&amp;client-&gt;dev, sizeof(私有数据)) 分配(连同私有数据一整块)。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-&gt;name —— 设备名(=&gt; /sys/.../name)。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-&gt;modes —— 工作模式,如 INDIO_DIRECT_MODE(直接读)。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-&gt;info —— 指向 iio_info 回调表(含 read_raw)。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-&gt;channels / -&gt;num_channels —— 通道数组与数量(能测什么量)。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内部(你不直接碰):它内部带着"私有数据区"(用 iio_priv(indio_dev) 取)和设备模型的 struct device。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注册后:对应 /sys/bus/iio/devices/iio:deviceN。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一句话:indio_dev = "把你的传感器登记进 IIO 的那张表 + 一块随它分配的私有数据"。</w:t>
      </w:r>
    </w:p>
    <w:p>
      <w:pPr>
        <w:spacing w:after="140"/>
      </w:pPr>
      <w:r>
        <w:rPr>
          <w:rFonts w:ascii="Microsoft YaHei" w:eastAsia="Microsoft YaHei" w:hAnsi="Microsoft YaHei"/>
          <w:b/>
          <w:color w:val="123A7A"/>
          <w:sz w:val="27"/>
        </w:rPr>
        <w:t xml:space="preserve">C. struct regmap *regmap —— 读写寄存器的"抽象句柄"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代表什么:一条"读写某芯片寄存器"的抽象通道。它把"读/写寄存器"与具体总线(I2C/SPI)解耦。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regmap_read(regmap, reg, &amp;val) / regmap_write(regmap, reg, val)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regmap_update_bits(regmap, reg, mask, val)(只改某几位)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regmap_bulk_read(regmap, reg, buf, n)(连读多个)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从哪来:devm_regmap_init_i2c(client, &amp;mpu6050_regmap_config)。它内部记住了 client(走哪条总线、哪个地址)和 config(reg_bits/val_bits/max_register)。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存在哪:regmap 对象本身也在内核堆(devm 分配、自动释放);你把它的指针存进私有数据 data-&gt;regmap,probe 存、read_raw 取。</w:t>
      </w:r>
    </w:p>
    <w:p>
      <w:pPr>
        <w:spacing w:after="60"/>
      </w:pPr>
      <w:r>
        <w:rPr>
          <w:rFonts w:ascii="Microsoft YaHei" w:eastAsia="Microsoft YaHei" w:hAnsi="Microsoft YaHei"/>
          <w:sz w:val="21"/>
        </w:rPr>
        <w:t xml:space="preserve">• 一句话:regmap = "一个只给你函数、不给你内部的读写通道把手";你调 regmap_read,它底层替你发 I2C 事务。</w:t>
      </w:r>
    </w:p>
    <w:p>
      <w:pPr>
        <w:spacing w:after="120"/>
        <w:jc w:val="both"/>
      </w:pPr>
      <w:r>
        <w:rPr>
          <w:rFonts w:ascii="Microsoft YaHei" w:eastAsia="Microsoft YaHei" w:hAnsi="Microsoft YaHei"/>
          <w:sz w:val="21"/>
        </w:rPr>
        <w:t xml:space="preserve">本文确保与 Linux 5.4 IIO/i2c/regmap 实际语义一致。配套仓库:github.com/fyy0619-cell/xiangmu</w:t>
      </w:r>
    </w:p>
    <w:sectPr>
      <w:footerReference w:type="default" r:id="rId3"/>
      <w:pgSz w:w="11906" w:h="16838"/>
      <w:pgMar w:top="1247" w:right="1134" w:bottom="1418" w:left="1134" w:header="720" w:footer="68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Microsoft YaHei" w:eastAsia="Microsoft YaHei" w:hAnsi="Microsoft YaHei"/>
        <w:sz w:val="18"/>
        <w:color w:val="666666"/>
      </w:rPr>
      <w:t xml:space="preserve">第 </w:t>
    </w:r>
    <w:fldSimple w:instr=" PAGE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 / 共 </w:t>
    </w:r>
    <w:fldSimple w:instr=" NUMPAGES ">
      <w:r>
        <w:rPr>
          <w:rFonts w:ascii="Microsoft YaHei" w:eastAsia="Microsoft YaHei" w:hAnsi="Microsoft YaHei"/>
          <w:sz w:val="18"/>
          <w:color w:val="666666"/>
        </w:rPr>
        <w:t>1</w:t>
      </w:r>
    </w:fldSimple>
    <w:r>
      <w:rPr>
        <w:rFonts w:ascii="Microsoft YaHei" w:eastAsia="Microsoft YaHei" w:hAnsi="Microsoft YaHei"/>
        <w:sz w:val="18"/>
        <w:color w:val="666666"/>
      </w:rPr>
      <w:t xml:space="preserve"> 页</w:t>
    </w:r>
  </w:p>
</w:ftr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footer" Target="footer1.xml"/><Relationship Id="rId11" Type="http://schemas.openxmlformats.org/officeDocument/2006/relationships/image" Target="media/fig_where.png"/></Relationships>
</file>