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00"/>
        <w:jc w:val="center"/>
      </w:pPr>
      <w:r>
        <w:rPr>
          <w:rFonts w:ascii="Microsoft YaHei" w:eastAsia="Microsoft YaHei" w:hAnsi="Microsoft YaHei"/>
          <w:b/>
          <w:color w:val="0B3D91"/>
          <w:sz w:val="48"/>
        </w:rPr>
        <w:t xml:space="preserve">IIO 驱动:两阶段逻辑+ read_raw + indio_dev 字段</w:t>
      </w:r>
    </w:p>
    <w:p>
      <w:pPr>
        <w:spacing w:after="200"/>
        <w:jc w:val="center"/>
      </w:pPr>
      <w:r>
        <w:rPr>
          <w:rFonts w:ascii="Microsoft YaHei" w:eastAsia="Microsoft YaHei" w:hAnsi="Microsoft YaHei"/>
          <w:color w:val="555555"/>
          <w:sz w:val="24"/>
        </w:rPr>
        <w:t xml:space="preserve">把"设备怎么被驱动起来"和"数据怎么流出来"彻底分清</w:t>
      </w:r>
    </w:p>
    <w:p>
      <w:pPr>
        <w:spacing w:after="200"/>
        <w:jc w:val="center"/>
      </w:pPr>
      <w:r>
        <w:rPr>
          <w:rFonts w:ascii="Microsoft YaHei" w:eastAsia="Microsoft YaHei" w:hAnsi="Microsoft YaHei"/>
          <w:color w:val="555555"/>
          <w:sz w:val="24"/>
        </w:rPr>
        <w:t xml:space="preserve">MPU-6050 IIO 驱动学习 · 2026 年 9 月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一、两阶段逻辑(最重要)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IIO 驱动不是一条直线,而是两个阶段:启动时"搭好台子"(只跑一次),之后反复"唱戏"(每次读都跑)。把这两段分开,整个逻辑就严丝合缝了。</w:t>
      </w:r>
    </w:p>
    <w:p>
      <w:pPr>
        <w:spacing w:after="40"/>
        <w:jc w:val="center"/>
      </w:pPr>
      <w:r>
        <w:drawing>
          <wp:inline distT="0" distB="0" distL="0" distR="0">
            <wp:extent cx="5486400" cy="4282068"/>
            <wp:docPr id="101" name="fig_twophase.png"/>
            <a:graphic>
              <a:graphicData uri="http://schemas.openxmlformats.org/drawingml/2006/picture">
                <pic:pic>
                  <pic:nvPicPr>
                    <pic:cNvPr id="101" name="fig_twoph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1 IIO 驱动的两阶段逻辑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阶段一 · 启动/加载(只发生一次:把设备"驱动起来")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开机 / 加载驱动(驱动 module_i2c_driver 注册,待命)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① 设备树 / new_device 把"设备"登记到 I2C 总线   ← 有哪个设备、在哪、叫什么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② i2c_core 用 compatible/名字 把设备和驱动匹配    ← 媒人撮合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③ 匹配成功 → 内核自动调 probe(client)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④ probe 内部: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a. 分配 iio_dev(+私有数据)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b. 用 client 建 regmap           ← regmap 在这里就建好,存进私有数据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c. 用 regmap 读 WHO_AM_I、唤醒芯片(初始化)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d. 填 iio_dev 字段 + iio_device_register(注册,生成 /sys 属性)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设备就绪,"待命"。probe 返回,阶段一结束。</w:t>
      </w:r>
    </w:p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阶段二 · 运行/读数据(之后每次用户 cat 都发生一次)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⑤ 用户 cat in_accel_x_raw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⑥ IIO 核心回调你的 read_raw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⑦ read_raw 用【阶段一建好的】regmap 读芯片寄存器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⑧ 返回数值 → 内核格式化 → 用户看到</w:t>
      </w:r>
    </w:p>
    <w:p/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probe 只跑一次(设备被驱动起来那一刻);read_raw 每次读都跑。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regmap 在 probe 里"建"一次(存进私有数据),read_raw 里"用"很多次(靠 iio_priv 取回)。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iio_dev 在 probe 里分配并注册;read_raw 是注册时登记的回调,在阶段二被框架调用。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二、read_raw 干嘛、为什么非要它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一句话:read_raw 是"真正去芯片里把数值取出来"的那个函数。框架负责接待客人,但它不会读你这颗芯片——只有你写的 read_raw 会。</w:t>
      </w:r>
    </w:p>
    <w:p>
      <w:pPr>
        <w:spacing w:after="40"/>
        <w:jc w:val="center"/>
      </w:pPr>
      <w:r>
        <w:drawing>
          <wp:inline distT="0" distB="0" distL="0" distR="0">
            <wp:extent cx="5486400" cy="2943921"/>
            <wp:docPr id="102" name="fig_chef.png"/>
            <a:graphic>
              <a:graphicData uri="http://schemas.openxmlformats.org/drawingml/2006/picture">
                <pic:pic>
                  <pic:nvPicPr>
                    <pic:cNvPr id="102" name="fig_che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2 read_raw 的角色:框架是服务员,read_raw 是厨师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IIO 框架 = 服务员:负责"点菜(cat 属性)"和"上菜(格式化返回)"。这套通用流程(fops/sysfs)内核都写好了。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read_raw = 厨师:真正做菜——去芯片寄存器读数值。框架不会做你这道菜(不懂你芯片的寄存器),只有你会。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没有 read_raw:属性文件还在,但用户 cat 时框架没厨师可喊,端不出数据。read_raw 是数值的唯一来源。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为什么是回调:你不自己调它,而是把它登记给框架(iio_info.read_raw);用户一点菜,框架就回调它(控制反转)。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参数就是点菜单:框架传 chan(哪个通道)+ mask(要 raw 还是 scale),你照单取值写回 *val。所以一个 read_raw 用 switch 应付所有通道、所有类型。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三、probe 里填 indio_dev 的字段,是"告诉谁"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probe 里这几行: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indio_dev-&gt;name = "mpu6050";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indio_dev-&gt;modes = INDIO_DIRECT_MODE;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indio_dev-&gt;info = &amp;mpu6050_info;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indio_dev-&gt;channels = mpu6050_channels;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indio_dev-&gt;num_channels = ARRAY_SIZE(mpu6050_channels);</w:t>
      </w:r>
    </w:p>
    <w:p/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是填给 IIO 核心(框架)看的。indio_dev 是你交给框架的一张"登记表";你填字段=往表上写内容;注册那一刻(devm_iio_device_register)框架才去读这些字段(在此之前只是给内存赋值,没人看)。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你填的字段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框架读到后做什么(比喻)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-&gt;name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生成 /sys/.../name,内容就是它;标识设备。(招牌/店名)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-&gt;modes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记下取数方式。DIRECT_MODE=支持 sysfs 直接读;要做缓冲流式需加 INDIO_BUFFER_*。(营业方式)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-&gt;info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记下你的回调表地址;用户读时顺着它找到并调用 info-&gt;read_raw。(后厨联系人)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-&gt;channels / -&gt;num_channels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遍历通道数组,按每个通道的 type/方向/info_mask 自动生成 sysfs 属性文件,并决定回调 read_raw 时传哪个 chan/mask。(菜单)</w:t>
            </w:r>
          </w:p>
        </w:tc>
      </w:tr>
    </w:tbl>
    <w:p/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你填 indio_dev 各字段(写登记表)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│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devm_iio_device_register(indio_dev)   ← 把表交给 IIO 核心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├─ 按 name 建 /sys/.../name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├─ 按 channels 自动生成 in_accel_x_raw 等属性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└─ 记住 info-&gt;read_raw,等用户来读时回调它</w:t>
      </w:r>
    </w:p>
    <w:p/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本文承接"read_raw 是什么"这一问的梳理。配套代码 examples/learning-driver/;完整系列见 docs/learning/。仓库:github.com/fyy0619-cell/xiangmu</w:t>
      </w:r>
    </w:p>
    <w:sectPr>
      <w:footerReference w:type="default" r:id="rId3"/>
      <w:pgSz w:w="11906" w:h="16838"/>
      <w:pgMar w:top="1247" w:right="1134" w:bottom="1418" w:left="1134" w:header="720" w:footer="68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Microsoft YaHei" w:eastAsia="Microsoft YaHei" w:hAnsi="Microsoft YaHei"/>
        <w:sz w:val="18"/>
        <w:color w:val="666666"/>
      </w:rPr>
      <w:t xml:space="preserve">第 </w:t>
    </w:r>
    <w:fldSimple w:instr=" PAGE ">
      <w:r>
        <w:rPr>
          <w:rFonts w:ascii="Microsoft YaHei" w:eastAsia="Microsoft YaHei" w:hAnsi="Microsoft YaHei"/>
          <w:sz w:val="18"/>
          <w:color w:val="666666"/>
        </w:rPr>
        <w:t>1</w:t>
      </w:r>
    </w:fldSimple>
    <w:r>
      <w:rPr>
        <w:rFonts w:ascii="Microsoft YaHei" w:eastAsia="Microsoft YaHei" w:hAnsi="Microsoft YaHei"/>
        <w:sz w:val="18"/>
        <w:color w:val="666666"/>
      </w:rPr>
      <w:t xml:space="preserve"> 页 / 共 </w:t>
    </w:r>
    <w:fldSimple w:instr=" NUMPAGES ">
      <w:r>
        <w:rPr>
          <w:rFonts w:ascii="Microsoft YaHei" w:eastAsia="Microsoft YaHei" w:hAnsi="Microsoft YaHei"/>
          <w:sz w:val="18"/>
          <w:color w:val="666666"/>
        </w:rPr>
        <w:t>1</w:t>
      </w:r>
    </w:fldSimple>
    <w:r>
      <w:rPr>
        <w:rFonts w:ascii="Microsoft YaHei" w:eastAsia="Microsoft YaHei" w:hAnsi="Microsoft YaHei"/>
        <w:sz w:val="18"/>
        <w:color w:val="666666"/>
      </w:rPr>
      <w:t xml:space="preserve"> 页</w:t>
    </w:r>
  </w:p>
</w:ftr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footer" Target="footer1.xml"/><Relationship Id="rId11" Type="http://schemas.openxmlformats.org/officeDocument/2006/relationships/image" Target="media/fig_twophase.png"/><Relationship Id="rId12" Type="http://schemas.openxmlformats.org/officeDocument/2006/relationships/image" Target="media/fig_chef.png"/></Relationships>
</file>