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00"/>
        <w:jc w:val="center"/>
      </w:pPr>
      <w:r>
        <w:rPr>
          <w:rFonts w:ascii="Microsoft YaHei" w:eastAsia="Microsoft YaHei" w:hAnsi="Microsoft YaHei"/>
          <w:b/>
          <w:color w:val="0B3D91"/>
          <w:sz w:val="48"/>
        </w:rPr>
        <w:t xml:space="preserve">核心数据结构图解struct iio_dev 与 pollfunc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IIO 设备的"总枢纽"与触发缓冲的"工单" —— 内部结构 · 字段 · 创建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MPU-6050 IIO 驱动学习 · 数据结构篇 · 2026 年 10 月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导读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触发缓冲驱动里有两个结构体最该吃透:struct iio_dev(整个 IIO 设备的总枢纽,probe 里填它、注册它)和 struct iio_poll_func(pollfunc)(触发器与缓冲之间的"工单")。本文用图+表把它们的内部结构、每个字段、在哪创建讲清。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一、struct iio_dev:IIO 设备的总枢纽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indio_dev 是指向 struct iio_dev 的指针。这个结构体把"设备是谁、能干啥、怎么读、运行时挂了哪些机制"全登记在一起。按作用分四组看:</w:t>
      </w:r>
    </w:p>
    <w:p>
      <w:pPr>
        <w:spacing w:after="40"/>
        <w:jc w:val="center"/>
      </w:pPr>
      <w:r>
        <w:drawing>
          <wp:inline distT="0" distB="0" distL="0" distR="0">
            <wp:extent cx="5486400" cy="4085617"/>
            <wp:docPr id="101" name="fig_iiodev.png"/>
            <a:graphic>
              <a:graphicData uri="http://schemas.openxmlformats.org/drawingml/2006/picture">
                <pic:pic>
                  <pic:nvPicPr>
                    <pic:cNvPr id="101" name="fig_iio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1 struct iio_dev 内部结构(四组字段 + 指向的外部对象 + 尾随的私有数据)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组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字段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作用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A 身份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id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第几个 IIO 设备 → iio:device0 的 0;触发器名 "%s-dev%d" 的 %d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name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设备名 "mpu6050" → /sys/.../name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dev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内嵌的 struct device(Linux 设备模型对象,sysfs 目录由它生成)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B 能力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modes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支持的模式:INDIO_DIRECT_MODE;触发缓冲补 INDIO_BUFFER_TRIGGERED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currentmode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当前所处模式(核心维护)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C 核心(你填)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info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指向 iio_info 回调表(含 read_raw)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channels/num_channels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指向通道表+数量 → 核心据此生成 sysfs、解析缓冲帧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 运行时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buffer/pollfunc/trig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指向 kfifo 缓冲 / 工单 / 当前触发器(核心填)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scan_bytes/active_scan_mask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开缓冲时核心算:选了哪些通道、一帧多少字节</w:t>
            </w:r>
          </w:p>
        </w:tc>
      </w:tr>
    </w:tbl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所以 probe 的本质就是:填好 C 组(info/channels)→ 建起 D 组(缓冲/触发器)→ 注册。核心运行时就靠读这张"登记表"来回调你、生成接口、搬数据。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二、pollfunc:触发器与缓冲之间的"工单"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触发器只会喊"滴答",它不知道该读什么;缓冲是目标,但得有人去填。pollfunc 就是夹在中间的工单,写明"滴答一到,先记时间,再读一帧塞进缓冲"。</w:t>
      </w:r>
    </w:p>
    <w:p>
      <w:pPr>
        <w:spacing w:after="40"/>
        <w:jc w:val="center"/>
      </w:pPr>
      <w:r>
        <w:drawing>
          <wp:inline distT="0" distB="0" distL="0" distR="0">
            <wp:extent cx="5486400" cy="3735421"/>
            <wp:docPr id="102" name="fig_pollfunc.png"/>
            <a:graphic>
              <a:graphicData uri="http://schemas.openxmlformats.org/drawingml/2006/picture">
                <pic:pic>
                  <pic:nvPicPr>
                    <pic:cNvPr id="102" name="fig_pollfu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2 pollfunc 的结构(左)与它在"触发器→缓冲"链条中的位置(右)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2.1 结构字段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struct iio_poll_func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struct iio_dev *indio_dev;              // 回指设备 → 底半部靠它拿 regmap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irqreturn_t (*h)(int irq, void *p);     // 顶半部 = iio_pollfunc_store_time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irqreturn_t (*thread)(int irq, void *p);// 底半部 = mpu6050_trigger_handler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int type;                               // 中断 flags(IRQF_ONESHOT)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struct list_head list;                  // 挂进触发器的消费者链表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void *data;                             // 备用(未用)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s64 timestamp;                          // ★顶半部写、底半部读★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};</w:t>
      </w:r>
    </w:p>
    <w:p/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字段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在本项目是谁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作用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indio_dev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iio:device0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底半部 iio_priv 拿到 regmap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h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iio_pollfunc_store_time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滴答瞬间记时间戳到 timestamp(快,中断上下文)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thread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mpu6050_trigger_handler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线程里 regmap_bulk_read + push 进缓冲(可睡眠)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type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IRQF_ONESHOT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决定这张工单的虚拟中断怎么申请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timestamp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—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顶半部写、底半部读:iio_push_...(.., pf-&gt;timestamp)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2.2 两半如何接力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绑定到触发器时,核心按"线程化中断"把 h 当硬处理、thread 当线程函数。触发器一响:① h 记时间戳,返回 IRQ_WAKE_THREAD 唤醒线程 → ② thread 在线程里读 I2C、push 进缓冲(用 ① 记下的 pf-&gt;timestamp)。拆两半是因为:① 在中断上下文必须极快、不能睡眠;② I2C 读会睡眠,必须放线程——这正是内核"中断上下半部"的标准分工。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2.3 它在哪被创建</w:t>
      </w:r>
    </w:p>
    <w:p>
      <w:pPr>
        <w:spacing w:after="40"/>
        <w:jc w:val="center"/>
      </w:pPr>
      <w:r>
        <w:drawing>
          <wp:inline distT="0" distB="0" distL="0" distR="0">
            <wp:extent cx="5486400" cy="2743200"/>
            <wp:docPr id="103" name="fig_pollfunc_create.png"/>
            <a:graphic>
              <a:graphicData uri="http://schemas.openxmlformats.org/drawingml/2006/picture">
                <pic:pic>
                  <pic:nvPicPr>
                    <pic:cNvPr id="103" name="fig_pollfunc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3 pollfunc 的创建调用链:你传两个函数进去,核心帮你建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你不直接 new 一个 pollfunc,而是把两个函数交给 devm_iio_triggered_buffer_setup,它内部 iio_alloc_pollfunc(h, thread, IRQF_ONESHOT, ...) 把它们包进一张新工单,指针存进 indio_dev-&gt;pollfunc(独立一块内存);同时还分配 kfifo 缓冲。devm_ 负责移除时自动释放。运行时再由 current_trigger 把这张工单挂到触发器上。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三、两者的关系(收口)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本文为 MPU-6050 IIO 驱动学习的数据结构篇,承接剖析篇。系列文档见 docs/learning/;配套代码见 examples/learning-driver/。仓库:github.com/fyy0619-cell/xiangmu</w:t>
      </w:r>
    </w:p>
    <w:sectPr>
      <w:footerReference w:type="default" r:id="rId3"/>
      <w:pgSz w:w="11906" w:h="16838"/>
      <w:pgMar w:top="1247" w:right="1134" w:bottom="1418" w:left="1134" w:header="720" w:footer="6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Microsoft YaHei" w:eastAsia="Microsoft YaHei" w:hAnsi="Microsoft YaHei"/>
        <w:sz w:val="18"/>
        <w:color w:val="666666"/>
      </w:rPr>
      <w:t xml:space="preserve">第 </w:t>
    </w:r>
    <w:fldSimple w:instr=" PAGE ">
      <w:r>
        <w:rPr>
          <w:rFonts w:ascii="Microsoft YaHei" w:eastAsia="Microsoft YaHei" w:hAnsi="Microsoft YaHei"/>
          <w:sz w:val="18"/>
          <w:color w:val="666666"/>
        </w:rPr>
        <w:t>1</w:t>
      </w:r>
    </w:fldSimple>
    <w:r>
      <w:rPr>
        <w:rFonts w:ascii="Microsoft YaHei" w:eastAsia="Microsoft YaHei" w:hAnsi="Microsoft YaHei"/>
        <w:sz w:val="18"/>
        <w:color w:val="666666"/>
      </w:rPr>
      <w:t xml:space="preserve"> 页 / 共 </w:t>
    </w:r>
    <w:fldSimple w:instr=" NUMPAGES ">
      <w:r>
        <w:rPr>
          <w:rFonts w:ascii="Microsoft YaHei" w:eastAsia="Microsoft YaHei" w:hAnsi="Microsoft YaHei"/>
          <w:sz w:val="18"/>
          <w:color w:val="666666"/>
        </w:rPr>
        <w:t>1</w:t>
      </w:r>
    </w:fldSimple>
    <w:r>
      <w:rPr>
        <w:rFonts w:ascii="Microsoft YaHei" w:eastAsia="Microsoft YaHei" w:hAnsi="Microsoft YaHei"/>
        <w:sz w:val="18"/>
        <w:color w:val="666666"/>
      </w:rPr>
      <w:t xml:space="preserve"> 页</w:t>
    </w:r>
  </w:p>
</w:ftr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footer" Target="footer1.xml"/><Relationship Id="rId11" Type="http://schemas.openxmlformats.org/officeDocument/2006/relationships/image" Target="media/fig_iiodev.png"/><Relationship Id="rId12" Type="http://schemas.openxmlformats.org/officeDocument/2006/relationships/image" Target="media/fig_pollfunc.png"/><Relationship Id="rId13" Type="http://schemas.openxmlformats.org/officeDocument/2006/relationships/image" Target="media/fig_pollfunc_create.png"/></Relationships>
</file>