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Microsoft YaHei" w:eastAsia="Microsoft YaHei" w:hAnsi="Microsoft YaHei"/>
          <w:b/>
          <w:color w:val="0B3D91"/>
          <w:sz w:val="52"/>
        </w:rPr>
        <w:t xml:space="preserve">MPU-6050 系列生产级 IIO 内核驱动</w:t>
      </w:r>
    </w:p>
    <w:tbl>
      <w:tblPr>
        <w:tblW w:w="5000" w:type="pct"/>
        <w:tblBorders>
          <w:top w:val="single" w:sz="4" w:space="0" w:color="9BB0D0"/>
          <w:left w:val="single" w:sz="4" w:space="0" w:color="9BB0D0"/>
          <w:bottom w:val="single" w:sz="4" w:space="0" w:color="9BB0D0"/>
          <w:right w:val="single" w:sz="4" w:space="0" w:color="9BB0D0"/>
          <w:insideH w:val="single" w:sz="4" w:space="0" w:color="9BB0D0"/>
          <w:insideV w:val="single" w:sz="4" w:space="0" w:color="9BB0D0"/>
        </w:tblBorders>
        <w:tblLayout w:type="autofit"/>
      </w:tblPr>
      <w:tblGrid>
        <w:gridCol/>
        <w:gridCol/>
      </w:tblGrid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20"/>
              </w:rPr>
              <w:t xml:space="preserve">项目名称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mpu6050-iio(MPU-6050/6500/9250 IIO 驱动)</w:t>
            </w:r>
          </w:p>
        </w:tc>
      </w:tr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20"/>
              </w:rPr>
              <w:t xml:space="preserve">仓库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github.com/fyy0619-cell/xiangmu</w:t>
            </w:r>
          </w:p>
        </w:tc>
      </w:tr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20"/>
              </w:rPr>
              <w:t xml:space="preserve">作者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fyy0619-cell</w:t>
            </w:r>
          </w:p>
        </w:tc>
      </w:tr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20"/>
              </w:rPr>
              <w:t xml:space="preserve">目标平台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STM32MP157 PRO(ARM Cortex-A7,Linux)</w:t>
            </w:r>
          </w:p>
        </w:tc>
      </w:tr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20"/>
              </w:rPr>
              <w:t xml:space="preserve">许可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GPL-2.0-only</w:t>
            </w:r>
          </w:p>
        </w:tc>
      </w:tr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20"/>
              </w:rPr>
              <w:t xml:space="preserve">日期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2026-09-22</w:t>
            </w:r>
          </w:p>
        </w:tc>
      </w:tr>
    </w:tbl>
    <w:p/>
    <w:p>
      <w:r>
        <w:br w:type="page"/>
      </w:r>
    </w:p>
    <w:p>
      <w:pPr>
        <w:spacing w:after="16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一、项目背景</w:t>
      </w:r>
    </w:p>
    <w:p>
      <w:pPr>
        <w:spacing w:after="160"/>
      </w:pPr>
      <w:r>
        <w:rPr>
          <w:rFonts w:ascii="Microsoft YaHei" w:eastAsia="Microsoft YaHei" w:hAnsi="Microsoft YaHei"/>
          <w:b/>
          <w:color w:val="1A4FA0"/>
          <w:sz w:val="26"/>
        </w:rPr>
        <w:t xml:space="preserve">1.1 问题出发点</w:t>
      </w:r>
    </w:p>
    <w:p>
      <w:pPr>
        <w:spacing w:after="120"/>
      </w:pPr>
      <w:r>
        <w:rPr>
          <w:rFonts w:ascii="Microsoft YaHei" w:eastAsia="Microsoft YaHei" w:hAnsi="Microsoft YaHei"/>
          <w:sz w:val="22"/>
        </w:rPr>
        <w:t xml:space="preserve">网络上绝大多数 MPU-6050 教程止步于"用 I2C 读 14 字节寄存器并 printf 打印",既不挂接内核子系统框架,也不涉及功耗管理、并发保护、事件上报、测试与文档等真实工程要素。这类"例程式"代码在求职面试中无法体现工程深度,且高度雷同,难以证明候选人具备量产驱动的开发能力。</w:t>
      </w:r>
    </w:p>
    <w:p>
      <w:pPr>
        <w:spacing w:after="160"/>
      </w:pPr>
      <w:r>
        <w:rPr>
          <w:rFonts w:ascii="Microsoft YaHei" w:eastAsia="Microsoft YaHei" w:hAnsi="Microsoft YaHei"/>
          <w:b/>
          <w:color w:val="1A4FA0"/>
          <w:sz w:val="26"/>
        </w:rPr>
        <w:t xml:space="preserve">1.2 项目目标</w:t>
      </w:r>
    </w:p>
    <w:p>
      <w:pPr>
        <w:spacing w:after="120"/>
      </w:pPr>
      <w:r>
        <w:rPr>
          <w:rFonts w:ascii="Microsoft YaHei" w:eastAsia="Microsoft YaHei" w:hAnsi="Microsoft YaHei"/>
          <w:sz w:val="22"/>
        </w:rPr>
        <w:t xml:space="preserve">做一个形态上等同于企业实际交付的 vendor BSP 驱动的项目:芯片本身(MPU-6050)虽普通,但把驱动的工程完成度拉到量产水准——多芯片变体抽象、硬件 FIFO 批量搬运、运行时电源管理、运动检测事件、出厂自检、完整设备树绑定与 ABI 文档、持续集成(CI)与测试。差异化不在芯片,而在工程。</w:t>
      </w:r>
    </w:p>
    <w:p>
      <w:pPr>
        <w:spacing w:after="160"/>
      </w:pPr>
      <w:r>
        <w:rPr>
          <w:rFonts w:ascii="Microsoft YaHei" w:eastAsia="Microsoft YaHei" w:hAnsi="Microsoft YaHei"/>
          <w:b/>
          <w:color w:val="1A4FA0"/>
          <w:sz w:val="26"/>
        </w:rPr>
        <w:t xml:space="preserve">1.3 框架选型理由</w:t>
      </w:r>
    </w:p>
    <w:p>
      <w:pPr>
        <w:spacing w:after="120"/>
      </w:pPr>
      <w:r>
        <w:rPr>
          <w:rFonts w:ascii="Microsoft YaHei" w:eastAsia="Microsoft YaHei" w:hAnsi="Microsoft YaHei"/>
          <w:sz w:val="22"/>
        </w:rPr>
        <w:t xml:space="preserve">选择挂接 Linux IIO(Industrial I/O)子系统,而非直接实现裸字符设备。原因:</w:t>
      </w:r>
    </w:p>
    <w:p>
      <w:pPr>
        <w:spacing w:after="120"/>
      </w:pPr>
      <w:r>
        <w:rPr>
          <w:rFonts w:ascii="Microsoft YaHei" w:eastAsia="Microsoft YaHei" w:hAnsi="Microsoft YaHei"/>
          <w:sz w:val="22"/>
        </w:rPr>
        <w:t xml:space="preserve">• IIO 与相机领域的 V4L2 同源——都是"统一设备模型 + 标准用户空间 ABI + 可选缓冲/硬件触发数据流"的框架思想,但复杂度对入门者更友好。</w:t>
      </w:r>
    </w:p>
    <w:p>
      <w:pPr>
        <w:spacing w:after="120"/>
      </w:pPr>
      <w:r>
        <w:rPr>
          <w:rFonts w:ascii="Microsoft YaHei" w:eastAsia="Microsoft YaHei" w:hAnsi="Microsoft YaHei"/>
          <w:sz w:val="22"/>
        </w:rPr>
        <w:t xml:space="preserve">• 手机 SoC 的传感器子系统正是基于 IIO,方向与高通等 SoC 厂商的岗位高度对口。</w:t>
      </w:r>
    </w:p>
    <w:p>
      <w:pPr>
        <w:spacing w:after="120"/>
      </w:pPr>
      <w:r>
        <w:rPr>
          <w:rFonts w:ascii="Microsoft YaHei" w:eastAsia="Microsoft YaHei" w:hAnsi="Microsoft YaHei"/>
          <w:sz w:val="22"/>
        </w:rPr>
        <w:t xml:space="preserve">• 能完整练到"设备模型 / 通道 / 触发 / 缓冲 / 事件 / 电源"等一整套内核框架能力。</w:t>
      </w:r>
    </w:p>
    <w:p>
      <w:pPr>
        <w:spacing w:after="160"/>
      </w:pPr>
      <w:r>
        <w:rPr>
          <w:rFonts w:ascii="Microsoft YaHei" w:eastAsia="Microsoft YaHei" w:hAnsi="Microsoft YaHei"/>
          <w:b/>
          <w:color w:val="1A4FA0"/>
          <w:sz w:val="26"/>
        </w:rPr>
        <w:t xml:space="preserve">1.4 面向岗位</w:t>
      </w:r>
    </w:p>
    <w:p>
      <w:pPr>
        <w:spacing w:after="120"/>
      </w:pPr>
      <w:r>
        <w:rPr>
          <w:rFonts w:ascii="Microsoft YaHei" w:eastAsia="Microsoft YaHei" w:hAnsi="Microsoft YaHei"/>
          <w:sz w:val="22"/>
        </w:rPr>
        <w:t xml:space="preserve">本项目对应的产业链岗位包括:传感器原厂(TDK InvenSense、Bosch Sensortec、ST)的驱动/应用工程师;SoC 平台厂(高通、联发科、展锐、瑞芯微、NXP)的 sensor 子系统 / BSP 工程师;终端设备厂(手机、可穿戴、无人机、机器人、AR/VR)的内核/驱动集成岗。技能栈是"嵌入式 Linux 驱动 / BSP 工程师"的通用底座。</w:t>
      </w:r>
    </w:p>
    <w:p>
      <w:r>
        <w:br w:type="page"/>
      </w:r>
    </w:p>
    <w:p>
      <w:pPr>
        <w:spacing w:after="16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二、技术栈</w:t>
      </w:r>
    </w:p>
    <w:p>
      <w:pPr>
        <w:spacing w:after="160"/>
      </w:pPr>
      <w:r>
        <w:rPr>
          <w:rFonts w:ascii="Microsoft YaHei" w:eastAsia="Microsoft YaHei" w:hAnsi="Microsoft YaHei"/>
          <w:b/>
          <w:color w:val="1A4FA0"/>
          <w:sz w:val="26"/>
        </w:rPr>
        <w:t xml:space="preserve">2.1 内核侧(驱动本体)</w:t>
      </w:r>
    </w:p>
    <w:tbl>
      <w:tblPr>
        <w:tblW w:w="5000" w:type="pct"/>
        <w:tblBorders>
          <w:top w:val="single" w:sz="4" w:space="0" w:color="9BB0D0"/>
          <w:left w:val="single" w:sz="4" w:space="0" w:color="9BB0D0"/>
          <w:bottom w:val="single" w:sz="4" w:space="0" w:color="9BB0D0"/>
          <w:right w:val="single" w:sz="4" w:space="0" w:color="9BB0D0"/>
          <w:insideH w:val="single" w:sz="4" w:space="0" w:color="9BB0D0"/>
          <w:insideV w:val="single" w:sz="4" w:space="0" w:color="9BB0D0"/>
        </w:tblBorders>
        <w:tblLayout w:type="autofit"/>
      </w:tblPr>
      <w:tblGrid>
        <w:gridCol/>
        <w:gridCol/>
        <w:gridCol/>
      </w:tblGrid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20"/>
              </w:rPr>
              <w:t xml:space="preserve">类别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20"/>
              </w:rPr>
              <w:t xml:space="preserve">采用技术 / 子系统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20"/>
              </w:rPr>
              <w:t xml:space="preserve">作用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目标框架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Linux IIO 子系统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通道模型、sysfs/字符设备 ABI、buffer、trigger、events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寄存器抽象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regmap(regmap-i2c)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统一读写、缓存、debugfs dump、总线无关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总线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I2C(i2c_driver)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与 MPU-6050 通信;预留 SPI 前端扩展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设备匹配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Device Tree + OF match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compatible = "invensense,mpu6050"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数据搬运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triggered buffer(kfifo)+ 硬件 FIFO 水位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中断驱动的批量采集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中断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GPIO threaded IRQ + iio_trigger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DRDY 数据就绪 / FIFO 溢出 / 运动检测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电源管理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runtime PM + system suspend/resume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autosuspend 到 sleep,省电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事件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IIO events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wake-on-motion 阈值中断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资源管理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devm_ 全托管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无手写 remove,错误路径用 dev_err_probe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并发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mutex + claim_direct_mode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配置写 / 数据读 / 缓冲互斥</w:t>
            </w:r>
          </w:p>
        </w:tc>
      </w:tr>
    </w:tbl>
    <w:p/>
    <w:p>
      <w:pPr>
        <w:spacing w:after="160"/>
      </w:pPr>
      <w:r>
        <w:rPr>
          <w:rFonts w:ascii="Microsoft YaHei" w:eastAsia="Microsoft YaHei" w:hAnsi="Microsoft YaHei"/>
          <w:b/>
          <w:color w:val="1A4FA0"/>
          <w:sz w:val="26"/>
        </w:rPr>
        <w:t xml:space="preserve">2.2 工程配套</w:t>
      </w:r>
    </w:p>
    <w:tbl>
      <w:tblPr>
        <w:tblW w:w="5000" w:type="pct"/>
        <w:tblBorders>
          <w:top w:val="single" w:sz="4" w:space="0" w:color="9BB0D0"/>
          <w:left w:val="single" w:sz="4" w:space="0" w:color="9BB0D0"/>
          <w:bottom w:val="single" w:sz="4" w:space="0" w:color="9BB0D0"/>
          <w:right w:val="single" w:sz="4" w:space="0" w:color="9BB0D0"/>
          <w:insideH w:val="single" w:sz="4" w:space="0" w:color="9BB0D0"/>
          <w:insideV w:val="single" w:sz="4" w:space="0" w:color="9BB0D0"/>
        </w:tblBorders>
        <w:tblLayout w:type="autofit"/>
      </w:tblPr>
      <w:tblGrid>
        <w:gridCol/>
        <w:gridCol/>
      </w:tblGrid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20"/>
              </w:rPr>
              <w:t xml:space="preserve">类别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20"/>
              </w:rPr>
              <w:t xml:space="preserve">技术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构建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Kbuild(双用途 Makefile:外部模块 + 交叉编译)、Kconfig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交叉编译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arm-linux-gnueabihf- 工具链,在 Ubuntu 上 build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文档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DT binding(YAML,可过 dt_binding_check)、sysfs ABI 文档、架构说明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CI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GitHub Actions:拉取 Linux 6.1/6.6 源码 → 配 IIO 依赖 → 编译模块;checkpatch;userspace 构建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代码规范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Linux kernel coding style、SPDX 许可标识、checkpatch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验证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C 测试程序(sysfs 换算校验重力、缓冲流式读取)、上板冒烟脚本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版本/许可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Git、GPL-2.0-only、CHANGELOG、CONTRIBUTING</w:t>
            </w:r>
          </w:p>
        </w:tc>
      </w:tr>
    </w:tbl>
    <w:p/>
    <w:p>
      <w:pPr>
        <w:spacing w:after="160"/>
      </w:pPr>
      <w:r>
        <w:rPr>
          <w:rFonts w:ascii="Microsoft YaHei" w:eastAsia="Microsoft YaHei" w:hAnsi="Microsoft YaHei"/>
          <w:b/>
          <w:color w:val="1A4FA0"/>
          <w:sz w:val="26"/>
        </w:rPr>
        <w:t xml:space="preserve">2.3 硬件与联调环境</w:t>
      </w:r>
    </w:p>
    <w:p>
      <w:pPr>
        <w:spacing w:after="120"/>
      </w:pPr>
      <w:r>
        <w:rPr>
          <w:rFonts w:ascii="Microsoft YaHei" w:eastAsia="Microsoft YaHei" w:hAnsi="Microsoft YaHei"/>
          <w:sz w:val="22"/>
        </w:rPr>
        <w:t xml:space="preserve">• 板卡:100ASK STM32MP157 PRO(Cortex-A7 + M4,跑完整 Linux)</w:t>
      </w:r>
    </w:p>
    <w:p>
      <w:pPr>
        <w:spacing w:after="120"/>
      </w:pPr>
      <w:r>
        <w:rPr>
          <w:rFonts w:ascii="Microsoft YaHei" w:eastAsia="Microsoft YaHei" w:hAnsi="Microsoft YaHei"/>
          <w:sz w:val="22"/>
        </w:rPr>
        <w:t xml:space="preserve">• 传感器:MPU-6050(I2C 地址 0x68,带 FIFO 与 DRDY/motion 中断)</w:t>
      </w:r>
    </w:p>
    <w:p>
      <w:pPr>
        <w:spacing w:after="120"/>
      </w:pPr>
      <w:r>
        <w:rPr>
          <w:rFonts w:ascii="Microsoft YaHei" w:eastAsia="Microsoft YaHei" w:hAnsi="Microsoft YaHei"/>
          <w:sz w:val="22"/>
        </w:rPr>
        <w:t xml:space="preserve">• 联调:板 ↔ Ubuntu VM 网口直连(TFTP/NFS 加载模块),串口 CH340 @115200 看 dmesg</w:t>
      </w:r>
    </w:p>
    <w:p>
      <w:r>
        <w:br w:type="page"/>
      </w:r>
    </w:p>
    <w:p>
      <w:pPr>
        <w:spacing w:after="16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三、项目流程</w:t>
      </w:r>
    </w:p>
    <w:p>
      <w:pPr>
        <w:spacing w:after="160"/>
      </w:pPr>
      <w:r>
        <w:rPr>
          <w:rFonts w:ascii="Microsoft YaHei" w:eastAsia="Microsoft YaHei" w:hAnsi="Microsoft YaHei"/>
          <w:b/>
          <w:color w:val="1A4FA0"/>
          <w:sz w:val="26"/>
        </w:rPr>
        <w:t xml:space="preserve">3.1 开发流程(工程方法)</w:t>
      </w:r>
    </w:p>
    <w:p>
      <w:pPr>
        <w:spacing w:after="120"/>
      </w:pPr>
      <w:r>
        <w:rPr>
          <w:rFonts w:ascii="Microsoft YaHei" w:eastAsia="Microsoft YaHei" w:hAnsi="Microsoft YaHei"/>
          <w:sz w:val="22"/>
        </w:rPr>
        <w:t xml:space="preserve">项目采用"设计先行 + 分里程碑"的工程流程,留有完整过程记录(docs/superpowers/):</w:t>
      </w:r>
    </w:p>
    <w:p>
      <w:pPr>
        <w:spacing w:after="120"/>
      </w:pPr>
      <w:r>
        <w:rPr>
          <w:rFonts w:ascii="Microsoft YaHei" w:eastAsia="Microsoft YaHei" w:hAnsi="Microsoft YaHei"/>
          <w:sz w:val="22"/>
        </w:rPr>
        <w:t xml:space="preserve">• 需求与设计(spec):明确框架选型(IIO)、硬件(STM32MP157 + MPU-6050)、范围(生产级),产出设计文档。</w:t>
      </w:r>
    </w:p>
    <w:p>
      <w:pPr>
        <w:spacing w:after="120"/>
      </w:pPr>
      <w:r>
        <w:rPr>
          <w:rFonts w:ascii="Microsoft YaHei" w:eastAsia="Microsoft YaHei" w:hAnsi="Microsoft YaHei"/>
          <w:sz w:val="22"/>
        </w:rPr>
        <w:t xml:space="preserve">• 实现计划(plan):拆成 M1–M4 里程碑,每步含代码、验收命令与预期输出。</w:t>
      </w:r>
    </w:p>
    <w:p>
      <w:pPr>
        <w:spacing w:after="120"/>
      </w:pPr>
      <w:r>
        <w:rPr>
          <w:rFonts w:ascii="Microsoft YaHei" w:eastAsia="Microsoft YaHei" w:hAnsi="Microsoft YaHei"/>
          <w:sz w:val="22"/>
        </w:rPr>
        <w:t xml:space="preserve">• 编码实现:按 mainline vendor 驱动方式多文件拆分实现。</w:t>
      </w:r>
    </w:p>
    <w:p>
      <w:pPr>
        <w:spacing w:after="120"/>
      </w:pPr>
      <w:r>
        <w:rPr>
          <w:rFonts w:ascii="Microsoft YaHei" w:eastAsia="Microsoft YaHei" w:hAnsi="Microsoft YaHei"/>
          <w:sz w:val="22"/>
        </w:rPr>
        <w:t xml:space="preserve">• 文档与 CI:补 DT binding、ABI、架构说明,配 GitHub Actions 交叉编译。</w:t>
      </w:r>
    </w:p>
    <w:p>
      <w:pPr>
        <w:spacing w:after="120"/>
      </w:pPr>
      <w:r>
        <w:rPr>
          <w:rFonts w:ascii="Microsoft YaHei" w:eastAsia="Microsoft YaHei" w:hAnsi="Microsoft YaHei"/>
          <w:sz w:val="22"/>
        </w:rPr>
        <w:t xml:space="preserve">• 硬件 bring-up:按 M1→M4 在真板逐步点亮验证。</w:t>
      </w:r>
    </w:p>
    <w:p>
      <w:pPr>
        <w:spacing w:after="160"/>
      </w:pPr>
      <w:r>
        <w:rPr>
          <w:rFonts w:ascii="Microsoft YaHei" w:eastAsia="Microsoft YaHei" w:hAnsi="Microsoft YaHei"/>
          <w:b/>
          <w:color w:val="1A4FA0"/>
          <w:sz w:val="26"/>
        </w:rPr>
        <w:t xml:space="preserve">3.2 里程碑</w:t>
      </w:r>
    </w:p>
    <w:tbl>
      <w:tblPr>
        <w:tblW w:w="5000" w:type="pct"/>
        <w:tblBorders>
          <w:top w:val="single" w:sz="4" w:space="0" w:color="9BB0D0"/>
          <w:left w:val="single" w:sz="4" w:space="0" w:color="9BB0D0"/>
          <w:bottom w:val="single" w:sz="4" w:space="0" w:color="9BB0D0"/>
          <w:right w:val="single" w:sz="4" w:space="0" w:color="9BB0D0"/>
          <w:insideH w:val="single" w:sz="4" w:space="0" w:color="9BB0D0"/>
          <w:insideV w:val="single" w:sz="4" w:space="0" w:color="9BB0D0"/>
        </w:tblBorders>
        <w:tblLayout w:type="autofit"/>
      </w:tblPr>
      <w:tblGrid>
        <w:gridCol/>
        <w:gridCol/>
        <w:gridCol/>
      </w:tblGrid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20"/>
              </w:rPr>
              <w:t xml:space="preserve">里程碑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20"/>
              </w:rPr>
              <w:t xml:space="preserve">内容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20"/>
              </w:rPr>
              <w:t xml:space="preserve">验收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M1 板级 bring-up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设备树节点 + i2c probe + WHO_AM_I + regmap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dmesg 见设备,i2cdetect 0x68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M2 raw 通道 + 量程/采样率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read/write_raw,scale/offset/ODR,available 列表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静止合加速度 ≈9.8,iio_info 干净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M3 触发缓冲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triggered buffer,软件触发先跑通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iio_readdev 出数据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M4 硬件触发 + 进阶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DRDY 中断触发、FIFO 水位、runtime PM、events、self-test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100Hz 自动流、事件、自检 pass</w:t>
            </w:r>
          </w:p>
        </w:tc>
      </w:tr>
    </w:tbl>
    <w:p/>
    <w:p>
      <w:pPr>
        <w:spacing w:after="160"/>
      </w:pPr>
      <w:r>
        <w:rPr>
          <w:rFonts w:ascii="Microsoft YaHei" w:eastAsia="Microsoft YaHei" w:hAnsi="Microsoft YaHei"/>
          <w:b/>
          <w:color w:val="1A4FA0"/>
          <w:sz w:val="26"/>
        </w:rPr>
        <w:t xml:space="preserve">3.3 运行时数据流</w:t>
      </w:r>
    </w:p>
    <w:p>
      <w:pPr>
        <w:spacing w:after="120"/>
      </w:pPr>
      <w:r>
        <w:rPr>
          <w:rFonts w:ascii="Microsoft YaHei" w:eastAsia="Microsoft YaHei" w:hAnsi="Microsoft YaHei"/>
          <w:sz w:val="22"/>
        </w:rPr>
        <w:t xml:space="preserve">路径一 · sysfs 单次(direct mode):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9"/>
        </w:rPr>
        <w:t xml:space="preserve">cat in_accel_x_raw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9"/>
        </w:rPr>
        <w:t xml:space="preserve">  → read_raw(RAW)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9"/>
        </w:rPr>
        <w:t xml:space="preserve">  → iio_device_claim_direct_mode()   # 与缓冲互斥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9"/>
        </w:rPr>
        <w:t xml:space="preserve">  → pm_runtime_resume_and_get()      # 唤醒芯片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9"/>
        </w:rPr>
        <w:t xml:space="preserve">  → regmap_bulk_read(ACCEL_XOUT_H)   # 16-bit 大端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9"/>
        </w:rPr>
        <w:t xml:space="preserve">  → 换算返回</w:t>
      </w:r>
    </w:p>
    <w:p/>
    <w:p>
      <w:pPr>
        <w:spacing w:after="120"/>
      </w:pPr>
      <w:r>
        <w:rPr>
          <w:rFonts w:ascii="Microsoft YaHei" w:eastAsia="Microsoft YaHei" w:hAnsi="Microsoft YaHei"/>
          <w:sz w:val="22"/>
        </w:rPr>
        <w:t xml:space="preserve">路径二 · 缓冲流式(triggered buffer):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9"/>
        </w:rPr>
        <w:t xml:space="preserve">选通道 scan_elements/*_en → buffer/enable=1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9"/>
        </w:rPr>
        <w:t xml:space="preserve">  → DRDY / FIFO 中断(GPIO IRQ, threaded)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9"/>
        </w:rPr>
        <w:t xml:space="preserve">  → iio_trigger_poll_nested()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9"/>
        </w:rPr>
        <w:t xml:space="preserve">  → pollfunc: 单帧读 或 FIFO 批量 drain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9"/>
        </w:rPr>
        <w:t xml:space="preserve">  → iio_push_to_buffers_with_timestamp()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9"/>
        </w:rPr>
        <w:t xml:space="preserve">  → 用户 read(/dev/iio:deviceN)</w:t>
      </w:r>
    </w:p>
    <w:p/>
    <w:p>
      <w:r>
        <w:br w:type="page"/>
      </w:r>
    </w:p>
    <w:p>
      <w:pPr>
        <w:spacing w:after="16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四、项目难点</w:t>
      </w:r>
    </w:p>
    <w:tbl>
      <w:tblPr>
        <w:tblW w:w="5000" w:type="pct"/>
        <w:tblBorders>
          <w:top w:val="single" w:sz="4" w:space="0" w:color="9BB0D0"/>
          <w:left w:val="single" w:sz="4" w:space="0" w:color="9BB0D0"/>
          <w:bottom w:val="single" w:sz="4" w:space="0" w:color="9BB0D0"/>
          <w:right w:val="single" w:sz="4" w:space="0" w:color="9BB0D0"/>
          <w:insideH w:val="single" w:sz="4" w:space="0" w:color="9BB0D0"/>
          <w:insideV w:val="single" w:sz="4" w:space="0" w:color="9BB0D0"/>
        </w:tblBorders>
        <w:tblLayout w:type="autofit"/>
      </w:tblPr>
      <w:tblGrid>
        <w:gridCol/>
        <w:gridCol/>
        <w:gridCol/>
      </w:tblGrid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20"/>
              </w:rPr>
              <w:t xml:space="preserve">难点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20"/>
              </w:rPr>
              <w:t xml:space="preserve">问题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20"/>
              </w:rPr>
              <w:t xml:space="preserve">解决思路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框架抽象与分层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如何做到总线无关、可扩展 SPI,而非把 I2C 逻辑写死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仿 mainline inv_mpu6050,拆成 core + i2c 两个模块;core 只依赖 regmap 与 iio,总线前端通过 mpu6050_core_probe() 注入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缓冲 + 硬件触发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如何把"硬件中断 → 批量搬运 → 用户读"这条数据流正确接起来,并与 sysfs 单次读互斥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triggered buffer + iio_trigger;threaded IRQ 中读 INT_STATUS 后 iio_trigger_poll_nested;单次读用 claim_direct_mode 互斥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硬件 FIFO 水位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每样本一次中断在高 ODR 下功耗/CPU 占用高;需批量搬运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watermark&gt;1 时启用片上 FIFO,按 FIFO_COUNT 逐 14 字节帧 drain;通过标准 hwfifo ABI 暴露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电源管理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空闲省电与随取随用的平衡;system suspend 与 runtime 协同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runtime PM autosuspend 到 sleep;单次读/缓冲开启前 resume_and_get;system sleep 走 pm_runtime_force_suspend/resume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自检的整数实现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内核禁用浮点,datasheet 的 factory-trim 是浮点多项式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测量自检响应(actuator 开-关之差),用整数绝对窗口判定 pass/fail;浮点 trim 作为后续扩展并诚实标注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并发正确性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配置写、单次读、缓冲搬运、事件可能并发访问寄存器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st-&gt;lock 串行化;缓冲期间拒绝 direct-mode 读;中断用 threaded+ONESHOT 保证可安全做 I2C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跨内核版本兼容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目标板 ST 5.4 BSP 缺少较新 API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基线定为 5.15/6.1;为 5.4 提供 pm_runtime_resume_and_get 等最小兼容 shim;CI 对 6.1/6.6 双版本编译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数据大小端与打包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MPU 输出为 16-bit 大端,缓冲扫描需按 scan_index 对齐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scan_type 声明 IIO_BE/16bit;寄存器块(accel/temp/gyro)顺序与 enum 一致,整块读入即为合法 scan payload</w:t>
            </w:r>
          </w:p>
        </w:tc>
      </w:tr>
    </w:tbl>
    <w:p/>
    <w:p>
      <w:r>
        <w:br w:type="page"/>
      </w:r>
    </w:p>
    <w:p>
      <w:pPr>
        <w:spacing w:after="16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五、项目细节</w:t>
      </w:r>
    </w:p>
    <w:p>
      <w:pPr>
        <w:spacing w:after="160"/>
      </w:pPr>
      <w:r>
        <w:rPr>
          <w:rFonts w:ascii="Microsoft YaHei" w:eastAsia="Microsoft YaHei" w:hAnsi="Microsoft YaHei"/>
          <w:b/>
          <w:color w:val="1A4FA0"/>
          <w:sz w:val="26"/>
        </w:rPr>
        <w:t xml:space="preserve">5.1 代码组织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9"/>
        </w:rPr>
        <w:t xml:space="preserve">drivers/iio/imu/mpu6050/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9"/>
        </w:rPr>
        <w:t xml:space="preserve">  mpu6050.h            寄存器映射、chip_info、状态结构、函数原型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9"/>
        </w:rPr>
        <w:t xml:space="preserve">  mpu6050_core.c       设备模型 / 通道 / read|write_raw / PM / probe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9"/>
        </w:rPr>
        <w:t xml:space="preserve">  mpu6050_i2c.c        I2C 前端(模块入口、变体匹配)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9"/>
        </w:rPr>
        <w:t xml:space="preserve">  mpu6050_buffer.c     triggered buffer + DRDY 触发 + FIFO 水位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9"/>
        </w:rPr>
        <w:t xml:space="preserve">  mpu6050_events.c     运动检测阈值事件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9"/>
        </w:rPr>
        <w:t xml:space="preserve">  mpu6050_selftest.c   factory self-test(sysfs)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9"/>
        </w:rPr>
        <w:t xml:space="preserve">  Makefile / Kconfig   双用途构建 + 在树配置</w:t>
      </w:r>
    </w:p>
    <w:p/>
    <w:p>
      <w:pPr>
        <w:spacing w:after="160"/>
      </w:pPr>
      <w:r>
        <w:rPr>
          <w:rFonts w:ascii="Microsoft YaHei" w:eastAsia="Microsoft YaHei" w:hAnsi="Microsoft YaHei"/>
          <w:b/>
          <w:color w:val="1A4FA0"/>
          <w:sz w:val="26"/>
        </w:rPr>
        <w:t xml:space="preserve">5.2 关键设计点</w:t>
      </w:r>
    </w:p>
    <w:p>
      <w:pPr>
        <w:spacing w:after="120"/>
      </w:pPr>
      <w:r>
        <w:rPr>
          <w:rFonts w:ascii="Microsoft YaHei" w:eastAsia="Microsoft YaHei" w:hAnsi="Microsoft YaHei"/>
          <w:sz w:val="22"/>
        </w:rPr>
        <w:t xml:space="preserve">• 多变体 chip_info 表:{name, whoami, has_fifo},probe 时按 WHO_AM_I 校验,支持 6050/6500/9250。</w:t>
      </w:r>
    </w:p>
    <w:p>
      <w:pPr>
        <w:spacing w:after="120"/>
      </w:pPr>
      <w:r>
        <w:rPr>
          <w:rFonts w:ascii="Microsoft YaHei" w:eastAsia="Microsoft YaHei" w:hAnsi="Microsoft YaHei"/>
          <w:sz w:val="22"/>
        </w:rPr>
        <w:t xml:space="preserve">• regmap:统一寄存器访问,自带缓存与 debugfs/regmap/*/registers,换总线零改动。</w:t>
      </w:r>
    </w:p>
    <w:p>
      <w:pPr>
        <w:spacing w:after="120"/>
      </w:pPr>
      <w:r>
        <w:rPr>
          <w:rFonts w:ascii="Microsoft YaHei" w:eastAsia="Microsoft YaHei" w:hAnsi="Microsoft YaHei"/>
          <w:sz w:val="22"/>
        </w:rPr>
        <w:t xml:space="preserve">• 通道:accel x/y/z、gyro x/y/z、temp + 软件时间戳;RAW 分离、SCALE 按类型共享、SAMP_FREQ 全局共享;并提供 *_available 列表。</w:t>
      </w:r>
    </w:p>
    <w:p>
      <w:pPr>
        <w:spacing w:after="120"/>
      </w:pPr>
      <w:r>
        <w:rPr>
          <w:rFonts w:ascii="Microsoft YaHei" w:eastAsia="Microsoft YaHei" w:hAnsi="Microsoft YaHei"/>
          <w:sz w:val="22"/>
        </w:rPr>
        <w:t xml:space="preserve">• 量程换算:accel/gyro 四档全量程对应 SI 每-LSB 值,以 IIO_VAL_INT_PLUS_NANO 表达。</w:t>
      </w:r>
    </w:p>
    <w:p>
      <w:pPr>
        <w:spacing w:after="120"/>
      </w:pPr>
      <w:r>
        <w:rPr>
          <w:rFonts w:ascii="Microsoft YaHei" w:eastAsia="Microsoft YaHei" w:hAnsi="Microsoft YaHei"/>
          <w:sz w:val="22"/>
        </w:rPr>
        <w:t xml:space="preserve">• 采样率:通过 SMPLRT_DIV,rate = 1000/(1+div),校验合法档位。</w:t>
      </w:r>
    </w:p>
    <w:p>
      <w:pPr>
        <w:spacing w:after="120"/>
      </w:pPr>
      <w:r>
        <w:rPr>
          <w:rFonts w:ascii="Microsoft YaHei" w:eastAsia="Microsoft YaHei" w:hAnsi="Microsoft YaHei"/>
          <w:sz w:val="22"/>
        </w:rPr>
        <w:t xml:space="preserve">• 触发:自建 data-ready 触发,set_trigger_state 使能片上 DATA_RDY/FIFO_OFLOW 中断。</w:t>
      </w:r>
    </w:p>
    <w:p>
      <w:pPr>
        <w:spacing w:after="120"/>
      </w:pPr>
      <w:r>
        <w:rPr>
          <w:rFonts w:ascii="Microsoft YaHei" w:eastAsia="Microsoft YaHei" w:hAnsi="Microsoft YaHei"/>
          <w:sz w:val="22"/>
        </w:rPr>
        <w:t xml:space="preserve">• 事件:accel 运动检测,MOT_THR 阈值 + INT_ENABLE 使能,标准 IIO_EV_TYPE_MAG/RISING。</w:t>
      </w:r>
    </w:p>
    <w:p>
      <w:pPr>
        <w:spacing w:after="120"/>
      </w:pPr>
      <w:r>
        <w:rPr>
          <w:rFonts w:ascii="Microsoft YaHei" w:eastAsia="Microsoft YaHei" w:hAnsi="Microsoft YaHei"/>
          <w:sz w:val="22"/>
        </w:rPr>
        <w:t xml:space="preserve">• 自检:每轴测 16 次均值,自检开/关之差落在窗口内即 pass,读后恢复正常配置。</w:t>
      </w:r>
    </w:p>
    <w:p>
      <w:pPr>
        <w:spacing w:after="160"/>
      </w:pPr>
      <w:r>
        <w:rPr>
          <w:rFonts w:ascii="Microsoft YaHei" w:eastAsia="Microsoft YaHei" w:hAnsi="Microsoft YaHei"/>
          <w:b/>
          <w:color w:val="1A4FA0"/>
          <w:sz w:val="26"/>
        </w:rPr>
        <w:t xml:space="preserve">5.3 与 V4L2 的概念对照</w:t>
      </w:r>
    </w:p>
    <w:tbl>
      <w:tblPr>
        <w:tblW w:w="5000" w:type="pct"/>
        <w:tblBorders>
          <w:top w:val="single" w:sz="4" w:space="0" w:color="9BB0D0"/>
          <w:left w:val="single" w:sz="4" w:space="0" w:color="9BB0D0"/>
          <w:bottom w:val="single" w:sz="4" w:space="0" w:color="9BB0D0"/>
          <w:right w:val="single" w:sz="4" w:space="0" w:color="9BB0D0"/>
          <w:insideH w:val="single" w:sz="4" w:space="0" w:color="9BB0D0"/>
          <w:insideV w:val="single" w:sz="4" w:space="0" w:color="9BB0D0"/>
        </w:tblBorders>
        <w:tblLayout w:type="autofit"/>
      </w:tblPr>
      <w:tblGrid>
        <w:gridCol/>
        <w:gridCol/>
        <w:gridCol/>
      </w:tblGrid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20"/>
              </w:rPr>
              <w:t xml:space="preserve">概念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20"/>
              </w:rPr>
              <w:t xml:space="preserve">V4L2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20"/>
              </w:rPr>
              <w:t xml:space="preserve">本 IIO 驱动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能力描述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VIDIOC_ENUM_FMT / v4l2_format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iio_chan_spec[] + *_available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能力协商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协商 format/分辨率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选 scan_elements + scale/ODR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缓冲队列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vb2_queue(videobuf2)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iio_buffer(kfifo)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硬件触发搬运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frame-done IRQ → dqbuf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DRDY/FIFO IRQ → pollfunc push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用户取数据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VIDIOC_DQBUF / read()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read(/dev/iio:deviceN)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多前端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subdev + media controller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core + i2c/spi 前端拆分</w:t>
            </w:r>
          </w:p>
        </w:tc>
      </w:tr>
    </w:tbl>
    <w:p/>
    <w:p>
      <w:pPr>
        <w:spacing w:after="160"/>
      </w:pPr>
      <w:r>
        <w:rPr>
          <w:rFonts w:ascii="Microsoft YaHei" w:eastAsia="Microsoft YaHei" w:hAnsi="Microsoft YaHei"/>
          <w:b/>
          <w:color w:val="1A4FA0"/>
          <w:sz w:val="26"/>
        </w:rPr>
        <w:t xml:space="preserve">5.4 应用场景</w:t>
      </w:r>
    </w:p>
    <w:tbl>
      <w:tblPr>
        <w:tblW w:w="5000" w:type="pct"/>
        <w:tblBorders>
          <w:top w:val="single" w:sz="4" w:space="0" w:color="9BB0D0"/>
          <w:left w:val="single" w:sz="4" w:space="0" w:color="9BB0D0"/>
          <w:bottom w:val="single" w:sz="4" w:space="0" w:color="9BB0D0"/>
          <w:right w:val="single" w:sz="4" w:space="0" w:color="9BB0D0"/>
          <w:insideH w:val="single" w:sz="4" w:space="0" w:color="9BB0D0"/>
          <w:insideV w:val="single" w:sz="4" w:space="0" w:color="9BB0D0"/>
        </w:tblBorders>
        <w:tblLayout w:type="autofit"/>
      </w:tblPr>
      <w:tblGrid>
        <w:gridCol/>
        <w:gridCol/>
      </w:tblGrid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20"/>
              </w:rPr>
              <w:t xml:space="preserve">场景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20"/>
              </w:rPr>
              <w:t xml:space="preserve">用到的能力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手机/平板 屏幕旋转、计步、姿态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accel/gyro 数据流 + 低功耗 ODR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可穿戴/TWS 佩戴与敲击检测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运动检测事件、wake-on-motion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无人机/平衡车/机器人 姿态解算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高采样率 + DRDY 硬件触发 + 精确时间戳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AR/VR 头显 头部追踪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高吞吐缓冲流 + FIFO 水位降 CPU 负载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IoT 跌落/震动/防拆告警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运动阈值事件、超低功耗待机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工业设备 振动监测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连续缓冲采集 + libiio 上位机分析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always-on sensor hub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20"/>
              </w:rPr>
              <w:t xml:space="preserve">FIFO 批量 + runtime PM,主 CPU 尽量休眠</w:t>
            </w:r>
          </w:p>
        </w:tc>
      </w:tr>
    </w:tbl>
    <w:p/>
    <w:p>
      <w:pPr>
        <w:spacing w:after="160"/>
      </w:pPr>
      <w:r>
        <w:rPr>
          <w:rFonts w:ascii="Microsoft YaHei" w:eastAsia="Microsoft YaHei" w:hAnsi="Microsoft YaHei"/>
          <w:b/>
          <w:color w:val="1A4FA0"/>
          <w:sz w:val="26"/>
        </w:rPr>
        <w:t xml:space="preserve">5.5 现状与已知边界(诚实说明)</w:t>
      </w:r>
    </w:p>
    <w:p>
      <w:pPr>
        <w:spacing w:after="120"/>
      </w:pPr>
      <w:r>
        <w:rPr>
          <w:rFonts w:ascii="Microsoft YaHei" w:eastAsia="Microsoft YaHei" w:hAnsi="Microsoft YaHei"/>
          <w:sz w:val="22"/>
        </w:rPr>
        <w:t xml:space="preserve">• 代码/文档/CI/测试已完成并推送;硬件 bring-up 按 M1→M4 推进中。</w:t>
      </w:r>
    </w:p>
    <w:p>
      <w:pPr>
        <w:spacing w:after="120"/>
      </w:pPr>
      <w:r>
        <w:rPr>
          <w:rFonts w:ascii="Microsoft YaHei" w:eastAsia="Microsoft YaHei" w:hAnsi="Microsoft YaHei"/>
          <w:sz w:val="22"/>
        </w:rPr>
        <w:t xml:space="preserve">• 内核 API 基线 ≥ 5.15/6.1;STM32MP157 的 ST 5.4 BSP 需 README 中的兼容 shim。</w:t>
      </w:r>
    </w:p>
    <w:p>
      <w:pPr>
        <w:spacing w:after="120"/>
      </w:pPr>
      <w:r>
        <w:rPr>
          <w:rFonts w:ascii="Microsoft YaHei" w:eastAsia="Microsoft YaHei" w:hAnsi="Microsoft YaHei"/>
          <w:sz w:val="22"/>
        </w:rPr>
        <w:t xml:space="preserve">• self-test 采用整数响应窗口判定;浮点 factory-trim 为后续扩展。</w:t>
      </w:r>
    </w:p>
    <w:p>
      <w:pPr>
        <w:spacing w:after="120"/>
      </w:pPr>
      <w:r>
        <w:rPr>
          <w:rFonts w:ascii="Microsoft YaHei" w:eastAsia="Microsoft YaHei" w:hAnsi="Microsoft YaHei"/>
          <w:sz w:val="22"/>
        </w:rPr>
        <w:t xml:space="preserve">• FIFO 水位路径当前对整批帧共用一个时间戳,逐帧时间插值为可选增强。</w:t>
      </w:r>
    </w:p>
    <w:p>
      <w:pPr>
        <w:spacing w:after="120"/>
      </w:pPr>
      <w:r>
        <w:rPr>
          <w:rFonts w:ascii="Microsoft YaHei" w:eastAsia="Microsoft YaHei" w:hAnsi="Microsoft YaHei"/>
          <w:sz w:val="22"/>
        </w:rPr>
        <w:t xml:space="preserve">本项目为学习 / 作品集用途,非 Invensense 官方驱动。仓库:github.com/fyy0619-cell/xiangmu</w:t>
      </w:r>
    </w:p>
    <w:sectPr>
      <w:pgSz w:w="11906" w:h="16838"/>
      <w:pgMar w:top="1134" w:right="1134" w:bottom="1134" w:left="1134"/>
    </w:sectPr>
  </w:body>
</w:document>
</file>