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F4E79"/>
          <w:sz w:val="64"/>
          <w:szCs w:val="64"/>
        </w:rPr>
        <w:t xml:space="preserve">SPC-Lab</w:t>
      </w:r>
    </w:p>
    <w:p>
      <w:pPr>
        <w:spacing w:before="0" w:after="80"/>
        <w:jc w:val="center"/>
      </w:pPr>
      <w:r>
        <w:rPr>
          <w:rFonts w:ascii="Arial" w:cs="Arial" w:eastAsia="Arial" w:hAnsi="Arial"/>
          <w:color w:val="2E75B6"/>
          <w:sz w:val="32"/>
          <w:szCs w:val="32"/>
        </w:rPr>
        <w:t xml:space="preserve">Statistisk processtyrning och kapabilitetsstudier</w:t>
      </w:r>
    </w:p>
    <w:p>
      <w:pPr>
        <w:spacing w:before="0" w:after="200"/>
        <w:jc w:val="center"/>
      </w:pPr>
      <w:r>
        <w:rPr>
          <w:rFonts w:ascii="Arial" w:cs="Arial" w:eastAsia="Arial" w:hAnsi="Arial"/>
          <w:color w:val="888888"/>
          <w:sz w:val="24"/>
          <w:szCs w:val="24"/>
        </w:rPr>
        <w:t xml:space="preserve">Produktkravsdokument (PRD) – version 1.0</w:t>
      </w:r>
    </w:p>
    <w:p>
      <w:pPr>
        <w:pBdr>
          <w:bottom w:val="single" w:color="2E75B6" w:sz="6" w:space="1"/>
        </w:pBdr>
        <w:spacing w:before="120" w:after="12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D6A96"/>
                <w:sz w:val="20"/>
                <w:szCs w:val="20"/>
              </w:rPr>
              <w:t xml:space="preserve">Projekt</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SPC-Lab – Webbaserad laborationsmiljö</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D6A96"/>
                <w:sz w:val="20"/>
                <w:szCs w:val="20"/>
              </w:rPr>
              <w:t xml:space="preserve">Scenario</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CNC-svarvning av hydraulaxlar, Ø28,000 ±0,025 mm, n=5</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D6A96"/>
                <w:sz w:val="20"/>
                <w:szCs w:val="20"/>
              </w:rPr>
              <w:t xml:space="preserve">Teknisk stack</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Next.js, TypeScript, Tailwind CSS, Recharts, Vercel, Neon.tech PostgreSQL</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D6A96"/>
                <w:sz w:val="20"/>
                <w:szCs w:val="20"/>
              </w:rPr>
              <w:t xml:space="preserve">Antal user stories</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11 st (US-000 till US-010)</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1D6A96"/>
                <w:sz w:val="20"/>
                <w:szCs w:val="20"/>
              </w:rPr>
              <w:t xml:space="preserve">Datum</w:t>
            </w:r>
          </w:p>
        </w:tc>
        <w:tc>
          <w:tcPr>
            <w:tcW w:type="dxa" w:w="6626"/>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sz w:val="20"/>
                <w:szCs w:val="20"/>
              </w:rPr>
              <w:t xml:space="preserve">2026-03-23</w:t>
            </w:r>
          </w:p>
        </w:tc>
      </w:tr>
    </w:tbl>
    <w:p>
      <w:pPr>
        <w:spacing w:before="60" w:after="60"/>
      </w:pPr>
      <w:r>
        <w:t xml:space="preserve"/>
      </w:r>
    </w:p>
    <w:p>
      <w:pPr>
        <w:spacing w:before="60" w:after="60"/>
      </w:pPr>
      <w:r>
        <w:t xml:space="preserve"/>
      </w:r>
    </w:p>
    <w:p>
      <w:pPr>
        <w:pBdr>
          <w:bottom w:val="single" w:color="2E75B6" w:sz="6" w:space="1"/>
        </w:pBdr>
        <w:spacing w:before="120" w:after="120"/>
      </w:pPr>
      <w:r>
        <w:t xml:space="preserve"/>
      </w:r>
    </w:p>
    <w:p>
      <w:pPr>
        <w:spacing w:before="60" w:after="60"/>
      </w:pPr>
      <w:r>
        <w:t xml:space="preserve"/>
      </w:r>
    </w:p>
    <w:p>
      <w:pPr>
        <w:pStyle w:val="Heading1"/>
        <w:spacing w:before="360" w:after="120"/>
      </w:pPr>
      <w:r>
        <w:rPr>
          <w:rFonts w:ascii="Arial" w:cs="Arial" w:eastAsia="Arial" w:hAnsi="Arial"/>
          <w:b/>
          <w:bCs/>
          <w:color w:val="1F4E79"/>
          <w:sz w:val="32"/>
          <w:szCs w:val="32"/>
        </w:rPr>
        <w:t xml:space="preserve">1. Syfte och pedagogisk idé</w:t>
      </w:r>
    </w:p>
    <w:p>
      <w:pPr>
        <w:spacing w:before="60" w:after="60"/>
      </w:pPr>
      <w:r>
        <w:rPr>
          <w:rFonts w:ascii="Arial" w:cs="Arial" w:eastAsia="Arial" w:hAnsi="Arial"/>
          <w:sz w:val="22"/>
          <w:szCs w:val="22"/>
        </w:rPr>
        <w:t xml:space="preserve">SPC-Lab är en webbaserad laborationsmiljö för ingenjörsstudenter som lär sig statistisk processtyrning (SPC) och kapabilitetsstudier. Studenten intar rollen som kvalitetsingenjör på det fiktiva företaget Precision Parts AB och arbetar med verkliga beräkningar på ett industriellt scenario – CNC-svarvning av hydraulaxlar med skarpa toleranskrav.</w:t>
      </w:r>
    </w:p>
    <w:p>
      <w:pPr>
        <w:spacing w:before="60" w:after="60"/>
      </w:pPr>
      <w:r>
        <w:t xml:space="preserve"/>
      </w:r>
    </w:p>
    <w:p>
      <w:pPr>
        <w:spacing w:before="60" w:after="60"/>
      </w:pPr>
      <w:r>
        <w:rPr>
          <w:rFonts w:ascii="Arial" w:cs="Arial" w:eastAsia="Arial" w:hAnsi="Arial"/>
          <w:sz w:val="22"/>
          <w:szCs w:val="22"/>
        </w:rPr>
        <w:t xml:space="preserve">Laborationen följer en pedagogisk progression i tre faser:</w:t>
      </w:r>
    </w:p>
    <w:p>
      <w:pPr>
        <w:pStyle w:val="ListParagraph"/>
        <w:numPr>
          <w:ilvl w:val="0"/>
          <w:numId w:val="2"/>
        </w:numPr>
        <w:spacing w:before="40" w:after="40"/>
      </w:pPr>
      <w:r>
        <w:rPr>
          <w:rFonts w:ascii="Arial" w:cs="Arial" w:eastAsia="Arial" w:hAnsi="Arial"/>
          <w:sz w:val="22"/>
          <w:szCs w:val="22"/>
        </w:rPr>
        <w:t xml:space="preserve">Fas 1 – Stabil process: Studenten beräknar kontrollgränser, ritar X̄/R-diagram och bedömer om processen är under statistisk kontroll med hjälp av Nelsonreglerna.</w:t>
      </w:r>
    </w:p>
    <w:p>
      <w:pPr>
        <w:pStyle w:val="ListParagraph"/>
        <w:numPr>
          <w:ilvl w:val="0"/>
          <w:numId w:val="2"/>
        </w:numPr>
        <w:spacing w:before="40" w:after="40"/>
      </w:pPr>
      <w:r>
        <w:rPr>
          <w:rFonts w:ascii="Arial" w:cs="Arial" w:eastAsia="Arial" w:hAnsi="Arial"/>
          <w:sz w:val="22"/>
          <w:szCs w:val="22"/>
        </w:rPr>
        <w:t xml:space="preserve">Fas 2 – Störning: En ny datamängd med inbyggd drift presenteras. Studenten identifierar när störningen inträffar och vilken Nelsonregel som bryts.</w:t>
      </w:r>
    </w:p>
    <w:p>
      <w:pPr>
        <w:pStyle w:val="ListParagraph"/>
        <w:numPr>
          <w:ilvl w:val="0"/>
          <w:numId w:val="2"/>
        </w:numPr>
        <w:spacing w:before="40" w:after="40"/>
      </w:pPr>
      <w:r>
        <w:rPr>
          <w:rFonts w:ascii="Arial" w:cs="Arial" w:eastAsia="Arial" w:hAnsi="Arial"/>
          <w:sz w:val="22"/>
          <w:szCs w:val="22"/>
        </w:rPr>
        <w:t xml:space="preserve">Fas 3 – Kapabilitet: Studenten beräknar Cp och Cpk och formulerar en ingenjörsrekommendation till produktionschefen.</w:t>
      </w:r>
    </w:p>
    <w:p>
      <w:pPr>
        <w:spacing w:before="60" w:after="60"/>
      </w:pPr>
      <w:r>
        <w:t xml:space="preserve"/>
      </w:r>
    </w:p>
    <w:p>
      <w:pPr>
        <w:spacing w:before="60" w:after="60"/>
      </w:pPr>
      <w:r>
        <w:rPr>
          <w:rFonts w:ascii="Arial" w:cs="Arial" w:eastAsia="Arial" w:hAnsi="Arial"/>
          <w:sz w:val="22"/>
          <w:szCs w:val="22"/>
        </w:rPr>
        <w:t xml:space="preserve">Tillgången till laborationen skyddas av en förkunskapsdugga (entry ticket) baserad på Bergman &amp; Klefsjös kapitel om statistisk processtyrning. Studenten måste klara minst 70% för att få påbörja laborationen.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Axelspecifikation – hydraulaxel till hydraulcylinder</w:t>
            </w:r>
          </w:p>
          <w:p>
            <w:pPr>
              <w:spacing w:before="0" w:after="0"/>
            </w:pPr>
            <w:r>
              <w:rPr>
                <w:rFonts w:ascii="Arial" w:cs="Arial" w:eastAsia="Arial" w:hAnsi="Arial"/>
                <w:sz w:val="20"/>
                <w:szCs w:val="20"/>
              </w:rPr>
              <w:t xml:space="preserve">Nominalvärde: Ø28,000 mm   |   USL: 28,025 mm   |   LSL: 27,975 mm   |   Toleransvidd: 0,050 mm   |   Delgruppsstorlek n = 5</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2. Utvecklingsarbetsflöde</w:t>
      </w:r>
    </w:p>
    <w:p>
      <w:pPr>
        <w:spacing w:before="60" w:after="60"/>
      </w:pPr>
      <w:r>
        <w:rPr>
          <w:rFonts w:ascii="Arial" w:cs="Arial" w:eastAsia="Arial" w:hAnsi="Arial"/>
          <w:sz w:val="22"/>
          <w:szCs w:val="22"/>
        </w:rPr>
        <w:t xml:space="preserve">För varje user story gäller följande ordning utan undantag:</w:t>
      </w:r>
    </w:p>
    <w:p>
      <w:pPr>
        <w:pStyle w:val="ListParagraph"/>
        <w:numPr>
          <w:ilvl w:val="0"/>
          <w:numId w:val="2"/>
        </w:numPr>
        <w:spacing w:before="40" w:after="40"/>
      </w:pPr>
      <w:r>
        <w:rPr>
          <w:rFonts w:ascii="Arial" w:cs="Arial" w:eastAsia="Arial" w:hAnsi="Arial"/>
          <w:sz w:val="22"/>
          <w:szCs w:val="22"/>
        </w:rPr>
        <w:t xml:space="preserve">Implementera ENDAST den aktuella storyn – inget annat</w:t>
      </w:r>
    </w:p>
    <w:p>
      <w:pPr>
        <w:pStyle w:val="ListParagraph"/>
        <w:numPr>
          <w:ilvl w:val="0"/>
          <w:numId w:val="2"/>
        </w:numPr>
        <w:spacing w:before="40" w:after="40"/>
      </w:pPr>
      <w:r>
        <w:rPr>
          <w:rFonts w:ascii="Arial" w:cs="Arial" w:eastAsia="Arial" w:hAnsi="Arial"/>
          <w:sz w:val="22"/>
          <w:szCs w:val="22"/>
        </w:rPr>
        <w:t xml:space="preserve">Kör typkontroll: npx tsc --noEmit</w:t>
      </w:r>
    </w:p>
    <w:p>
      <w:pPr>
        <w:pStyle w:val="ListParagraph"/>
        <w:numPr>
          <w:ilvl w:val="0"/>
          <w:numId w:val="2"/>
        </w:numPr>
        <w:spacing w:before="40" w:after="40"/>
      </w:pPr>
      <w:r>
        <w:rPr>
          <w:rFonts w:ascii="Arial" w:cs="Arial" w:eastAsia="Arial" w:hAnsi="Arial"/>
          <w:sz w:val="22"/>
          <w:szCs w:val="22"/>
        </w:rPr>
        <w:t xml:space="preserve">Kör linter: npx eslint . --ext .ts,.tsx</w:t>
      </w:r>
    </w:p>
    <w:p>
      <w:pPr>
        <w:pStyle w:val="ListParagraph"/>
        <w:numPr>
          <w:ilvl w:val="0"/>
          <w:numId w:val="2"/>
        </w:numPr>
        <w:spacing w:before="40" w:after="40"/>
      </w:pPr>
      <w:r>
        <w:rPr>
          <w:rFonts w:ascii="Arial" w:cs="Arial" w:eastAsia="Arial" w:hAnsi="Arial"/>
          <w:sz w:val="22"/>
          <w:szCs w:val="22"/>
        </w:rPr>
        <w:t xml:space="preserve">Kör byggtest: npm run build</w:t>
      </w:r>
    </w:p>
    <w:p>
      <w:pPr>
        <w:pStyle w:val="ListParagraph"/>
        <w:numPr>
          <w:ilvl w:val="0"/>
          <w:numId w:val="2"/>
        </w:numPr>
        <w:spacing w:before="40" w:after="40"/>
      </w:pPr>
      <w:r>
        <w:rPr>
          <w:rFonts w:ascii="Arial" w:cs="Arial" w:eastAsia="Arial" w:hAnsi="Arial"/>
          <w:sz w:val="22"/>
          <w:szCs w:val="22"/>
        </w:rPr>
        <w:t xml:space="preserve">Verifiera manuellt i webbläsaren att alla acceptanskriterier uppfylls punkt för punkt</w:t>
      </w:r>
    </w:p>
    <w:p>
      <w:pPr>
        <w:pStyle w:val="ListParagraph"/>
        <w:numPr>
          <w:ilvl w:val="0"/>
          <w:numId w:val="2"/>
        </w:numPr>
        <w:spacing w:before="40" w:after="40"/>
      </w:pPr>
      <w:r>
        <w:rPr>
          <w:rFonts w:ascii="Arial" w:cs="Arial" w:eastAsia="Arial" w:hAnsi="Arial"/>
          <w:sz w:val="22"/>
          <w:szCs w:val="22"/>
        </w:rPr>
        <w:t xml:space="preserve">Uppdatera prd.json: sätt passes: true och lägg till kort notering i notes</w:t>
      </w:r>
    </w:p>
    <w:p>
      <w:pPr>
        <w:pStyle w:val="ListParagraph"/>
        <w:numPr>
          <w:ilvl w:val="0"/>
          <w:numId w:val="2"/>
        </w:numPr>
        <w:spacing w:before="40" w:after="40"/>
      </w:pPr>
      <w:r>
        <w:rPr>
          <w:rFonts w:ascii="Arial" w:cs="Arial" w:eastAsia="Arial" w:hAnsi="Arial"/>
          <w:sz w:val="22"/>
          <w:szCs w:val="22"/>
        </w:rPr>
        <w:t xml:space="preserve">Git commit: [US-XXX] Titel på storyn</w:t>
      </w:r>
    </w:p>
    <w:p>
      <w:pPr>
        <w:pStyle w:val="ListParagraph"/>
        <w:numPr>
          <w:ilvl w:val="0"/>
          <w:numId w:val="2"/>
        </w:numPr>
        <w:spacing w:before="40" w:after="40"/>
      </w:pPr>
      <w:r>
        <w:rPr>
          <w:rFonts w:ascii="Arial" w:cs="Arial" w:eastAsia="Arial" w:hAnsi="Arial"/>
          <w:sz w:val="22"/>
          <w:szCs w:val="22"/>
        </w:rPr>
        <w:t xml:space="preserve">Git push till main – verifiera att Vercel-deployen gick igenom</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Viktig regel</w:t>
            </w:r>
          </w:p>
          <w:p>
            <w:pPr>
              <w:spacing w:before="0" w:after="0"/>
            </w:pPr>
            <w:r>
              <w:rPr>
                <w:rFonts w:ascii="Arial" w:cs="Arial" w:eastAsia="Arial" w:hAnsi="Arial"/>
                <w:sz w:val="20"/>
                <w:szCs w:val="20"/>
              </w:rPr>
              <w:t xml:space="preserve">Miljövariabler (.env.local) committas aldrig till GitHub. Kontrollera att .gitignore är korrekt konfigurerat innan första push. Bygg aldrig nästa story förrän föregående är klar och pushad.</w:t>
            </w:r>
          </w:p>
        </w:tc>
      </w:tr>
    </w:tbl>
    <w:p>
      <w:pPr>
        <w:spacing w:before="60" w:after="60"/>
      </w:pPr>
      <w:r>
        <w:t xml:space="preserve"/>
      </w:r>
    </w:p>
    <w:p>
      <w:pPr>
        <w:pStyle w:val="Heading1"/>
        <w:spacing w:before="360" w:after="120"/>
      </w:pPr>
      <w:r>
        <w:rPr>
          <w:rFonts w:ascii="Arial" w:cs="Arial" w:eastAsia="Arial" w:hAnsi="Arial"/>
          <w:b/>
          <w:bCs/>
          <w:color w:val="1F4E79"/>
          <w:sz w:val="32"/>
          <w:szCs w:val="32"/>
        </w:rPr>
        <w:t xml:space="preserve">3. User stories</w:t>
      </w:r>
    </w:p>
    <w:p>
      <w:pPr>
        <w:spacing w:before="60" w:after="60"/>
      </w:pPr>
      <w:r>
        <w:rPr>
          <w:rFonts w:ascii="Arial" w:cs="Arial" w:eastAsia="Arial" w:hAnsi="Arial"/>
          <w:sz w:val="22"/>
          <w:szCs w:val="22"/>
        </w:rPr>
        <w:t xml:space="preserve">Dokumentet innehåller 11 user stories (US-000 till US-010). Det gula fältet längst ned i varje tabell är avsett för synpunkter och tillägg. Professorn uppmanas att notera om funktionalitet saknas, om acceptanskriterier bör justeras, eller om nya stories bör läggas till.</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US-000  </w:t>
            </w:r>
            <w:r>
              <w:rPr>
                <w:rFonts w:ascii="Arial" w:cs="Arial" w:eastAsia="Arial" w:hAnsi="Arial"/>
                <w:b/>
                <w:bCs/>
                <w:color w:val="FFFFFF"/>
                <w:sz w:val="24"/>
                <w:szCs w:val="24"/>
              </w:rPr>
              <w:t xml:space="preserve">Förkunskapsdugga – entry ticket till laborationen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genomföra en kort dugga om grundläggande SPC-begrepp innan laborationen låses upp, så att jag säkerställer att jag har de förkunskaper som krävs för att arbeta effektivt under laborationstiden.</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Duggan innehåller 10 flervalsfrågor baserade på Bergman &amp; Klefsjös kapitel om statistisk processtyrning</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Frågorna täcker: variation (common cause vs special cause), kontrolldiagrammets syfte och uppbyggnad, skillnaden mellan kontrollgränser och toleransgränser, UCL/LCL, innebörden av statistisk kontroll, Cp och Cpk, samt Nelsonregel 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måste svara rätt på minst 7 av 10 frågor (70%) för att låsa upp laborationen</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Om studenten inte når 70% visas vilka frågor som var fel – nytt försök tillåts efter 10 minuters väntetid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När duggan är godkänd sparas resultatet (namn, ID, poäng, tidpunkt) i databasen och laborationen låses upp</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6.</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Läraren kan i admin-portalen se duggresultat per student och hur många försök de behövde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7.</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Frågorna lever i en JSON-konfigurationsfil och kan enkelt bytas ut när inscannade sidor från Bergman &amp; Klefsjö tillhandahålls</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US-001  </w:t>
            </w:r>
            <w:r>
              <w:rPr>
                <w:rFonts w:ascii="Arial" w:cs="Arial" w:eastAsia="Arial" w:hAnsi="Arial"/>
                <w:b/>
                <w:bCs/>
                <w:color w:val="FFFFFF"/>
                <w:sz w:val="24"/>
                <w:szCs w:val="24"/>
              </w:rPr>
              <w:t xml:space="preserve">Startskärm och scenariointroduktion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mötas av en tydlig scenariobeskrivning när jag öppnar laborationen, så att jag förstår kontexten och vad som förväntas av mig.</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Startskärmen visar företaget 'Precision Parts AB' och en scenariobeskrivning om CNC-svarvning av hydraulaxlar (Ø28,000 ±0,025 mm)</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Studenten ser tydligt om deras dugga är godkänd (grön bock) eller om de behöver genomföra duggan först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anger sitt namn och studentID för att identifiera sig – om duggan redan är godkänd för detta ID är laborationen direkt tillgänglig</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En tydlig beskrivning av laborationens tre faser visas (Fas 1: Kontrolldiagram, Fas 2: Störning, Fas 3: Kapabilitet)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Knapp 'Starta laboration' är aktiv endast om duggan är godkänd, annars visas 'Gå till duggan'</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6.</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Designen är professionell och industriell i känslan</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US-002  </w:t>
            </w:r>
            <w:r>
              <w:rPr>
                <w:rFonts w:ascii="Arial" w:cs="Arial" w:eastAsia="Arial" w:hAnsi="Arial"/>
                <w:b/>
                <w:bCs/>
                <w:color w:val="FFFFFF"/>
                <w:sz w:val="24"/>
                <w:szCs w:val="24"/>
              </w:rPr>
              <w:t xml:space="preserve">Datapresentation – mätvärden i delgrupper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se mätdata presenterad i en tydlig tabell med delgrupper, så att jag förstår underlaget för kontrolldiagrammet.</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25 delgrupper visas, varje delgrupp innehåller 5 mätvärden (axeldiameter i mm, upplösning 0,001 mm)</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Tabellen visar delgruppsnummer, de 5 individuella mätvärdena, beräknat medelvärde (x̄) och spridningsmått (R)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fyller i egna värden för x̄ och R i separata kolumner</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Systemet visar om studentens beräkning är korrekt (grön bock) eller fel (röd markering) efter bekräftelse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Nominalvärde (28,000 mm), USL (28,025 mm) och LSL (27,975 mm) visas tydligt ovanför tabellen med förklaring kopplad till hydraulaxelkontexten</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US-003  </w:t>
            </w:r>
            <w:r>
              <w:rPr>
                <w:rFonts w:ascii="Arial" w:cs="Arial" w:eastAsia="Arial" w:hAnsi="Arial"/>
                <w:b/>
                <w:bCs/>
                <w:color w:val="FFFFFF"/>
                <w:sz w:val="24"/>
                <w:szCs w:val="24"/>
              </w:rPr>
              <w:t xml:space="preserve">Beräkning av kontrollgränser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beräkna kontrollgränser (UCL och LCL) för X̄/R-diagrammet med hjälp av rätt formler och faktorer, så att jag förstår hur kontrollgränserna härleds.</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presenteras med formlerna för UCL och LCL för X̄-diagrammet (x̄̄ ± A₂·R̄) och R-diagrammet (D₄·R̄ och D₃·R̄)</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En tabell med d₂-, A₂-, D₃- och D₄-faktorer för n=2 till n=10 finns tillgänglig i ett sidopanel som referens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matar in beräknade värden för x̄̄, R̄, UCL_x, LCL_x, UCL_R och LCL_R</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Systemet validerar varje värde och ger feedback med korrekt svar om studenten räknar fel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kan inte gå vidare till diagramritningen förrän kontrollgränserna är korrekt beräknade</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US-004  </w:t>
            </w:r>
            <w:r>
              <w:rPr>
                <w:rFonts w:ascii="Arial" w:cs="Arial" w:eastAsia="Arial" w:hAnsi="Arial"/>
                <w:b/>
                <w:bCs/>
                <w:color w:val="FFFFFF"/>
                <w:sz w:val="24"/>
                <w:szCs w:val="24"/>
              </w:rPr>
              <w:t xml:space="preserve">Interaktivt X̄/R-kontrolldiagram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se ett interaktivt kontrolldiagram baserat på mina beräknade kontrollgränser, så att jag visuellt kan tolka processens stabilitet.</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X̄-diagram och R-diagram visas under varandra med gemensam x-axel (delgruppsnummer 1–25)</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Centrallinje (CL), UCL och LCL ritas ut som horisontella linjer med tydliga etiketter och värden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Datapunkterna plottas med linjer dragna mellan dem</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Punkter utanför kontrollgränserna markeras automatiskt i rött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Diagrammet är responsivt och tydligt läsbart på skärm</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6.</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Studenten kan hovra över en datapunkt för att se delgruppsnummer och exakt värde</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US-005  </w:t>
            </w:r>
            <w:r>
              <w:rPr>
                <w:rFonts w:ascii="Arial" w:cs="Arial" w:eastAsia="Arial" w:hAnsi="Arial"/>
                <w:b/>
                <w:bCs/>
                <w:color w:val="FFFFFF"/>
                <w:sz w:val="24"/>
                <w:szCs w:val="24"/>
              </w:rPr>
              <w:t xml:space="preserve">Stabilitetsanalys och Nelsonregler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analysera kontrolldiagrammet med hjälp av Nelsonreglerna, så att jag kan avgöra om processen är under statistisk kontroll.</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En sammanfattning av Nelsonreglerna (regel 1–4) visas som referens i ett sidopanel</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Studenten besvarar frågor om vilka regler som eventuellt bryts i den givna datamängden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skriver en kort tolkning av vad ett regelbrott innebär i hydraulaxelscenariots kontext</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Systemet bekräftar om studentens identifiering av regelbrott är korrekt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Om processen är stabil kan studenten fortsätta till Fas 3; om instabil förklaras varför kapabilitetsstudie inte bör genomföras</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US-006  </w:t>
            </w:r>
            <w:r>
              <w:rPr>
                <w:rFonts w:ascii="Arial" w:cs="Arial" w:eastAsia="Arial" w:hAnsi="Arial"/>
                <w:b/>
                <w:bCs/>
                <w:color w:val="FFFFFF"/>
                <w:sz w:val="24"/>
                <w:szCs w:val="24"/>
              </w:rPr>
              <w:t xml:space="preserve">Fas 2 – Störningsscenario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analysera ett nytt dataset där en störning har introducerats, så att jag tränar på att identifiera special cause variation i ett kontrolldiagram.</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Ett nytt dataset med 25 delgrupper presenteras där en tydlig drift är inbyggd (gradvis ökning av medelvärdet från delgrupp 15 och framåt)</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Studenten använder samma kontrollgränser som i Fas 1 och identifierar regelbrott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anger från vilken delgrupp störningen syns och vilken Nelsonregel som bryts</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Studenten ger en möjlig processförklaring till störningen (t.ex. verktygsnötning eller råmaterialbyte)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Systemet ger feedback och en modellförklaring</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US-007  </w:t>
            </w:r>
            <w:r>
              <w:rPr>
                <w:rFonts w:ascii="Arial" w:cs="Arial" w:eastAsia="Arial" w:hAnsi="Arial"/>
                <w:b/>
                <w:bCs/>
                <w:color w:val="FFFFFF"/>
                <w:sz w:val="24"/>
                <w:szCs w:val="24"/>
              </w:rPr>
              <w:t xml:space="preserve">Fas 3 – Cp och Cpk-beräkning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beräkna Cp och Cpk för den stabila processen från Fas 1, så att jag kan bedöma om processen är kapabel att hålla toleranserna.</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Toleransgränserna (USL och LSL) samt nominalvärdet visas tydligt</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Formlerna för Cp = (USL−LSL)/(6σ̂) och Cpk = min[(USL−x̄̄)/3σ̂, (x̄̄−LSL)/3σ̂] presenteras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σ̂ beräknas från R̄/d₂ och studenten matar in detta värde</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Studenten matar in beräknade värden för Cp och Cpk; systemet validerar och ger feedback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En visuell representation visar processfördelningen i förhållande till toleransgränserna</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US-008  </w:t>
            </w:r>
            <w:r>
              <w:rPr>
                <w:rFonts w:ascii="Arial" w:cs="Arial" w:eastAsia="Arial" w:hAnsi="Arial"/>
                <w:b/>
                <w:bCs/>
                <w:color w:val="FFFFFF"/>
                <w:sz w:val="24"/>
                <w:szCs w:val="24"/>
              </w:rPr>
              <w:t xml:space="preserve">Kapabilitetstolkning och rekommendation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tolka Cp- och Cpk-värdena och formulera en rekommendation, så att jag kopplar beräkningarna till ett verkligt ingenjörsbeslut.</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En referenstabell för tolkning av kapabilitetsvärden visas (Cpk &lt; 1,0 / 1,0–1,33 / 1,33–1,67 / &gt; 1,67)</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Studenten besvarar: Är processen kapabel? Är den centrerad? Vad bör åtgärdas?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Studenten skriver en kort rekommendation (fritext, minst 50 tecken) till produktionschefen</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Systemet ger en modellrekommendation som studenten kan jämföra med sin egen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Ett sammanfattningskort visas med alla studentens beräknade värden och tolkningar</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US-009  </w:t>
            </w:r>
            <w:r>
              <w:rPr>
                <w:rFonts w:ascii="Arial" w:cs="Arial" w:eastAsia="Arial" w:hAnsi="Arial"/>
                <w:b/>
                <w:bCs/>
                <w:color w:val="FFFFFF"/>
                <w:sz w:val="24"/>
                <w:szCs w:val="24"/>
              </w:rPr>
              <w:t xml:space="preserve">Labrapport och exportfunktion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student vill jag kunna exportera en sammanfattning av mina svar och beräkningar, så att jag kan lämna in laborationsrapporten till läraren.</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'Avsluta och exportera'-knapp finns tillgänglig när alla tre faser är slutförda</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Exporten genererar en PDF med studentens namn, ID, datum, alla beräknade värden, kontrolldiagrammen och skrivna tolkningar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PDF:en innehåller tydlig rubrik 'SPC-Lab – Laborationsrapport' och kursnamnet</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Läraren kan konfigurera om rapporten skickas automatiskt till e-post eller enbart laddas ned lokalt</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9026"/>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US-010  </w:t>
            </w:r>
            <w:r>
              <w:rPr>
                <w:rFonts w:ascii="Arial" w:cs="Arial" w:eastAsia="Arial" w:hAnsi="Arial"/>
                <w:b/>
                <w:bCs/>
                <w:color w:val="FFFFFF"/>
                <w:sz w:val="24"/>
                <w:szCs w:val="24"/>
              </w:rPr>
              <w:t xml:space="preserve">Lärarportal – resultatöversikt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Beskrivning</w:t>
            </w:r>
          </w:p>
        </w:tc>
        <w:tc>
          <w:tcPr>
            <w:tcW w:type="dxa" w:w="7226"/>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i/>
                <w:iCs/>
                <w:sz w:val="20"/>
                <w:szCs w:val="20"/>
              </w:rPr>
              <w:t xml:space="preserve">Som lärare vill jag kunna se vilka studenter som genomfört laborationen och deras resultat, så att jag kan följa upp och ge återkoppling.</w:t>
            </w:r>
          </w:p>
        </w:tc>
      </w:tr>
      <w:tr>
        <w:tc>
          <w:tcPr>
            <w:tcW w:type="dxa" w:w="9026"/>
            <w:gridSpan w:val="2"/>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D6A96"/>
                <w:sz w:val="20"/>
                <w:szCs w:val="20"/>
              </w:rPr>
              <w:t xml:space="preserve">Acceptanskriterier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1.</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En lösenordsskyddad lärarvy finns tillgänglig via /admin-rutten</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2.</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Lärarvyn listar alla studenter som genomfört laborationen med namn, ID och datum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3.</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För varje student visas om de klarat varje fas (grön/röd markering per fas)</w:t>
            </w:r>
          </w:p>
        </w:tc>
      </w:tr>
      <w:tr>
        <w:tc>
          <w:tcPr>
            <w:tcW w:type="dxa" w:w="400"/>
            <w:tcBorders>
              <w:top w:val="single" w:color="CCCCCC" w:sz="1"/>
              <w:left w:val="single" w:color="CCCCCC" w:sz="1"/>
              <w:bottom w:val="single" w:color="CCCCCC" w:sz="1"/>
              <w:right w:val="single" w:color="CCCCCC" w:sz="1"/>
            </w:tcBorders>
            <w:shd w:fill="FAFAFA" w:val="clear"/>
            <w:tcMar>
              <w:top w:type="dxa" w:w="60"/>
              <w:left w:type="dxa" w:w="160"/>
              <w:bottom w:type="dxa" w:w="60"/>
              <w:right w:type="dxa" w:w="80"/>
            </w:tcMar>
            <w:vAlign w:val="top"/>
          </w:tcPr>
          <w:p>
            <w:r>
              <w:rPr>
                <w:rFonts w:ascii="Arial" w:cs="Arial" w:eastAsia="Arial" w:hAnsi="Arial"/>
                <w:b/>
                <w:bCs/>
                <w:color w:val="2E75B6"/>
                <w:sz w:val="19"/>
                <w:szCs w:val="19"/>
              </w:rPr>
              <w:t xml:space="preserve">4.</w:t>
            </w:r>
          </w:p>
        </w:tc>
        <w:tc>
          <w:tcPr>
            <w:tcW w:type="dxa" w:w="8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60"/>
            </w:tcMar>
          </w:tcPr>
          <w:p>
            <w:r>
              <w:rPr>
                <w:rFonts w:ascii="Arial" w:cs="Arial" w:eastAsia="Arial" w:hAnsi="Arial"/>
                <w:sz w:val="19"/>
                <w:szCs w:val="19"/>
              </w:rPr>
              <w:t xml:space="preserve">Läraren kan klicka på en student för att se alla svar och beräkningar i detalj</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vAlign w:val="top"/>
          </w:tcPr>
          <w:p>
            <w:r>
              <w:rPr>
                <w:rFonts w:ascii="Arial" w:cs="Arial" w:eastAsia="Arial" w:hAnsi="Arial"/>
                <w:b/>
                <w:bCs/>
                <w:color w:val="2E75B6"/>
                <w:sz w:val="19"/>
                <w:szCs w:val="19"/>
              </w:rPr>
              <w:t xml:space="preserve">5.</w:t>
            </w:r>
          </w:p>
        </w:tc>
        <w:tc>
          <w:tcPr>
            <w:tcW w:type="dxa" w:w="8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60"/>
            </w:tcMar>
          </w:tcPr>
          <w:p>
            <w:r>
              <w:rPr>
                <w:rFonts w:ascii="Arial" w:cs="Arial" w:eastAsia="Arial" w:hAnsi="Arial"/>
                <w:sz w:val="19"/>
                <w:szCs w:val="19"/>
              </w:rPr>
              <w:t xml:space="preserve">Data lagras i Neon.tech PostgreSQL-databas</w:t>
            </w:r>
          </w:p>
        </w:tc>
      </w:tr>
      <w:tr>
        <w:tc>
          <w:tcPr>
            <w:tcW w:type="dxa" w:w="1800"/>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b/>
                <w:bCs/>
                <w:color w:val="8B6914"/>
                <w:sz w:val="20"/>
                <w:szCs w:val="20"/>
              </w:rPr>
              <w:t xml:space="preserve">Synpunkter / tillägg</w:t>
            </w:r>
          </w:p>
        </w:tc>
        <w:tc>
          <w:tcPr>
            <w:tcW w:type="dxa" w:w="7226"/>
            <w:tcBorders>
              <w:top w:val="single" w:color="CCCCCC" w:sz="1"/>
              <w:left w:val="single" w:color="CCCCCC" w:sz="1"/>
              <w:bottom w:val="single" w:color="CCCCCC" w:sz="1"/>
              <w:right w:val="single" w:color="CCCCCC" w:sz="1"/>
            </w:tcBorders>
            <w:shd w:fill="FFF9E6" w:val="clear"/>
            <w:tcMar>
              <w:top w:type="dxa" w:w="80"/>
              <w:left w:type="dxa" w:w="160"/>
              <w:bottom w:type="dxa" w:w="80"/>
              <w:right w:type="dxa" w:w="16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p>
      <w:pPr>
        <w:pStyle w:val="Heading1"/>
        <w:spacing w:before="360" w:after="120"/>
      </w:pPr>
      <w:r>
        <w:rPr>
          <w:rFonts w:ascii="Arial" w:cs="Arial" w:eastAsia="Arial" w:hAnsi="Arial"/>
          <w:b/>
          <w:bCs/>
          <w:color w:val="1F4E79"/>
          <w:sz w:val="32"/>
          <w:szCs w:val="32"/>
        </w:rPr>
        <w:t xml:space="preserve">4. Förslag på ytterligare user stories</w:t>
      </w:r>
    </w:p>
    <w:p>
      <w:pPr>
        <w:spacing w:before="60" w:after="60"/>
      </w:pPr>
      <w:r>
        <w:rPr>
          <w:rFonts w:ascii="Arial" w:cs="Arial" w:eastAsia="Arial" w:hAnsi="Arial"/>
          <w:sz w:val="22"/>
          <w:szCs w:val="22"/>
        </w:rPr>
        <w:t xml:space="preserve">Här är utrymme för professorns egna förslag på funktioner eller scenarios som kan berika laborationen. Varje förslag behöver inte vara fullt specificerat – en kort beskrivning av syftet räcker som underlag för vidare diskussion.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D6A96"/>
                <w:sz w:val="20"/>
                <w:szCs w:val="20"/>
              </w:rPr>
              <w:t xml:space="preserve">Förslag 1</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D6A96"/>
                <w:sz w:val="20"/>
                <w:szCs w:val="20"/>
              </w:rPr>
              <w:t xml:space="preserve">Förslag 2</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D6A96"/>
                <w:sz w:val="20"/>
                <w:szCs w:val="20"/>
              </w:rPr>
              <w:t xml:space="preserve">Förslag 3</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D6A96"/>
                <w:sz w:val="20"/>
                <w:szCs w:val="20"/>
              </w:rPr>
              <w:t xml:space="preserve">Förslag 4</w:t>
            </w:r>
          </w:p>
        </w:tc>
        <w:tc>
          <w:tcPr>
            <w:tcW w:type="dxa" w:w="7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p>
            <w:r>
              <w:rPr>
                <w:rFonts w:ascii="Arial" w:cs="Arial" w:eastAsia="Arial" w:hAnsi="Arial"/>
                <w:sz w:val="20"/>
                <w:szCs w:val="20"/>
              </w:rPr>
              <w:t xml:space="preserve"> </w:t>
            </w:r>
          </w:p>
          <w:p>
            <w:r>
              <w:rPr>
                <w:rFonts w:ascii="Arial" w:cs="Arial" w:eastAsia="Arial" w:hAnsi="Arial"/>
                <w:sz w:val="20"/>
                <w:szCs w:val="20"/>
              </w:rPr>
              <w:t xml:space="preserve"> </w:t>
            </w:r>
          </w:p>
        </w:tc>
      </w:tr>
    </w:tbl>
    <w:p>
      <w:pPr>
        <w:spacing w:before="60" w:after="60"/>
      </w:pPr>
      <w:r>
        <w:t xml:space="preserve"/>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0"/>
                <w:szCs w:val="20"/>
              </w:rPr>
              <w:t xml:space="preserve">Kontakt</w:t>
            </w:r>
          </w:p>
          <w:p>
            <w:pPr>
              <w:spacing w:before="0" w:after="0"/>
            </w:pPr>
            <w:r>
              <w:rPr>
                <w:rFonts w:ascii="Arial" w:cs="Arial" w:eastAsia="Arial" w:hAnsi="Arial"/>
                <w:sz w:val="20"/>
                <w:szCs w:val="20"/>
              </w:rPr>
              <w:t xml:space="preserve">Dokumentet är framtaget av kursansvarig. Synpunkter, justeringar och förslag på nya user stories mottages gärna inför implementationsstart.</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Sida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av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888888"/>
        <w:sz w:val="18"/>
        <w:szCs w:val="18"/>
      </w:rPr>
      <w:t xml:space="preserve">SPC-Lab – Produktkravsdokument (PRD)  |  Precision Parts AB  |  För granskning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2026-03-23T21:35:04.319Z</dcterms:created>
  <dcterms:modified xsi:type="dcterms:W3CDTF">2026-03-23T21:35:04.319Z</dcterms:modified>
</cp:coreProperties>
</file>

<file path=docProps/custom.xml><?xml version="1.0" encoding="utf-8"?>
<Properties xmlns="http://schemas.openxmlformats.org/officeDocument/2006/custom-properties" xmlns:vt="http://schemas.openxmlformats.org/officeDocument/2006/docPropsVTypes"/>
</file>