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b/>
          <w:bCs/>
          <w:color w:val="1F5B7D"/>
          <w:spacing w:val="60"/>
          <w:sz w:val="20"/>
          <w:szCs w:val="20"/>
        </w:rPr>
        <w:t xml:space="preserve">LÄRARHANDLEDNING</w:t>
      </w:r>
    </w:p>
    <w:p>
      <w:pPr>
        <w:spacing w:after="120"/>
      </w:pPr>
      <w:r>
        <w:rPr>
          <w:rFonts w:ascii="Georgia" w:cs="Georgia" w:eastAsia="Georgia" w:hAnsi="Georgia"/>
          <w:b/>
          <w:bCs/>
          <w:color w:val="1B2831"/>
          <w:sz w:val="56"/>
          <w:szCs w:val="56"/>
        </w:rPr>
        <w:t xml:space="preserve">SPC-laborationen</w:t>
      </w:r>
    </w:p>
    <w:p>
      <w:pPr>
        <w:spacing w:after="160"/>
      </w:pPr>
      <w:r>
        <w:rPr>
          <w:i/>
          <w:iCs/>
          <w:color w:val="7D8A93"/>
        </w:rPr>
        <w:t xml:space="preserve">Webblaboration i statistisk processtyrning och kapabilitetsstudier för högskoleingenjörer</w:t>
      </w:r>
    </w:p>
    <w:p>
      <w:pPr>
        <w:pBdr>
          <w:bottom w:val="single" w:color="1B2831" w:sz="12"/>
        </w:pBdr>
        <w:spacing w:after="300"/>
      </w:pPr>
      <w:r>
        <w:rPr>
          <w:b/>
          <w:bCs/>
        </w:rPr>
        <w:t xml:space="preserve">Laborationen körs på:  </w:t>
      </w:r>
      <w:hyperlink w:history="1" r:id="rId-tbwn29bqnjzmqzazgtro">
        <w:r>
          <w:rPr>
            <w:rStyle w:val="Hyperlink"/>
          </w:rPr>
          <w:t xml:space="preserve">https://spc-lab.vercel.app</w:t>
        </w:r>
      </w:hyperlink>
    </w:p>
    <w:p>
      <w:pPr>
        <w:pStyle w:val="Heading1"/>
        <w:spacing w:after="200" w:before="360"/>
      </w:pPr>
      <w:r>
        <w:t xml:space="preserve">1. Översikt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fill="F6F3EC" w:val="clear"/>
            <w:tcMar>
              <w:top w:type="dxa" w:w="80"/>
              <w:left w:type="dxa" w:w="120"/>
              <w:bottom w:type="dxa" w:w="80"/>
              <w:right w:type="dxa" w:w="120"/>
            </w:tcMar>
          </w:tcPr>
          <w:p>
            <w:pPr>
              <w:spacing w:after="0"/>
            </w:pPr>
            <w:r>
              <w:rPr>
                <w:b/>
                <w:bCs/>
              </w:rPr>
              <w:t xml:space="preserve">Målgrupp</w:t>
            </w:r>
          </w:p>
        </w:tc>
        <w:tc>
          <w:tcPr>
            <w:tcW w:type="dxa" w:w="6826"/>
            <w:shd w:fill="F6F3EC" w:val="clear"/>
            <w:tcMar>
              <w:top w:type="dxa" w:w="80"/>
              <w:left w:type="dxa" w:w="120"/>
              <w:bottom w:type="dxa" w:w="80"/>
              <w:right w:type="dxa" w:w="120"/>
            </w:tcMar>
          </w:tcPr>
          <w:p>
            <w:pPr>
              <w:spacing w:after="0"/>
            </w:pPr>
            <w:r>
              <w:t xml:space="preserve">Högskoleingenjörsstudenter, t.ex. industriell ekonomi, maskinteknik</w:t>
            </w:r>
          </w:p>
        </w:tc>
      </w:tr>
      <w:tr>
        <w:tc>
          <w:tcPr>
            <w:tcW w:type="dxa" w:w="2200"/>
            <w:tcMar>
              <w:top w:type="dxa" w:w="80"/>
              <w:left w:type="dxa" w:w="120"/>
              <w:bottom w:type="dxa" w:w="80"/>
              <w:right w:type="dxa" w:w="120"/>
            </w:tcMar>
          </w:tcPr>
          <w:p>
            <w:pPr>
              <w:spacing w:after="0"/>
            </w:pPr>
            <w:r>
              <w:rPr>
                <w:b/>
                <w:bCs/>
              </w:rPr>
              <w:t xml:space="preserve">Tidsåtgång</w:t>
            </w:r>
          </w:p>
        </w:tc>
        <w:tc>
          <w:tcPr>
            <w:tcW w:type="dxa" w:w="6826"/>
            <w:tcMar>
              <w:top w:type="dxa" w:w="80"/>
              <w:left w:type="dxa" w:w="120"/>
              <w:bottom w:type="dxa" w:w="80"/>
              <w:right w:type="dxa" w:w="120"/>
            </w:tcMar>
          </w:tcPr>
          <w:p>
            <w:pPr>
              <w:spacing w:after="0"/>
            </w:pPr>
            <w:r>
              <w:t xml:space="preserve">2–3 timmar (inklusive kontrollfrågor och reflektioner)</w:t>
            </w:r>
          </w:p>
        </w:tc>
      </w:tr>
      <w:tr>
        <w:tc>
          <w:tcPr>
            <w:tcW w:type="dxa" w:w="2200"/>
            <w:shd w:fill="F6F3EC" w:val="clear"/>
            <w:tcMar>
              <w:top w:type="dxa" w:w="80"/>
              <w:left w:type="dxa" w:w="120"/>
              <w:bottom w:type="dxa" w:w="80"/>
              <w:right w:type="dxa" w:w="120"/>
            </w:tcMar>
          </w:tcPr>
          <w:p>
            <w:pPr>
              <w:spacing w:after="0"/>
            </w:pPr>
            <w:r>
              <w:rPr>
                <w:b/>
                <w:bCs/>
              </w:rPr>
              <w:t xml:space="preserve">Förkunskaper</w:t>
            </w:r>
          </w:p>
        </w:tc>
        <w:tc>
          <w:tcPr>
            <w:tcW w:type="dxa" w:w="6826"/>
            <w:shd w:fill="F6F3EC" w:val="clear"/>
            <w:tcMar>
              <w:top w:type="dxa" w:w="80"/>
              <w:left w:type="dxa" w:w="120"/>
              <w:bottom w:type="dxa" w:w="80"/>
              <w:right w:type="dxa" w:w="120"/>
            </w:tcMar>
          </w:tcPr>
          <w:p>
            <w:pPr>
              <w:spacing w:after="0"/>
            </w:pPr>
            <w:r>
              <w:t xml:space="preserve">Grundläggande statistik: normalfördelning, medelvärde, standardavvikelse</w:t>
            </w:r>
          </w:p>
        </w:tc>
      </w:tr>
      <w:tr>
        <w:tc>
          <w:tcPr>
            <w:tcW w:type="dxa" w:w="2200"/>
            <w:tcMar>
              <w:top w:type="dxa" w:w="80"/>
              <w:left w:type="dxa" w:w="120"/>
              <w:bottom w:type="dxa" w:w="80"/>
              <w:right w:type="dxa" w:w="120"/>
            </w:tcMar>
          </w:tcPr>
          <w:p>
            <w:pPr>
              <w:spacing w:after="0"/>
            </w:pPr>
            <w:r>
              <w:rPr>
                <w:b/>
                <w:bCs/>
              </w:rPr>
              <w:t xml:space="preserve">Utrustning</w:t>
            </w:r>
          </w:p>
        </w:tc>
        <w:tc>
          <w:tcPr>
            <w:tcW w:type="dxa" w:w="6826"/>
            <w:tcMar>
              <w:top w:type="dxa" w:w="80"/>
              <w:left w:type="dxa" w:w="120"/>
              <w:bottom w:type="dxa" w:w="80"/>
              <w:right w:type="dxa" w:w="120"/>
            </w:tcMar>
          </w:tcPr>
          <w:p>
            <w:pPr>
              <w:spacing w:after="0"/>
            </w:pPr>
            <w:r>
              <w:t xml:space="preserve">Valfri enhet med webbläsare — dator eller surfplatta rekommenderas, mobil fungerar</w:t>
            </w:r>
          </w:p>
        </w:tc>
      </w:tr>
      <w:tr>
        <w:tc>
          <w:tcPr>
            <w:tcW w:type="dxa" w:w="2200"/>
            <w:shd w:fill="F6F3EC" w:val="clear"/>
            <w:tcMar>
              <w:top w:type="dxa" w:w="80"/>
              <w:left w:type="dxa" w:w="120"/>
              <w:bottom w:type="dxa" w:w="80"/>
              <w:right w:type="dxa" w:w="120"/>
            </w:tcMar>
          </w:tcPr>
          <w:p>
            <w:pPr>
              <w:spacing w:after="0"/>
            </w:pPr>
            <w:r>
              <w:rPr>
                <w:b/>
                <w:bCs/>
              </w:rPr>
              <w:t xml:space="preserve">Installation</w:t>
            </w:r>
          </w:p>
        </w:tc>
        <w:tc>
          <w:tcPr>
            <w:tcW w:type="dxa" w:w="6826"/>
            <w:shd w:fill="F6F3EC" w:val="clear"/>
            <w:tcMar>
              <w:top w:type="dxa" w:w="80"/>
              <w:left w:type="dxa" w:w="120"/>
              <w:bottom w:type="dxa" w:w="80"/>
              <w:right w:type="dxa" w:w="120"/>
            </w:tcMar>
          </w:tcPr>
          <w:p>
            <w:pPr>
              <w:spacing w:after="0"/>
            </w:pPr>
            <w:r>
              <w:t xml:space="preserve">Ingen. Öppna länken, klart. Fungerar även offline (se avsnitt 8)</w:t>
            </w:r>
          </w:p>
        </w:tc>
      </w:tr>
      <w:tr>
        <w:tc>
          <w:tcPr>
            <w:tcW w:type="dxa" w:w="2200"/>
            <w:tcMar>
              <w:top w:type="dxa" w:w="80"/>
              <w:left w:type="dxa" w:w="120"/>
              <w:bottom w:type="dxa" w:w="80"/>
              <w:right w:type="dxa" w:w="120"/>
            </w:tcMar>
          </w:tcPr>
          <w:p>
            <w:pPr>
              <w:spacing w:after="0"/>
            </w:pPr>
            <w:r>
              <w:rPr>
                <w:b/>
                <w:bCs/>
              </w:rPr>
              <w:t xml:space="preserve">Examination</w:t>
            </w:r>
          </w:p>
        </w:tc>
        <w:tc>
          <w:tcPr>
            <w:tcW w:type="dxa" w:w="6826"/>
            <w:tcMar>
              <w:top w:type="dxa" w:w="80"/>
              <w:left w:type="dxa" w:w="120"/>
              <w:bottom w:type="dxa" w:w="80"/>
              <w:right w:type="dxa" w:w="120"/>
            </w:tcMar>
          </w:tcPr>
          <w:p>
            <w:pPr>
              <w:spacing w:after="0"/>
            </w:pPr>
            <w:r>
              <w:t xml:space="preserve">Studenten sparar sin labrapport som PDF och laddar upp den på kursens lärplattform</w:t>
            </w:r>
          </w:p>
        </w:tc>
      </w:tr>
    </w:tbl>
    <w:p>
      <w:pPr>
        <w:spacing w:after="60"/>
      </w:pPr>
    </w:p>
    <w:p>
      <w:pPr>
        <w:spacing w:after="160"/>
      </w:pPr>
      <w:r>
        <w:t xml:space="preserve">Laborationen är byggd kring en berättelse: studenten är nyanställd kvalitetsingenjör på det fiktiva företaget </w:t>
      </w:r>
      <w:r>
        <w:rPr>
          <w:i/>
          <w:iCs/>
        </w:rPr>
        <w:t xml:space="preserve">Svenska Axel AB</w:t>
      </w:r>
      <w:r>
        <w:t xml:space="preserve">, där CNC-svarven </w:t>
      </w:r>
      <w:r>
        <w:rPr>
          <w:i/>
          <w:iCs/>
        </w:rPr>
        <w:t xml:space="preserve">Svarv 3</w:t>
      </w:r>
      <w:r>
        <w:t xml:space="preserve"> tillverkar axlar med kravet </w:t>
      </w:r>
      <w:r>
        <w:rPr>
          <w:b/>
          <w:bCs/>
        </w:rPr>
        <w:t xml:space="preserve">Ø 25,000 ± 0,050 mm</w:t>
      </w:r>
      <w:r>
        <w:t xml:space="preserve">. Kunden klagar på kasserade axlar, och studenten ska reda ut varför — och åtgärda det.</w:t>
      </w:r>
    </w:p>
    <w:p>
      <w:pPr>
        <w:pStyle w:val="Heading2"/>
        <w:spacing w:after="160" w:before="280"/>
      </w:pPr>
      <w:r>
        <w:t xml:space="preserve">Lärandemål</w:t>
      </w:r>
    </w:p>
    <w:p>
      <w:pPr>
        <w:spacing w:after="160"/>
      </w:pPr>
      <w:r>
        <w:t xml:space="preserve">Efter genomförd laboration kan studenten:</w:t>
      </w:r>
    </w:p>
    <w:p>
      <w:pPr>
        <w:pStyle w:val="ListParagraph"/>
        <w:numPr>
          <w:ilvl w:val="0"/>
          <w:numId w:val="2"/>
        </w:numPr>
        <w:spacing w:after="100"/>
      </w:pPr>
      <w:r>
        <w:t xml:space="preserve">förklara skillnaden mellan </w:t>
      </w:r>
      <w:r>
        <w:rPr>
          <w:b/>
          <w:bCs/>
        </w:rPr>
        <w:t xml:space="preserve">slumpmässiga och urskiljbara orsaker</w:t>
      </w:r>
      <w:r>
        <w:t xml:space="preserve"> till variation,</w:t>
      </w:r>
    </w:p>
    <w:p>
      <w:pPr>
        <w:pStyle w:val="ListParagraph"/>
        <w:numPr>
          <w:ilvl w:val="0"/>
          <w:numId w:val="2"/>
        </w:numPr>
        <w:spacing w:after="100"/>
      </w:pPr>
      <w:r>
        <w:t xml:space="preserve">genomföra och tolka en </w:t>
      </w:r>
      <w:r>
        <w:rPr>
          <w:b/>
          <w:bCs/>
        </w:rPr>
        <w:t xml:space="preserve">maskinkapabilitetsstudie</w:t>
      </w:r>
      <w:r>
        <w:t xml:space="preserve"> (Cm, Cmk) och förklara varför läge och spridning är två skilda problem,</w:t>
      </w:r>
    </w:p>
    <w:p>
      <w:pPr>
        <w:pStyle w:val="ListParagraph"/>
        <w:numPr>
          <w:ilvl w:val="0"/>
          <w:numId w:val="2"/>
        </w:numPr>
        <w:spacing w:after="100"/>
      </w:pPr>
      <w:r>
        <w:t xml:space="preserve">upprätta </w:t>
      </w:r>
      <w:r>
        <w:rPr>
          <w:b/>
          <w:bCs/>
        </w:rPr>
        <w:t xml:space="preserve">styrdiagram</w:t>
      </w:r>
      <w:r>
        <w:t xml:space="preserve"> (x̄- och R-diagram), beräkna styrgränser ur processdata och ställa diagnos på instabila processer med hjälp av mönsterregler (Western Electric),</w:t>
      </w:r>
    </w:p>
    <w:p>
      <w:pPr>
        <w:pStyle w:val="ListParagraph"/>
        <w:numPr>
          <w:ilvl w:val="0"/>
          <w:numId w:val="2"/>
        </w:numPr>
        <w:spacing w:after="100"/>
      </w:pPr>
      <w:r>
        <w:t xml:space="preserve">genomföra och tolka en </w:t>
      </w:r>
      <w:r>
        <w:rPr>
          <w:b/>
          <w:bCs/>
        </w:rPr>
        <w:t xml:space="preserve">processkapabilitetsstudie</w:t>
      </w:r>
      <w:r>
        <w:t xml:space="preserve"> (Cp, Cpk) och förklara varför processkapabiliteten alltid är sämre än maskinkapabiliteten,</w:t>
      </w:r>
    </w:p>
    <w:p>
      <w:pPr>
        <w:pStyle w:val="ListParagraph"/>
        <w:numPr>
          <w:ilvl w:val="0"/>
          <w:numId w:val="2"/>
        </w:numPr>
        <w:spacing w:after="100"/>
      </w:pPr>
      <w:r>
        <w:t xml:space="preserve">prioritera </w:t>
      </w:r>
      <w:r>
        <w:rPr>
          <w:b/>
          <w:bCs/>
        </w:rPr>
        <w:t xml:space="preserve">förbättringsåtgärder</w:t>
      </w:r>
      <w:r>
        <w:t xml:space="preserve"> utifrån hur variationskällor adderas kvadratiskt, och verifiera förbättringar med data (PDCA).</w:t>
      </w:r>
    </w:p>
    <w:p>
      <w:pPr>
        <w:pStyle w:val="Heading1"/>
        <w:spacing w:after="200" w:before="360"/>
      </w:pPr>
      <w:r>
        <w:t xml:space="preserve">2. Så fungerar appen</w:t>
      </w:r>
    </w:p>
    <w:p>
      <w:pPr>
        <w:pStyle w:val="ListParagraph"/>
        <w:numPr>
          <w:ilvl w:val="0"/>
          <w:numId w:val="3"/>
        </w:numPr>
        <w:spacing w:after="100"/>
      </w:pPr>
      <w:r>
        <w:rPr>
          <w:b/>
          <w:bCs/>
        </w:rPr>
        <w:t xml:space="preserve">Studentens namn blir datafrö. </w:t>
      </w:r>
      <w:r>
        <w:t xml:space="preserve">Alla mätvärden genereras deterministiskt ur namnet som skrivs in på startskärmen. Varje student får därmed </w:t>
      </w:r>
      <w:r>
        <w:rPr>
          <w:b/>
          <w:bCs/>
        </w:rPr>
        <w:t xml:space="preserve">unika data</w:t>
      </w:r>
      <w:r>
        <w:t xml:space="preserve"> (labbkompisen kan inte kopiera siffror), men </w:t>
      </w:r>
      <w:r>
        <w:rPr>
          <w:b/>
          <w:bCs/>
        </w:rPr>
        <w:t xml:space="preserve">samma namn ger alltid exakt samma data</w:t>
      </w:r>
      <w:r>
        <w:t xml:space="preserve"> — vilket du som lärare kan använda för stickprovskontroll (se avsnitt 6).</w:t>
      </w:r>
    </w:p>
    <w:p>
      <w:pPr>
        <w:pStyle w:val="ListParagraph"/>
        <w:numPr>
          <w:ilvl w:val="0"/>
          <w:numId w:val="3"/>
        </w:numPr>
        <w:spacing w:after="100"/>
      </w:pPr>
      <w:r>
        <w:rPr>
          <w:b/>
          <w:bCs/>
        </w:rPr>
        <w:t xml:space="preserve">Momenten låses upp i tur och ordning. </w:t>
      </w:r>
      <w:r>
        <w:t xml:space="preserve">Nästa moment öppnas först när både momentets uppgift är avklarad och kontrollfrågorna är rätt besvarade.</w:t>
      </w:r>
    </w:p>
    <w:p>
      <w:pPr>
        <w:pStyle w:val="ListParagraph"/>
        <w:numPr>
          <w:ilvl w:val="0"/>
          <w:numId w:val="3"/>
        </w:numPr>
        <w:spacing w:after="100"/>
      </w:pPr>
      <w:r>
        <w:rPr>
          <w:b/>
          <w:bCs/>
        </w:rPr>
        <w:t xml:space="preserve">Kontrollfrågorna är låsta </w:t>
      </w:r>
      <w:r>
        <w:t xml:space="preserve">(gråade) tills momentets praktiska uppgift är klar — studenten måste laborera innan hen svarar. Alla frågor rättas direkt i appen med förklarande feedback, och studenten kan försöka tills allt är rätt.</w:t>
      </w:r>
    </w:p>
    <w:p>
      <w:pPr>
        <w:pStyle w:val="ListParagraph"/>
        <w:numPr>
          <w:ilvl w:val="0"/>
          <w:numId w:val="3"/>
        </w:numPr>
        <w:spacing w:after="100"/>
      </w:pPr>
      <w:r>
        <w:rPr>
          <w:b/>
          <w:bCs/>
        </w:rPr>
        <w:t xml:space="preserve">Progressionen sparas automatiskt </w:t>
      </w:r>
      <w:r>
        <w:t xml:space="preserve">i webbläsarens lokala lagring. Studenten kan stänga sidan och fortsätta senare — på samma enhet och i samma webbläsare. Ingen data lämnar enheten (inga konton, ingen server, GDPR-vänligt).</w:t>
      </w:r>
    </w:p>
    <w:p>
      <w:pPr>
        <w:pStyle w:val="ListParagraph"/>
        <w:numPr>
          <w:ilvl w:val="0"/>
          <w:numId w:val="3"/>
        </w:numPr>
        <w:spacing w:after="100"/>
      </w:pPr>
      <w:r>
        <w:rPr>
          <w:b/>
          <w:bCs/>
        </w:rPr>
        <w:t xml:space="preserve">Ordlista </w:t>
      </w:r>
      <w:r>
        <w:t xml:space="preserve">finns i menyraden; facktermer i texten är dessutom klickbara med kortförklaringar.</w:t>
      </w:r>
    </w:p>
    <w:p>
      <w:pPr>
        <w:pStyle w:val="Heading1"/>
        <w:spacing w:after="200" w:before="360"/>
      </w:pPr>
      <w:r>
        <w:t xml:space="preserve">3. Momenten — vad studenten möter och vad som är avsiktligt inbyggt</w:t>
      </w:r>
    </w:p>
    <w:p>
      <w:pPr>
        <w:spacing w:after="160"/>
      </w:pPr>
      <w:r>
        <w:t xml:space="preserve">Som lärare bör du känna till de pedagogiska ”fällor” som är medvetet konstruerade. </w:t>
      </w:r>
      <w:r>
        <w:rPr>
          <w:b/>
          <w:bCs/>
        </w:rPr>
        <w:t xml:space="preserve">Berätta inte om dem i förväg</w:t>
      </w:r>
      <w:r>
        <w:t xml:space="preserve"> — aha-upplevelserna är laborationens kärna.</w:t>
      </w:r>
    </w:p>
    <w:p>
      <w:pPr>
        <w:pStyle w:val="Heading2"/>
        <w:spacing w:after="160" w:before="280"/>
      </w:pPr>
      <w:r>
        <w:t xml:space="preserve">Moment 0 · Introduktion och teori (ca 20 min)</w:t>
      </w:r>
    </w:p>
    <w:p>
      <w:pPr>
        <w:spacing w:after="160"/>
      </w:pPr>
      <w:r>
        <w:t xml:space="preserve">Interaktiv normalfördelning där studenten drar i reglage för läge (μ) och spridning (σ) mot toleransgränserna och ser kassationen i ppm ändras live. Uppgiftskravet är att båda reglagen använts. Grundbegrepp: slumpmässiga/urskiljbara orsaker samt toleransgränser (kundens röst) kontra styrgränser (processens röst).</w:t>
      </w:r>
    </w:p>
    <w:p>
      <w:pPr>
        <w:pStyle w:val="Heading2"/>
        <w:spacing w:after="160" w:before="280"/>
      </w:pPr>
      <w:r>
        <w:t xml:space="preserve">Moment 1 · Maskinkapabilitet, Cm/Cmk (ca 30 min)</w:t>
      </w:r>
    </w:p>
    <w:p>
      <w:pPr>
        <w:spacing w:after="160"/>
      </w:pPr>
      <w:r>
        <w:t xml:space="preserve">Studenten ”tillverkar” 50 axlar i följd och beräknar Cm och Cmk mot kravet ≥ 1,67. Alla formler visas ifyllda med studentens egna siffror, steg för steg.</w:t>
      </w:r>
    </w:p>
    <w:p>
      <w:pPr>
        <w:pBdr>
          <w:left w:val="single" w:color="96690F" w:sz="24"/>
        </w:pBdr>
        <w:shd w:fill="F7EDD6" w:val="clear"/>
        <w:spacing w:after="160" w:before="120"/>
        <w:ind w:left="240"/>
      </w:pPr>
      <w:r>
        <w:rPr>
          <w:b/>
          <w:bCs/>
          <w:color w:val="96690F"/>
          <w:sz w:val="18"/>
          <w:szCs w:val="18"/>
        </w:rPr>
        <w:t xml:space="preserve">INBYGGT</w:t>
      </w:r>
    </w:p>
    <w:p>
      <w:pPr>
        <w:pBdr>
          <w:left w:val="single" w:color="96690F" w:sz="24"/>
        </w:pBdr>
        <w:shd w:fill="F7EDD6" w:val="clear"/>
        <w:spacing w:after="160" w:before="0"/>
        <w:ind w:left="240"/>
      </w:pPr>
      <w:r>
        <w:t xml:space="preserve">Maskinen är </w:t>
      </w:r>
      <w:r>
        <w:rPr>
          <w:b/>
          <w:bCs/>
        </w:rPr>
        <w:t xml:space="preserve">alltid felcentrerad</w:t>
      </w:r>
      <w:r>
        <w:t xml:space="preserve"> från start. Första studien ger godkänt Cm (typiskt 2,2–2,9) men underkänt Cmk (typiskt 1,1–1,45). Studenten måste inse att problemet är läget, inte spridningen, räkna ut rätt verktygsoffset ur sitt x̄ och köra en ny studie. Vanligaste misstaget: att glömma att justeringen görs relativt nuvarande offset (ny offset = gammal offset + (25,000 − x̄)).</w:t>
      </w:r>
    </w:p>
    <w:p>
      <w:pPr>
        <w:pStyle w:val="Heading2"/>
        <w:spacing w:after="160" w:before="280"/>
      </w:pPr>
      <w:r>
        <w:t xml:space="preserve">Moment 2 · Styrdiagram, x̄/R (ca 40 min)</w:t>
      </w:r>
    </w:p>
    <w:p>
      <w:pPr>
        <w:spacing w:after="160"/>
      </w:pPr>
      <w:r>
        <w:t xml:space="preserve">Styrgränser beräknas ur 25 provgrupper (n = 5) med konstanterna A₂ = 0,577, D₃ = 0, D₄ = 2,114. Därefter övervakar studenten fyra ”produktionsveckor” (20 provgrupper vardera) och ställer diagnos: stabil process, nivåskifte, trend eller ökad spridning. Appen rättar mot Western Electric-reglerna och markerar larmen i facit.</w:t>
      </w:r>
    </w:p>
    <w:p>
      <w:pPr>
        <w:pBdr>
          <w:left w:val="single" w:color="96690F" w:sz="24"/>
        </w:pBdr>
        <w:shd w:fill="F7EDD6" w:val="clear"/>
        <w:spacing w:after="160" w:before="120"/>
        <w:ind w:left="240"/>
      </w:pPr>
      <w:r>
        <w:rPr>
          <w:b/>
          <w:bCs/>
          <w:color w:val="96690F"/>
          <w:sz w:val="18"/>
          <w:szCs w:val="18"/>
        </w:rPr>
        <w:t xml:space="preserve">INBYGGT</w:t>
      </w:r>
    </w:p>
    <w:p>
      <w:pPr>
        <w:pBdr>
          <w:left w:val="single" w:color="96690F" w:sz="24"/>
        </w:pBdr>
        <w:shd w:fill="F7EDD6" w:val="clear"/>
        <w:spacing w:after="160" w:before="0"/>
        <w:ind w:left="240"/>
      </w:pPr>
      <w:r>
        <w:t xml:space="preserve">De fyra veckorna innehåller exakt en av varje störningstyp, men i </w:t>
      </w:r>
      <w:r>
        <w:rPr>
          <w:b/>
          <w:bCs/>
        </w:rPr>
        <w:t xml:space="preserve">slumpad ordning per student</w:t>
      </w:r>
      <w:r>
        <w:t xml:space="preserve"> — grannens vecka B är inte samma som din. Spridningsscenariot syns främst i R-diagrammet, vilket motiverar varför båda diagrammen behövs.</w:t>
      </w:r>
    </w:p>
    <w:p>
      <w:pPr>
        <w:pStyle w:val="Heading2"/>
        <w:spacing w:after="160" w:before="280"/>
      </w:pPr>
      <w:r>
        <w:t xml:space="preserve">Moment 3 · Processkapabilitet, Cp/Cpk (ca 30 min)</w:t>
      </w:r>
    </w:p>
    <w:p>
      <w:pPr>
        <w:spacing w:after="160"/>
      </w:pPr>
      <w:r>
        <w:t xml:space="preserve">En hel produktionsvecka simuleras: 5 dagar × 2 skift × 25 axlar = 250 mätvärden, med materialpartier (mellan skift), verktygsslitage (inom skift), temperaturdrift vid skiftstart och kvarvarande lägesfel. Cp och Cpk beräknas mot kravet ≥ 1,33.</w:t>
      </w:r>
    </w:p>
    <w:p>
      <w:pPr>
        <w:pBdr>
          <w:left w:val="single" w:color="96690F" w:sz="24"/>
        </w:pBdr>
        <w:shd w:fill="F7EDD6" w:val="clear"/>
        <w:spacing w:after="160" w:before="120"/>
        <w:ind w:left="240"/>
      </w:pPr>
      <w:r>
        <w:rPr>
          <w:b/>
          <w:bCs/>
          <w:color w:val="96690F"/>
          <w:sz w:val="18"/>
          <w:szCs w:val="18"/>
        </w:rPr>
        <w:t xml:space="preserve">INBYGGT</w:t>
      </w:r>
    </w:p>
    <w:p>
      <w:pPr>
        <w:pBdr>
          <w:left w:val="single" w:color="96690F" w:sz="24"/>
        </w:pBdr>
        <w:shd w:fill="F7EDD6" w:val="clear"/>
        <w:spacing w:after="160" w:before="0"/>
        <w:ind w:left="240"/>
      </w:pPr>
      <w:r>
        <w:t xml:space="preserve">Resultatet är </w:t>
      </w:r>
      <w:r>
        <w:rPr>
          <w:b/>
          <w:bCs/>
        </w:rPr>
        <w:t xml:space="preserve">alltid underkänt</w:t>
      </w:r>
      <w:r>
        <w:t xml:space="preserve"> — typiskt Cp ≈ 1,0–1,3 och Cpk ≈ 0,8–1,1 — trots att maskinen klarade 1,67 med marginal i moment 1. Jämförelsevyn Cm mot Cp är laborationens viktigaste bild: samma maskin, samma toleranser, men fler variationskällor över tid. I individvärdesdiagrammet kan studenten se källorna: nivåhopp mellan skift, drift inom skift.</w:t>
      </w:r>
    </w:p>
    <w:p>
      <w:pPr>
        <w:pStyle w:val="Heading2"/>
        <w:spacing w:after="160" w:before="280"/>
      </w:pPr>
      <w:r>
        <w:t xml:space="preserve">Moment 4 · Förbättra och verifiera (ca 30 min)</w:t>
      </w:r>
    </w:p>
    <w:p>
      <w:pPr>
        <w:spacing w:after="160"/>
      </w:pPr>
      <w:r>
        <w:t xml:space="preserve">Studenten väljer förbättringsåtgärder inom en budget på 80 kkr och verifierar med en ny veckostudie. Mål: Cpk ≥ 1,33. Åtgärderna: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c>
          <w:tcPr>
            <w:tcW w:type="dxa" w:w="3000"/>
            <w:shd w:fill="1F5B7D" w:val="clear"/>
            <w:tcMar>
              <w:top w:type="dxa" w:w="80"/>
              <w:left w:type="dxa" w:w="120"/>
              <w:bottom w:type="dxa" w:w="80"/>
              <w:right w:type="dxa" w:w="120"/>
            </w:tcMar>
          </w:tcPr>
          <w:p>
            <w:pPr>
              <w:spacing w:after="0"/>
            </w:pPr>
            <w:r>
              <w:rPr>
                <w:b/>
                <w:bCs/>
                <w:color w:val="FFFFFF"/>
                <w:sz w:val="19"/>
                <w:szCs w:val="19"/>
              </w:rPr>
              <w:t xml:space="preserve">Åtgärd</w:t>
            </w:r>
          </w:p>
        </w:tc>
        <w:tc>
          <w:tcPr>
            <w:tcW w:type="dxa" w:w="1500"/>
            <w:shd w:fill="1F5B7D" w:val="clear"/>
            <w:tcMar>
              <w:top w:type="dxa" w:w="80"/>
              <w:left w:type="dxa" w:w="120"/>
              <w:bottom w:type="dxa" w:w="80"/>
              <w:right w:type="dxa" w:w="120"/>
            </w:tcMar>
          </w:tcPr>
          <w:p>
            <w:pPr>
              <w:spacing w:after="0"/>
            </w:pPr>
            <w:r>
              <w:rPr>
                <w:b/>
                <w:bCs/>
                <w:color w:val="FFFFFF"/>
                <w:sz w:val="19"/>
                <w:szCs w:val="19"/>
              </w:rPr>
              <w:t xml:space="preserve">Kostnad</w:t>
            </w:r>
          </w:p>
        </w:tc>
        <w:tc>
          <w:tcPr>
            <w:tcW w:type="dxa" w:w="4526"/>
            <w:shd w:fill="1F5B7D" w:val="clear"/>
            <w:tcMar>
              <w:top w:type="dxa" w:w="80"/>
              <w:left w:type="dxa" w:w="120"/>
              <w:bottom w:type="dxa" w:w="80"/>
              <w:right w:type="dxa" w:w="120"/>
            </w:tcMar>
          </w:tcPr>
          <w:p>
            <w:pPr>
              <w:spacing w:after="0"/>
            </w:pPr>
            <w:r>
              <w:rPr>
                <w:b/>
                <w:bCs/>
                <w:color w:val="FFFFFF"/>
                <w:sz w:val="19"/>
                <w:szCs w:val="19"/>
              </w:rPr>
              <w:t xml:space="preserve">Effekt (dold för studenten)</w:t>
            </w:r>
          </w:p>
        </w:tc>
      </w:tr>
      <w:tr>
        <w:tc>
          <w:tcPr>
            <w:tcW w:type="dxa" w:w="3000"/>
            <w:shd w:fill="F6F3EC" w:val="clear"/>
            <w:tcMar>
              <w:top w:type="dxa" w:w="80"/>
              <w:left w:type="dxa" w:w="120"/>
              <w:bottom w:type="dxa" w:w="80"/>
              <w:right w:type="dxa" w:w="120"/>
            </w:tcMar>
          </w:tcPr>
          <w:p>
            <w:pPr>
              <w:spacing w:after="0"/>
            </w:pPr>
            <w:r>
              <w:t xml:space="preserve">Centrera processen</w:t>
            </w:r>
          </w:p>
        </w:tc>
        <w:tc>
          <w:tcPr>
            <w:tcW w:type="dxa" w:w="1500"/>
            <w:shd w:fill="F6F3EC" w:val="clear"/>
            <w:tcMar>
              <w:top w:type="dxa" w:w="80"/>
              <w:left w:type="dxa" w:w="120"/>
              <w:bottom w:type="dxa" w:w="80"/>
              <w:right w:type="dxa" w:w="120"/>
            </w:tcMar>
          </w:tcPr>
          <w:p>
            <w:pPr>
              <w:spacing w:after="0"/>
            </w:pPr>
            <w:r>
              <w:t xml:space="preserve">0 kr</w:t>
            </w:r>
          </w:p>
        </w:tc>
        <w:tc>
          <w:tcPr>
            <w:tcW w:type="dxa" w:w="4526"/>
            <w:shd w:fill="F6F3EC" w:val="clear"/>
            <w:tcMar>
              <w:top w:type="dxa" w:w="80"/>
              <w:left w:type="dxa" w:w="120"/>
              <w:bottom w:type="dxa" w:w="80"/>
              <w:right w:type="dxa" w:w="120"/>
            </w:tcMar>
          </w:tcPr>
          <w:p>
            <w:pPr>
              <w:spacing w:after="0"/>
            </w:pPr>
            <w:r>
              <w:t xml:space="preserve">Tar bort lägesfelet</w:t>
            </w:r>
          </w:p>
        </w:tc>
      </w:tr>
      <w:tr>
        <w:tc>
          <w:tcPr>
            <w:tcW w:type="dxa" w:w="3000"/>
            <w:tcMar>
              <w:top w:type="dxa" w:w="80"/>
              <w:left w:type="dxa" w:w="120"/>
              <w:bottom w:type="dxa" w:w="80"/>
              <w:right w:type="dxa" w:w="120"/>
            </w:tcMar>
          </w:tcPr>
          <w:p>
            <w:pPr>
              <w:spacing w:after="0"/>
            </w:pPr>
            <w:r>
              <w:t xml:space="preserve">Varmkörningsrutin</w:t>
            </w:r>
          </w:p>
        </w:tc>
        <w:tc>
          <w:tcPr>
            <w:tcW w:type="dxa" w:w="1500"/>
            <w:tcMar>
              <w:top w:type="dxa" w:w="80"/>
              <w:left w:type="dxa" w:w="120"/>
              <w:bottom w:type="dxa" w:w="80"/>
              <w:right w:type="dxa" w:w="120"/>
            </w:tcMar>
          </w:tcPr>
          <w:p>
            <w:pPr>
              <w:spacing w:after="0"/>
            </w:pPr>
            <w:r>
              <w:t xml:space="preserve">15 kkr</w:t>
            </w:r>
          </w:p>
        </w:tc>
        <w:tc>
          <w:tcPr>
            <w:tcW w:type="dxa" w:w="4526"/>
            <w:tcMar>
              <w:top w:type="dxa" w:w="80"/>
              <w:left w:type="dxa" w:w="120"/>
              <w:bottom w:type="dxa" w:w="80"/>
              <w:right w:type="dxa" w:w="120"/>
            </w:tcMar>
          </w:tcPr>
          <w:p>
            <w:pPr>
              <w:spacing w:after="0"/>
            </w:pPr>
            <w:r>
              <w:t xml:space="preserve">Tar bort temperaturdriften (liten källa)</w:t>
            </w:r>
          </w:p>
        </w:tc>
      </w:tr>
      <w:tr>
        <w:tc>
          <w:tcPr>
            <w:tcW w:type="dxa" w:w="3000"/>
            <w:shd w:fill="F6F3EC" w:val="clear"/>
            <w:tcMar>
              <w:top w:type="dxa" w:w="80"/>
              <w:left w:type="dxa" w:w="120"/>
              <w:bottom w:type="dxa" w:w="80"/>
              <w:right w:type="dxa" w:w="120"/>
            </w:tcMar>
          </w:tcPr>
          <w:p>
            <w:pPr>
              <w:spacing w:after="0"/>
            </w:pPr>
            <w:r>
              <w:t xml:space="preserve">Tätare verktygsbyten</w:t>
            </w:r>
          </w:p>
        </w:tc>
        <w:tc>
          <w:tcPr>
            <w:tcW w:type="dxa" w:w="1500"/>
            <w:shd w:fill="F6F3EC" w:val="clear"/>
            <w:tcMar>
              <w:top w:type="dxa" w:w="80"/>
              <w:left w:type="dxa" w:w="120"/>
              <w:bottom w:type="dxa" w:w="80"/>
              <w:right w:type="dxa" w:w="120"/>
            </w:tcMar>
          </w:tcPr>
          <w:p>
            <w:pPr>
              <w:spacing w:after="0"/>
            </w:pPr>
            <w:r>
              <w:t xml:space="preserve">20 kkr</w:t>
            </w:r>
          </w:p>
        </w:tc>
        <w:tc>
          <w:tcPr>
            <w:tcW w:type="dxa" w:w="4526"/>
            <w:shd w:fill="F6F3EC" w:val="clear"/>
            <w:tcMar>
              <w:top w:type="dxa" w:w="80"/>
              <w:left w:type="dxa" w:w="120"/>
              <w:bottom w:type="dxa" w:w="80"/>
              <w:right w:type="dxa" w:w="120"/>
            </w:tcMar>
          </w:tcPr>
          <w:p>
            <w:pPr>
              <w:spacing w:after="0"/>
            </w:pPr>
            <w:r>
              <w:t xml:space="preserve">Halverar slitagets vandring</w:t>
            </w:r>
          </w:p>
        </w:tc>
      </w:tr>
      <w:tr>
        <w:tc>
          <w:tcPr>
            <w:tcW w:type="dxa" w:w="3000"/>
            <w:tcMar>
              <w:top w:type="dxa" w:w="80"/>
              <w:left w:type="dxa" w:w="120"/>
              <w:bottom w:type="dxa" w:w="80"/>
              <w:right w:type="dxa" w:w="120"/>
            </w:tcMar>
          </w:tcPr>
          <w:p>
            <w:pPr>
              <w:spacing w:after="0"/>
            </w:pPr>
            <w:r>
              <w:t xml:space="preserve">Materialstyrning</w:t>
            </w:r>
          </w:p>
        </w:tc>
        <w:tc>
          <w:tcPr>
            <w:tcW w:type="dxa" w:w="1500"/>
            <w:tcMar>
              <w:top w:type="dxa" w:w="80"/>
              <w:left w:type="dxa" w:w="120"/>
              <w:bottom w:type="dxa" w:w="80"/>
              <w:right w:type="dxa" w:w="120"/>
            </w:tcMar>
          </w:tcPr>
          <w:p>
            <w:pPr>
              <w:spacing w:after="0"/>
            </w:pPr>
            <w:r>
              <w:t xml:space="preserve">40 kkr</w:t>
            </w:r>
          </w:p>
        </w:tc>
        <w:tc>
          <w:tcPr>
            <w:tcW w:type="dxa" w:w="4526"/>
            <w:tcMar>
              <w:top w:type="dxa" w:w="80"/>
              <w:left w:type="dxa" w:w="120"/>
              <w:bottom w:type="dxa" w:w="80"/>
              <w:right w:type="dxa" w:w="120"/>
            </w:tcMar>
          </w:tcPr>
          <w:p>
            <w:pPr>
              <w:spacing w:after="0"/>
            </w:pPr>
            <w:r>
              <w:t xml:space="preserve">Minskar största spridningskällan (partivariationen) till ca 40 %</w:t>
            </w:r>
          </w:p>
        </w:tc>
      </w:tr>
      <w:tr>
        <w:tc>
          <w:tcPr>
            <w:tcW w:type="dxa" w:w="3000"/>
            <w:shd w:fill="F6F3EC" w:val="clear"/>
            <w:tcMar>
              <w:top w:type="dxa" w:w="80"/>
              <w:left w:type="dxa" w:w="120"/>
              <w:bottom w:type="dxa" w:w="80"/>
              <w:right w:type="dxa" w:w="120"/>
            </w:tcMar>
          </w:tcPr>
          <w:p>
            <w:pPr>
              <w:spacing w:after="0"/>
            </w:pPr>
            <w:r>
              <w:t xml:space="preserve">Ny precisionsfixtur</w:t>
            </w:r>
          </w:p>
        </w:tc>
        <w:tc>
          <w:tcPr>
            <w:tcW w:type="dxa" w:w="1500"/>
            <w:shd w:fill="F6F3EC" w:val="clear"/>
            <w:tcMar>
              <w:top w:type="dxa" w:w="80"/>
              <w:left w:type="dxa" w:w="120"/>
              <w:bottom w:type="dxa" w:w="80"/>
              <w:right w:type="dxa" w:w="120"/>
            </w:tcMar>
          </w:tcPr>
          <w:p>
            <w:pPr>
              <w:spacing w:after="0"/>
            </w:pPr>
            <w:r>
              <w:t xml:space="preserve">55 kkr</w:t>
            </w:r>
          </w:p>
        </w:tc>
        <w:tc>
          <w:tcPr>
            <w:tcW w:type="dxa" w:w="4526"/>
            <w:shd w:fill="F6F3EC" w:val="clear"/>
            <w:tcMar>
              <w:top w:type="dxa" w:w="80"/>
              <w:left w:type="dxa" w:w="120"/>
              <w:bottom w:type="dxa" w:w="80"/>
              <w:right w:type="dxa" w:w="120"/>
            </w:tcMar>
          </w:tcPr>
          <w:p>
            <w:pPr>
              <w:spacing w:after="0"/>
            </w:pPr>
            <w:r>
              <w:t xml:space="preserve">Minskar maskinens egen spridning ca 20 %</w:t>
            </w:r>
          </w:p>
        </w:tc>
      </w:tr>
    </w:tbl>
    <w:p>
      <w:pPr>
        <w:spacing w:after="60"/>
      </w:pPr>
    </w:p>
    <w:p>
      <w:pPr>
        <w:pBdr>
          <w:left w:val="single" w:color="96690F" w:sz="24"/>
        </w:pBdr>
        <w:shd w:fill="F7EDD6" w:val="clear"/>
        <w:spacing w:after="160" w:before="120"/>
        <w:ind w:left="240"/>
      </w:pPr>
      <w:r>
        <w:rPr>
          <w:b/>
          <w:bCs/>
          <w:color w:val="96690F"/>
          <w:sz w:val="18"/>
          <w:szCs w:val="18"/>
        </w:rPr>
        <w:t xml:space="preserve">INBYGGT</w:t>
      </w:r>
    </w:p>
    <w:p>
      <w:pPr>
        <w:pBdr>
          <w:left w:val="single" w:color="96690F" w:sz="24"/>
        </w:pBdr>
        <w:shd w:fill="F7EDD6" w:val="clear"/>
        <w:spacing w:after="160" w:before="0"/>
        <w:ind w:left="240"/>
      </w:pPr>
      <w:r>
        <w:t xml:space="preserve">Enbart centrering räcker </w:t>
      </w:r>
      <w:r>
        <w:rPr>
          <w:b/>
          <w:bCs/>
        </w:rPr>
        <w:t xml:space="preserve">inte</w:t>
      </w:r>
      <w:r>
        <w:t xml:space="preserve"> (spridningen är för stor). Den dyra fixturen är nästan verkningslös — maskinen är redan bra, och källor adderas kvadratiskt (σ²tot = σ₁² + σ₂² + …). Nyckeln är att centrera (gratis) och angripa </w:t>
      </w:r>
      <w:r>
        <w:rPr>
          <w:b/>
          <w:bCs/>
        </w:rPr>
        <w:t xml:space="preserve">materialvariationen</w:t>
      </w:r>
      <w:r>
        <w:t xml:space="preserve">, den största källan. Fungerande kombinationer inom budget är t.ex. centrera + materialstyrning (40 kkr) eller centrera + verktygsbyten + materialstyrning (60 kkr). Misslyckade försök kostar ”en produktionsvecka” och ger en ledtråd om största kvarvarande källa. Efter godkänd verifiering visas en processanalys med alla variationskällor före/efter.</w:t>
      </w:r>
    </w:p>
    <w:p>
      <w:pPr>
        <w:pStyle w:val="Heading2"/>
        <w:spacing w:after="160" w:before="280"/>
      </w:pPr>
      <w:r>
        <w:t xml:space="preserve">Labrapporten</w:t>
      </w:r>
    </w:p>
    <w:p>
      <w:pPr>
        <w:spacing w:after="160"/>
      </w:pPr>
      <w:r>
        <w:t xml:space="preserve">Sammanställer automatiskt allt: metadata, alla studier med nyckeltal, diagram, styrdiagramsbedömningar med facit, förbättringsförsök, quizresultat och studentens reflektionssvar. Sparas som PDF via webbläsarens utskriftsdialog.</w:t>
      </w:r>
    </w:p>
    <w:p>
      <w:pPr>
        <w:pStyle w:val="Heading1"/>
        <w:spacing w:after="200" w:before="360"/>
      </w:pPr>
      <w:r>
        <w:t xml:space="preserve">4. Genomförande — förslag på upplägg</w:t>
      </w:r>
    </w:p>
    <w:p>
      <w:pPr>
        <w:spacing w:after="160"/>
      </w:pPr>
      <w:r>
        <w:rPr>
          <w:b/>
          <w:bCs/>
          <w:color w:val="1F5B7D"/>
        </w:rPr>
        <w:t xml:space="preserve">Före passet</w:t>
      </w:r>
    </w:p>
    <w:p>
      <w:pPr>
        <w:pStyle w:val="ListParagraph"/>
        <w:numPr>
          <w:ilvl w:val="0"/>
          <w:numId w:val="4"/>
        </w:numPr>
        <w:spacing w:after="100"/>
      </w:pPr>
      <w:r>
        <w:t xml:space="preserve">Testa själv! Gör laborationen en gång med ditt eget namn (2–3 h första gången).</w:t>
      </w:r>
    </w:p>
    <w:p>
      <w:pPr>
        <w:pStyle w:val="ListParagraph"/>
        <w:numPr>
          <w:ilvl w:val="0"/>
          <w:numId w:val="4"/>
        </w:numPr>
        <w:spacing w:after="100"/>
      </w:pPr>
      <w:r>
        <w:t xml:space="preserve">Dela länken </w:t>
      </w:r>
      <w:hyperlink w:history="1" r:id="rIddwu3qfihhuizsadh4ccz-">
        <w:r>
          <w:rPr>
            <w:rStyle w:val="Hyperlink"/>
          </w:rPr>
          <w:t xml:space="preserve">https://spc-lab.vercel.app</w:t>
        </w:r>
      </w:hyperlink>
      <w:r>
        <w:t xml:space="preserve"> via lärplattformen.</w:t>
      </w:r>
    </w:p>
    <w:p>
      <w:pPr>
        <w:pStyle w:val="ListParagraph"/>
        <w:numPr>
          <w:ilvl w:val="0"/>
          <w:numId w:val="4"/>
        </w:numPr>
        <w:spacing w:after="100"/>
      </w:pPr>
      <w:r>
        <w:t xml:space="preserve">Be studenterna ta med dator eller surfplatta (mobil går men är trängre).</w:t>
      </w:r>
    </w:p>
    <w:p>
      <w:pPr>
        <w:pStyle w:val="ListParagraph"/>
        <w:numPr>
          <w:ilvl w:val="0"/>
          <w:numId w:val="4"/>
        </w:numPr>
        <w:spacing w:after="100"/>
      </w:pPr>
      <w:r>
        <w:t xml:space="preserve">Påminn: använd </w:t>
      </w:r>
      <w:r>
        <w:rPr>
          <w:b/>
          <w:bCs/>
        </w:rPr>
        <w:t xml:space="preserve">samma enhet och webbläsare</w:t>
      </w:r>
      <w:r>
        <w:t xml:space="preserve"> hela laborationen (progressionen sparas lokalt), och stäng inte privat-/inkognitoläge (då sparas inget).</w:t>
      </w:r>
    </w:p>
    <w:p>
      <w:pPr>
        <w:spacing w:after="160" w:before="120"/>
      </w:pPr>
      <w:r>
        <w:rPr>
          <w:b/>
          <w:bCs/>
          <w:color w:val="1F5B7D"/>
        </w:rPr>
        <w:t xml:space="preserve">Under passet</w:t>
      </w:r>
    </w:p>
    <w:p>
      <w:pPr>
        <w:pStyle w:val="ListParagraph"/>
        <w:numPr>
          <w:ilvl w:val="0"/>
          <w:numId w:val="3"/>
        </w:numPr>
        <w:spacing w:after="100"/>
      </w:pPr>
      <w:r>
        <w:t xml:space="preserve">Låt studenterna arbeta självständigt — appen är självinstruerande. Din roll blir främst att fördjupa: fråga ”varför blev Cmk lägre än Cm?”, ”var i veckodiagrammet ser du verktygsbytet?”.</w:t>
      </w:r>
    </w:p>
    <w:p>
      <w:pPr>
        <w:pStyle w:val="ListParagraph"/>
        <w:numPr>
          <w:ilvl w:val="0"/>
          <w:numId w:val="3"/>
        </w:numPr>
        <w:spacing w:after="100"/>
      </w:pPr>
      <w:r>
        <w:t xml:space="preserve">Momenten 0–2 hinns oftast på första halvan; 3–4 plus rapport på andra.</w:t>
      </w:r>
    </w:p>
    <w:p>
      <w:pPr>
        <w:pStyle w:val="ListParagraph"/>
        <w:numPr>
          <w:ilvl w:val="0"/>
          <w:numId w:val="3"/>
        </w:numPr>
        <w:spacing w:after="100"/>
      </w:pPr>
      <w:r>
        <w:t xml:space="preserve">Uppsamling i helklass efter moment 3 rekommenderas: låt några studenter jämföra sina Cm/Cp-värden — alla har olika siffror men samma mönster. Utmärkt diskussionsstart.</w:t>
      </w:r>
    </w:p>
    <w:p>
      <w:pPr>
        <w:spacing w:after="160" w:before="120"/>
      </w:pPr>
      <w:r>
        <w:rPr>
          <w:b/>
          <w:bCs/>
          <w:color w:val="1F5B7D"/>
        </w:rPr>
        <w:t xml:space="preserve">Efter passet</w:t>
      </w:r>
    </w:p>
    <w:p>
      <w:pPr>
        <w:pStyle w:val="ListParagraph"/>
        <w:numPr>
          <w:ilvl w:val="0"/>
          <w:numId w:val="3"/>
        </w:numPr>
        <w:spacing w:after="100"/>
      </w:pPr>
      <w:r>
        <w:t xml:space="preserve">Studenten sparar rapporten som PDF (knappen ”Skriv ut / spara som PDF”, helst från dator) och laddar upp på lärplattformen.</w:t>
      </w:r>
    </w:p>
    <w:p>
      <w:pPr>
        <w:pStyle w:val="Heading1"/>
        <w:spacing w:after="200" w:before="360"/>
      </w:pPr>
      <w:r>
        <w:t xml:space="preserve">5. Bedömning</w:t>
      </w:r>
    </w:p>
    <w:p>
      <w:pPr>
        <w:spacing w:after="160"/>
      </w:pPr>
      <w:r>
        <w:t xml:space="preserve">Rapporten innehåller allt underlag. Förslag på godkänt-kriterier:</w:t>
      </w:r>
    </w:p>
    <w:p>
      <w:pPr>
        <w:spacing w:after="80"/>
        <w:ind w:left="240"/>
      </w:pPr>
      <w:r>
        <w:t xml:space="preserve">☐  Samtliga moment genomförda (rapporten avslutas då med stämpeln ”Laboration genomförd”)</w:t>
      </w:r>
    </w:p>
    <w:p>
      <w:pPr>
        <w:spacing w:after="80"/>
        <w:ind w:left="240"/>
      </w:pPr>
      <w:r>
        <w:t xml:space="preserve">☐  Moment 1: minst två studier — en underkänd följd av en godkänd efter centrering</w:t>
      </w:r>
    </w:p>
    <w:p>
      <w:pPr>
        <w:spacing w:after="80"/>
        <w:ind w:left="240"/>
      </w:pPr>
      <w:r>
        <w:t xml:space="preserve">☐  Moment 2: minst 3 av 4 veckor rätt diagnostiserade (syns i rapportens facittabell)</w:t>
      </w:r>
    </w:p>
    <w:p>
      <w:pPr>
        <w:spacing w:after="80"/>
        <w:ind w:left="240"/>
      </w:pPr>
      <w:r>
        <w:t xml:space="preserve">☐  Moment 4: verifierat Cpk ≥ 1,33 inom budget</w:t>
      </w:r>
    </w:p>
    <w:p>
      <w:pPr>
        <w:spacing w:after="80"/>
        <w:ind w:left="240"/>
      </w:pPr>
      <w:r>
        <w:t xml:space="preserve">☐  Reflektionsfrågorna besvarade med egna resonemang (se nedan)</w:t>
      </w:r>
    </w:p>
    <w:p>
      <w:pPr>
        <w:spacing w:after="160" w:before="120"/>
      </w:pPr>
      <w:r>
        <w:t xml:space="preserve">Reflektionsfrågorna (en per moment, fritext, följer med i rapporten) är det bästa underlaget för att bedöma förståelse snarare än genomförande:</w:t>
      </w:r>
    </w:p>
    <w:p>
      <w:pPr>
        <w:pStyle w:val="ListParagraph"/>
        <w:numPr>
          <w:ilvl w:val="0"/>
          <w:numId w:val="5"/>
        </w:numPr>
        <w:spacing w:after="100"/>
      </w:pPr>
      <w:r>
        <w:rPr>
          <w:b/>
          <w:bCs/>
        </w:rPr>
        <w:t xml:space="preserve">Moment 0: </w:t>
      </w:r>
      <w:r>
        <w:t xml:space="preserve">Skillnaden slumpmässiga/urskiljbara orsaker, med eget exempel.</w:t>
      </w:r>
    </w:p>
    <w:p>
      <w:pPr>
        <w:pStyle w:val="ListParagraph"/>
        <w:numPr>
          <w:ilvl w:val="0"/>
          <w:numId w:val="5"/>
        </w:numPr>
        <w:spacing w:after="100"/>
      </w:pPr>
      <w:r>
        <w:rPr>
          <w:b/>
          <w:bCs/>
        </w:rPr>
        <w:t xml:space="preserve">Moment 1: </w:t>
      </w:r>
      <w:r>
        <w:t xml:space="preserve">Varför räcker inte Cm? Hur resonerade du vid justeringen?</w:t>
      </w:r>
    </w:p>
    <w:p>
      <w:pPr>
        <w:pStyle w:val="ListParagraph"/>
        <w:numPr>
          <w:ilvl w:val="0"/>
          <w:numId w:val="5"/>
        </w:numPr>
        <w:spacing w:after="100"/>
      </w:pPr>
      <w:r>
        <w:rPr>
          <w:b/>
          <w:bCs/>
        </w:rPr>
        <w:t xml:space="preserve">Moment 2: </w:t>
      </w:r>
      <w:r>
        <w:t xml:space="preserve">Varför behövs mönsterregler utöver ”punkt utanför styrgräns”?</w:t>
      </w:r>
    </w:p>
    <w:p>
      <w:pPr>
        <w:pStyle w:val="ListParagraph"/>
        <w:numPr>
          <w:ilvl w:val="0"/>
          <w:numId w:val="5"/>
        </w:numPr>
        <w:spacing w:after="100"/>
      </w:pPr>
      <w:r>
        <w:rPr>
          <w:b/>
          <w:bCs/>
        </w:rPr>
        <w:t xml:space="preserve">Moment 3: </w:t>
      </w:r>
      <w:r>
        <w:t xml:space="preserve">Jämför ditt Cm med ditt Cp — vilka källor bidrog, och var syntes de?</w:t>
      </w:r>
    </w:p>
    <w:p>
      <w:pPr>
        <w:pStyle w:val="ListParagraph"/>
        <w:numPr>
          <w:ilvl w:val="0"/>
          <w:numId w:val="5"/>
        </w:numPr>
        <w:spacing w:after="100"/>
      </w:pPr>
      <w:r>
        <w:rPr>
          <w:b/>
          <w:bCs/>
        </w:rPr>
        <w:t xml:space="preserve">Moment 4: </w:t>
      </w:r>
      <w:r>
        <w:t xml:space="preserve">Vilka åtgärder valde du och varför? Vad om budgeten halverats?</w:t>
      </w:r>
    </w:p>
    <w:p>
      <w:pPr>
        <w:spacing w:after="160"/>
      </w:pPr>
      <w:r>
        <w:t xml:space="preserve">I rapporttabellen för moment 4 framgår också antal försök — många försök med dyra, verkningslösa kombinationer kan vara ett samtalsunderlag om förståelsen av kvadratisk addition.</w:t>
      </w:r>
    </w:p>
    <w:p>
      <w:pPr>
        <w:pStyle w:val="Heading1"/>
        <w:spacing w:after="200" w:before="360"/>
      </w:pPr>
      <w:r>
        <w:t xml:space="preserve">6. Stickprovskontroll av inlämnade rapporter</w:t>
      </w:r>
    </w:p>
    <w:p>
      <w:pPr>
        <w:spacing w:after="160"/>
      </w:pPr>
      <w:r>
        <w:t xml:space="preserve">Eftersom alla mätdata genereras deterministiskt ur studentens namn kan du verifiera en rapport: öppna laborationen själv, skriv in </w:t>
      </w:r>
      <w:r>
        <w:rPr>
          <w:b/>
          <w:bCs/>
        </w:rPr>
        <w:t xml:space="preserve">exakt samma namn</w:t>
      </w:r>
      <w:r>
        <w:t xml:space="preserve"> (skiftläge spelar ingen roll) — du får då </w:t>
      </w:r>
      <w:r>
        <w:rPr>
          <w:b/>
          <w:bCs/>
        </w:rPr>
        <w:t xml:space="preserve">identiska mätvärden, Cm/Cmk/Cp/Cpk och styrdiagram</w:t>
      </w:r>
      <w:r>
        <w:t xml:space="preserve"> som studenten. Avvikande siffror i en inlämnad rapport betyder att något inte stämmer.</w:t>
      </w:r>
    </w:p>
    <w:p>
      <w:pPr>
        <w:spacing w:after="160"/>
      </w:pPr>
      <w:r>
        <w:t xml:space="preserve">Observera att kontrollen förutsätter samma version av laborationen som studenten använde. Vid större uppdateringar av simuleringen ändras genererade data — gör därför stickprov i nära anslutning till kursomgången.</w:t>
      </w:r>
    </w:p>
    <w:p>
      <w:pPr>
        <w:pStyle w:val="Heading1"/>
        <w:spacing w:after="200" w:before="360"/>
      </w:pPr>
      <w:r>
        <w:t xml:space="preserve">7. Vanliga frågor och problem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c>
          <w:tcPr>
            <w:tcW w:type="dxa" w:w="3300"/>
            <w:shd w:fill="1F5B7D" w:val="clear"/>
            <w:tcMar>
              <w:top w:type="dxa" w:w="80"/>
              <w:left w:type="dxa" w:w="120"/>
              <w:bottom w:type="dxa" w:w="80"/>
              <w:right w:type="dxa" w:w="120"/>
            </w:tcMar>
          </w:tcPr>
          <w:p>
            <w:pPr>
              <w:spacing w:after="0"/>
            </w:pPr>
            <w:r>
              <w:rPr>
                <w:b/>
                <w:bCs/>
                <w:color w:val="FFFFFF"/>
                <w:sz w:val="19"/>
                <w:szCs w:val="19"/>
              </w:rPr>
              <w:t xml:space="preserve">Situation</w:t>
            </w:r>
          </w:p>
        </w:tc>
        <w:tc>
          <w:tcPr>
            <w:tcW w:type="dxa" w:w="5726"/>
            <w:shd w:fill="1F5B7D" w:val="clear"/>
            <w:tcMar>
              <w:top w:type="dxa" w:w="80"/>
              <w:left w:type="dxa" w:w="120"/>
              <w:bottom w:type="dxa" w:w="80"/>
              <w:right w:type="dxa" w:w="120"/>
            </w:tcMar>
          </w:tcPr>
          <w:p>
            <w:pPr>
              <w:spacing w:after="0"/>
            </w:pPr>
            <w:r>
              <w:rPr>
                <w:b/>
                <w:bCs/>
                <w:color w:val="FFFFFF"/>
                <w:sz w:val="19"/>
                <w:szCs w:val="19"/>
              </w:rPr>
              <w:t xml:space="preserve">Förklaring / åtgärd</w:t>
            </w:r>
          </w:p>
        </w:tc>
      </w:tr>
      <w:tr>
        <w:tc>
          <w:tcPr>
            <w:tcW w:type="dxa" w:w="3300"/>
            <w:shd w:fill="F6F3EC" w:val="clear"/>
            <w:tcMar>
              <w:top w:type="dxa" w:w="80"/>
              <w:left w:type="dxa" w:w="120"/>
              <w:bottom w:type="dxa" w:w="80"/>
              <w:right w:type="dxa" w:w="120"/>
            </w:tcMar>
          </w:tcPr>
          <w:p>
            <w:pPr>
              <w:spacing w:after="0"/>
            </w:pPr>
            <w:r>
              <w:t xml:space="preserve">”Kontrollfrågorna är gråa”</w:t>
            </w:r>
          </w:p>
        </w:tc>
        <w:tc>
          <w:tcPr>
            <w:tcW w:type="dxa" w:w="5726"/>
            <w:shd w:fill="F6F3EC" w:val="clear"/>
            <w:tcMar>
              <w:top w:type="dxa" w:w="80"/>
              <w:left w:type="dxa" w:w="120"/>
              <w:bottom w:type="dxa" w:w="80"/>
              <w:right w:type="dxa" w:w="120"/>
            </w:tcMar>
          </w:tcPr>
          <w:p>
            <w:pPr>
              <w:spacing w:after="0"/>
            </w:pPr>
            <w:r>
              <w:t xml:space="preserve">Avsiktligt — momentets praktiska uppgift måste göras klart först. Kravet står i den gula rutan.</w:t>
            </w:r>
          </w:p>
        </w:tc>
      </w:tr>
      <w:tr>
        <w:tc>
          <w:tcPr>
            <w:tcW w:type="dxa" w:w="3300"/>
            <w:tcMar>
              <w:top w:type="dxa" w:w="80"/>
              <w:left w:type="dxa" w:w="120"/>
              <w:bottom w:type="dxa" w:w="80"/>
              <w:right w:type="dxa" w:w="120"/>
            </w:tcMar>
          </w:tcPr>
          <w:p>
            <w:pPr>
              <w:spacing w:after="0"/>
            </w:pPr>
            <w:r>
              <w:t xml:space="preserve">”Jag kommer inte vidare till nästa moment”</w:t>
            </w:r>
          </w:p>
        </w:tc>
        <w:tc>
          <w:tcPr>
            <w:tcW w:type="dxa" w:w="5726"/>
            <w:tcMar>
              <w:top w:type="dxa" w:w="80"/>
              <w:left w:type="dxa" w:w="120"/>
              <w:bottom w:type="dxa" w:w="80"/>
              <w:right w:type="dxa" w:w="120"/>
            </w:tcMar>
          </w:tcPr>
          <w:p>
            <w:pPr>
              <w:spacing w:after="0"/>
            </w:pPr>
            <w:r>
              <w:t xml:space="preserve">Både uppgift och quiz måste vara gröna i rutan längst ner i momentet.</w:t>
            </w:r>
          </w:p>
        </w:tc>
      </w:tr>
      <w:tr>
        <w:tc>
          <w:tcPr>
            <w:tcW w:type="dxa" w:w="3300"/>
            <w:shd w:fill="F6F3EC" w:val="clear"/>
            <w:tcMar>
              <w:top w:type="dxa" w:w="80"/>
              <w:left w:type="dxa" w:w="120"/>
              <w:bottom w:type="dxa" w:w="80"/>
              <w:right w:type="dxa" w:w="120"/>
            </w:tcMar>
          </w:tcPr>
          <w:p>
            <w:pPr>
              <w:spacing w:after="0"/>
            </w:pPr>
            <w:r>
              <w:t xml:space="preserve">”Min studie blir aldrig godkänd i moment 1”</w:t>
            </w:r>
          </w:p>
        </w:tc>
        <w:tc>
          <w:tcPr>
            <w:tcW w:type="dxa" w:w="5726"/>
            <w:shd w:fill="F6F3EC" w:val="clear"/>
            <w:tcMar>
              <w:top w:type="dxa" w:w="80"/>
              <w:left w:type="dxa" w:w="120"/>
              <w:bottom w:type="dxa" w:w="80"/>
              <w:right w:type="dxa" w:w="120"/>
            </w:tcMar>
          </w:tcPr>
          <w:p>
            <w:pPr>
              <w:spacing w:after="0"/>
            </w:pPr>
            <w:r>
              <w:t xml:space="preserve">Kontrollera offsetberäkningen: ny offset = nuvarande offset + (25,000 − x̄). Vanligt fel: man sätter offset = avvikelsen i stället för att addera.</w:t>
            </w:r>
          </w:p>
        </w:tc>
      </w:tr>
      <w:tr>
        <w:tc>
          <w:tcPr>
            <w:tcW w:type="dxa" w:w="3300"/>
            <w:tcMar>
              <w:top w:type="dxa" w:w="80"/>
              <w:left w:type="dxa" w:w="120"/>
              <w:bottom w:type="dxa" w:w="80"/>
              <w:right w:type="dxa" w:w="120"/>
            </w:tcMar>
          </w:tcPr>
          <w:p>
            <w:pPr>
              <w:spacing w:after="0"/>
            </w:pPr>
            <w:r>
              <w:t xml:space="preserve">”Cpk blir inte godkänt i moment 4”</w:t>
            </w:r>
          </w:p>
        </w:tc>
        <w:tc>
          <w:tcPr>
            <w:tcW w:type="dxa" w:w="5726"/>
            <w:tcMar>
              <w:top w:type="dxa" w:w="80"/>
              <w:left w:type="dxa" w:w="120"/>
              <w:bottom w:type="dxa" w:w="80"/>
              <w:right w:type="dxa" w:w="120"/>
            </w:tcMar>
          </w:tcPr>
          <w:p>
            <w:pPr>
              <w:spacing w:after="0"/>
            </w:pPr>
            <w:r>
              <w:t xml:space="preserve">Fråga: är processen centrerad? Vilken är största spridningskällan? (Ledtråd ges i appen efter varje misslyckat försök.)</w:t>
            </w:r>
          </w:p>
        </w:tc>
      </w:tr>
      <w:tr>
        <w:tc>
          <w:tcPr>
            <w:tcW w:type="dxa" w:w="3300"/>
            <w:shd w:fill="F6F3EC" w:val="clear"/>
            <w:tcMar>
              <w:top w:type="dxa" w:w="80"/>
              <w:left w:type="dxa" w:w="120"/>
              <w:bottom w:type="dxa" w:w="80"/>
              <w:right w:type="dxa" w:w="120"/>
            </w:tcMar>
          </w:tcPr>
          <w:p>
            <w:pPr>
              <w:spacing w:after="0"/>
            </w:pPr>
            <w:r>
              <w:t xml:space="preserve">”All min progression är borta”</w:t>
            </w:r>
          </w:p>
        </w:tc>
        <w:tc>
          <w:tcPr>
            <w:tcW w:type="dxa" w:w="5726"/>
            <w:shd w:fill="F6F3EC" w:val="clear"/>
            <w:tcMar>
              <w:top w:type="dxa" w:w="80"/>
              <w:left w:type="dxa" w:w="120"/>
              <w:bottom w:type="dxa" w:w="80"/>
              <w:right w:type="dxa" w:w="120"/>
            </w:tcMar>
          </w:tcPr>
          <w:p>
            <w:pPr>
              <w:spacing w:after="0"/>
            </w:pPr>
            <w:r>
              <w:t xml:space="preserve">Annan enhet, annan webbläsare eller rensad webbdata. Progressionen ligger lokalt i webbläsaren. Med samma namn återskapas samma data snabbt, men momenten måste klickas igenom igen.</w:t>
            </w:r>
          </w:p>
        </w:tc>
      </w:tr>
      <w:tr>
        <w:tc>
          <w:tcPr>
            <w:tcW w:type="dxa" w:w="3300"/>
            <w:tcMar>
              <w:top w:type="dxa" w:w="80"/>
              <w:left w:type="dxa" w:w="120"/>
              <w:bottom w:type="dxa" w:w="80"/>
              <w:right w:type="dxa" w:w="120"/>
            </w:tcMar>
          </w:tcPr>
          <w:p>
            <w:pPr>
              <w:spacing w:after="0"/>
            </w:pPr>
            <w:r>
              <w:t xml:space="preserve">”Tabellen syns inte hela på mobilen”</w:t>
            </w:r>
          </w:p>
        </w:tc>
        <w:tc>
          <w:tcPr>
            <w:tcW w:type="dxa" w:w="5726"/>
            <w:tcMar>
              <w:top w:type="dxa" w:w="80"/>
              <w:left w:type="dxa" w:w="120"/>
              <w:bottom w:type="dxa" w:w="80"/>
              <w:right w:type="dxa" w:w="120"/>
            </w:tcMar>
          </w:tcPr>
          <w:p>
            <w:pPr>
              <w:spacing w:after="0"/>
            </w:pPr>
            <w:r>
              <w:t xml:space="preserve">Svep i sidled i tabellen.</w:t>
            </w:r>
          </w:p>
        </w:tc>
      </w:tr>
      <w:tr>
        <w:tc>
          <w:tcPr>
            <w:tcW w:type="dxa" w:w="3300"/>
            <w:shd w:fill="F6F3EC" w:val="clear"/>
            <w:tcMar>
              <w:top w:type="dxa" w:w="80"/>
              <w:left w:type="dxa" w:w="120"/>
              <w:bottom w:type="dxa" w:w="80"/>
              <w:right w:type="dxa" w:w="120"/>
            </w:tcMar>
          </w:tcPr>
          <w:p>
            <w:pPr>
              <w:spacing w:after="0"/>
            </w:pPr>
            <w:r>
              <w:t xml:space="preserve">Studenten vill börja om</w:t>
            </w:r>
          </w:p>
        </w:tc>
        <w:tc>
          <w:tcPr>
            <w:tcW w:type="dxa" w:w="5726"/>
            <w:shd w:fill="F6F3EC" w:val="clear"/>
            <w:tcMar>
              <w:top w:type="dxa" w:w="80"/>
              <w:left w:type="dxa" w:w="120"/>
              <w:bottom w:type="dxa" w:w="80"/>
              <w:right w:type="dxa" w:w="120"/>
            </w:tcMar>
          </w:tcPr>
          <w:p>
            <w:pPr>
              <w:spacing w:after="0"/>
            </w:pPr>
            <w:r>
              <w:t xml:space="preserve">Knappen ”Nollställ hela laborationen…” finns i rapportvyn.</w:t>
            </w:r>
          </w:p>
        </w:tc>
      </w:tr>
      <w:tr>
        <w:tc>
          <w:tcPr>
            <w:tcW w:type="dxa" w:w="3300"/>
            <w:tcMar>
              <w:top w:type="dxa" w:w="80"/>
              <w:left w:type="dxa" w:w="120"/>
              <w:bottom w:type="dxa" w:w="80"/>
              <w:right w:type="dxa" w:w="120"/>
            </w:tcMar>
          </w:tcPr>
          <w:p>
            <w:pPr>
              <w:spacing w:after="0"/>
            </w:pPr>
            <w:r>
              <w:t xml:space="preserve">Två studenter har likadana siffror</w:t>
            </w:r>
          </w:p>
        </w:tc>
        <w:tc>
          <w:tcPr>
            <w:tcW w:type="dxa" w:w="5726"/>
            <w:tcMar>
              <w:top w:type="dxa" w:w="80"/>
              <w:left w:type="dxa" w:w="120"/>
              <w:bottom w:type="dxa" w:w="80"/>
              <w:right w:type="dxa" w:w="120"/>
            </w:tcMar>
          </w:tcPr>
          <w:p>
            <w:pPr>
              <w:spacing w:after="0"/>
            </w:pPr>
            <w:r>
              <w:t xml:space="preserve">Ska inte inträffa om de använt olika namn — kontrollera namnen i rapporthuvudet (se även avsnitt 6).</w:t>
            </w:r>
          </w:p>
        </w:tc>
      </w:tr>
    </w:tbl>
    <w:p>
      <w:pPr>
        <w:pStyle w:val="Heading1"/>
        <w:spacing w:after="200" w:before="360"/>
      </w:pPr>
      <w:r>
        <w:t xml:space="preserve">8. Teknik, drift och anpassning</w:t>
      </w:r>
    </w:p>
    <w:p>
      <w:pPr>
        <w:pStyle w:val="ListParagraph"/>
        <w:numPr>
          <w:ilvl w:val="0"/>
          <w:numId w:val="3"/>
        </w:numPr>
        <w:spacing w:after="100"/>
      </w:pPr>
      <w:r>
        <w:rPr>
          <w:b/>
          <w:bCs/>
        </w:rPr>
        <w:t xml:space="preserve">Arkitektur: </w:t>
      </w:r>
      <w:r>
        <w:t xml:space="preserve">hela laborationen är en enda HTML-fil utan externa beroenden — ingen server, inga konton, ingen datainsamling. Slumptalen genereras med seedad generator (namnet hashas till frö); all statistik beräknas i webbläsaren.</w:t>
      </w:r>
    </w:p>
    <w:p>
      <w:pPr>
        <w:pStyle w:val="ListParagraph"/>
        <w:numPr>
          <w:ilvl w:val="0"/>
          <w:numId w:val="3"/>
        </w:numPr>
        <w:spacing w:after="100"/>
      </w:pPr>
      <w:r>
        <w:rPr>
          <w:b/>
          <w:bCs/>
        </w:rPr>
        <w:t xml:space="preserve">Källkod: </w:t>
      </w:r>
      <w:hyperlink w:history="1" r:id="rIdjfl1cqbwgk8nskrppmldu">
        <w:r>
          <w:rPr>
            <w:rStyle w:val="Hyperlink"/>
          </w:rPr>
          <w:t xml:space="preserve">https://github.com/fz7jjhvdk4-create/spc-lab</w:t>
        </w:r>
      </w:hyperlink>
      <w:r>
        <w:t xml:space="preserve"> (filen spc-laboration.html). Ändringar som pushas till main publiceras automatiskt på spc-lab.vercel.app.</w:t>
      </w:r>
    </w:p>
    <w:p>
      <w:pPr>
        <w:pStyle w:val="ListParagraph"/>
        <w:numPr>
          <w:ilvl w:val="0"/>
          <w:numId w:val="3"/>
        </w:numPr>
        <w:spacing w:after="100"/>
      </w:pPr>
      <w:r>
        <w:rPr>
          <w:b/>
          <w:bCs/>
        </w:rPr>
        <w:t xml:space="preserve">Egen drift: </w:t>
      </w:r>
      <w:r>
        <w:t xml:space="preserve">ladda ner spc-laboration.html och lägg den på valfri kurswebb, eller dela filen som den är — den fungerar helt offline (dubbelklicka för att öppna).</w:t>
      </w:r>
    </w:p>
    <w:p>
      <w:pPr>
        <w:pStyle w:val="ListParagraph"/>
        <w:numPr>
          <w:ilvl w:val="0"/>
          <w:numId w:val="3"/>
        </w:numPr>
        <w:spacing w:after="100"/>
      </w:pPr>
      <w:r>
        <w:rPr>
          <w:b/>
          <w:bCs/>
        </w:rPr>
        <w:t xml:space="preserve">Anpassning: </w:t>
      </w:r>
      <w:r>
        <w:t xml:space="preserve">artikeldata och toleranser ligger i konstanten SPEC, kravnivåerna (1,67/1,33) i respektive moments logik, quizfrågorna i QUIZ och reflektionsfrågorna i REFLECT — allt i samma fil. Observera att ändrade simuleringsparametrar ändrar alla studenters data (påverkar stickprovskontrollen, avsnitt 6).</w:t>
      </w:r>
    </w:p>
    <w:p>
      <w:pPr>
        <w:pStyle w:val="Heading1"/>
        <w:spacing w:after="200" w:before="360"/>
      </w:pPr>
      <w:r>
        <w:t xml:space="preserve">9. Koppling till litteratur</w:t>
      </w:r>
    </w:p>
    <w:p>
      <w:pPr>
        <w:spacing w:after="160"/>
      </w:pPr>
      <w:r>
        <w:t xml:space="preserve">Terminologi och arbetsgång följer svensk kvalitetsteknisk standard såsom den lärs ut i t.ex. Bergman &amp; Klefsjö, </w:t>
      </w:r>
      <w:r>
        <w:rPr>
          <w:i/>
          <w:iCs/>
        </w:rPr>
        <w:t xml:space="preserve">Kvalitet från behov till användning</w:t>
      </w:r>
      <w:r>
        <w:t xml:space="preserve">: duglighetsindex Cm/Cmk (maskin, krav 1,67) och Cp/Cpk (process, krav 1,33), styrdiagram med provgrupper och A₂/D₃/D₄-konstanter, samt förbättringscykeln PDCA. I laborationen används genomgående den totala standardavvikelsen s; skillnaden mot inomgruppsskattningen R̄/d₂ (Cp/Cpk kontra Pp/Ppk enligt AIAG) tas upp i en fördjupningsruta i moment 3.</w:t>
      </w:r>
    </w:p>
    <w:p>
      <w:pPr>
        <w:pBdr>
          <w:top w:val="single" w:color="7D8A93" w:sz="6"/>
        </w:pBdr>
        <w:spacing w:before="300"/>
      </w:pPr>
      <w:r>
        <w:rPr>
          <w:i/>
          <w:iCs/>
          <w:color w:val="7D8A93"/>
        </w:rPr>
        <w:t xml:space="preserve">Frågor eller förbättringsförslag? Öppna gärna ett ärende på </w:t>
      </w:r>
      <w:hyperlink w:history="1" r:id="rIde18utup3r3txmunjsrta8">
        <w:r>
          <w:rPr>
            <w:rStyle w:val="Hyperlink"/>
          </w:rPr>
          <w:t xml:space="preserve">github.com/fz7jjhvdk4-create/spc-lab/issues</w:t>
        </w:r>
      </w:hyperlink>
    </w:p>
    <w:sectPr>
      <w:footerReference w:type="default" r:id="rId7"/>
      <w:pgSz w:w="11906" w:h="16838" w:orient="portrait"/>
      <w:pgMar w:top="1250" w:right="1440" w:bottom="125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D8A93"/>
        <w:sz w:val="16"/>
        <w:szCs w:val="16"/>
      </w:rPr>
      <w:t xml:space="preserve">Lärarhandledning · SPC-laborationen · sid </w:t>
      <w:fldChar w:fldCharType="begin"/>
      <w:instrText xml:space="preserve">PAGE</w:instrText>
      <w:fldChar w:fldCharType="separate"/>
      <w:fldChar w:fldCharType="end"/>
      <w:t xml:space="preserve"> av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abstractNum w:abstractNumId="4" w15:restartNumberingAfterBreak="0">
    <w:multiLevelType w:val="hybridMultilevel"/>
    <w:lvl w:ilvl="0" w15:tentative="1">
      <w:start w:val="1"/>
      <w:numFmt w:val="decimal"/>
      <w:lvlText w:val="%1."/>
      <w:lvlJc w:val="left"/>
      <w:pPr>
        <w:ind w:left="480" w:hanging="240"/>
      </w:pPr>
    </w:lvl>
  </w:abstractNum>
  <w:abstractNum w:abstractNumId="5"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83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5B7D" w:sz="8"/>
      </w:pBdr>
      <w:outlineLvl w:val="0"/>
    </w:pPr>
    <w:rPr>
      <w:rFonts w:ascii="Georgia" w:cs="Georgia" w:eastAsia="Georgia" w:hAnsi="Georgia"/>
      <w:b/>
      <w:bCs/>
      <w:color w:val="1F5B7D"/>
      <w:sz w:val="30"/>
      <w:szCs w:val="30"/>
    </w:rPr>
  </w:style>
  <w:style w:type="paragraph" w:styleId="Heading2">
    <w:name w:val="Heading 2"/>
    <w:basedOn w:val="Normal"/>
    <w:next w:val="Normal"/>
    <w:qFormat/>
    <w:pPr>
      <w:outlineLvl w:val="1"/>
    </w:pPr>
    <w:rPr>
      <w:rFonts w:ascii="Georgia" w:cs="Georgia" w:eastAsia="Georgia" w:hAnsi="Georgia"/>
      <w:b/>
      <w:bCs/>
      <w:color w:val="1B283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tbwn29bqnjzmqzazgtro" Type="http://schemas.openxmlformats.org/officeDocument/2006/relationships/hyperlink" Target="https://spc-lab.vercel.app" TargetMode="External"/><Relationship Id="rIddwu3qfihhuizsadh4ccz-" Type="http://schemas.openxmlformats.org/officeDocument/2006/relationships/hyperlink" Target="https://spc-lab.vercel.app" TargetMode="External"/><Relationship Id="rIdjfl1cqbwgk8nskrppmldu" Type="http://schemas.openxmlformats.org/officeDocument/2006/relationships/hyperlink" Target="https://github.com/fz7jjhvdk4-create/spc-lab" TargetMode="External"/><Relationship Id="rIde18utup3r3txmunjsrta8" Type="http://schemas.openxmlformats.org/officeDocument/2006/relationships/hyperlink" Target="https://github.com/fz7jjhvdk4-create/spc-lab/issues"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2026-08-05T19:29:22.272Z</dcterms:created>
  <dcterms:modified xsi:type="dcterms:W3CDTF">2026-08-05T19:29:22.274Z</dcterms:modified>
</cp:coreProperties>
</file>

<file path=docProps/custom.xml><?xml version="1.0" encoding="utf-8"?>
<Properties xmlns="http://schemas.openxmlformats.org/officeDocument/2006/custom-properties" xmlns:vt="http://schemas.openxmlformats.org/officeDocument/2006/docPropsVTypes"/>
</file>