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1. </w:t>
      </w:r>
      <w:r>
        <w:rPr>
          <w:rFonts w:ascii="Arial" w:cs="Arial" w:eastAsia="Arial" w:hAnsi="Arial"/>
          <w:sz w:val="22"/>
          <w:szCs w:val="22"/>
        </w:rPr>
        <w:t xml:space="preserve">Characteristics of Included Studies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"/>
        <w:gridCol w:w="2000"/>
        <w:gridCol w:w="1100"/>
        <w:gridCol w:w="1700"/>
        <w:gridCol w:w="1400"/>
        <w:gridCol w:w="2000"/>
        <w:gridCol w:w="271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Study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Population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Comparison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Induction dose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NMBA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Primary outcome (original)</w:t>
            </w:r>
          </w:p>
        </w:tc>
        <w:tc>
          <w:tcPr>
            <w:tcW w:type="dxa" w:w="27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secondary outcomes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Jabre 2009 (KETASED)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Prehospital/ED, multicenter, France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vs 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0.3 vs K 2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Sux 1 mg/kg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Maximum SOFA (days 1–3)</w:t>
            </w:r>
          </w:p>
        </w:tc>
        <w:tc>
          <w:tcPr>
            <w:tcW w:type="dxa" w:w="27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28-d mortality; adrenal insufficiency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Cinar 2011</w:t>
            </w: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*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ICU, single-center, Turkey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vs 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0.3 vs K 2 mg/kg + midaz 0.03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Hemodynamic response</w:t>
            </w:r>
          </w:p>
        </w:tc>
        <w:tc>
          <w:tcPr>
            <w:tcW w:type="dxa" w:w="27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ICU mortality; cortisol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Dormans 2014</w:t>
            </w: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*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ICU, cluster-RCT, Netherlands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vs SK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0.2–0.3 vs SK 0.5 mg/kg + midaz 2.5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Roc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28-d mortality</w:t>
            </w:r>
          </w:p>
        </w:tc>
        <w:tc>
          <w:tcPr>
            <w:tcW w:type="dxa" w:w="27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Cortisol; ACTH test; ICU LOS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Smischney 2019 (KEEP PACE)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ICU, single-center, USA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vs Ketofol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0.15 vs KP 0.5 + 0.5 mg/kg</w:t>
            </w: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Sux (57%) / Roc (36%)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MAP change at 5 min</w:t>
            </w:r>
          </w:p>
        </w:tc>
        <w:tc>
          <w:tcPr>
            <w:tcW w:type="dxa" w:w="27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Hospital mortality; adrenal insufficiency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Matchett 2022 (EvK)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ICU, single-center, USA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vs 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0.2–0.3 vs K 1–2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Roc (81%) / Sux (18%)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Day 7 survival</w:t>
            </w:r>
          </w:p>
        </w:tc>
        <w:tc>
          <w:tcPr>
            <w:tcW w:type="dxa" w:w="27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28-d mortality; CV collapse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Knack 2023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ED, single-center, USA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vs 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0.3 vs K 2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Sux (92%)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Maximum SOFA</w:t>
            </w: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‡</w:t>
            </w:r>
          </w:p>
        </w:tc>
        <w:tc>
          <w:tcPr>
            <w:tcW w:type="dxa" w:w="27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30-d mortality; hypotension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Srivilaithon 2023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 (sepsis), single-center, Thailand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vs 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0.2–0.3 vs K 1–2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Sux 1.5 mg/kg</w:t>
            </w: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§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28-d survival</w:t>
            </w:r>
          </w:p>
        </w:tc>
        <w:tc>
          <w:tcPr>
            <w:tcW w:type="dxa" w:w="27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Hypotension; vasopressor use 24 h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Casey 2025 (RSI)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2,359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 + ICU, multicenter (14), USA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vs 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0.2–0.3 vs K 1–2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Roc (69%) / Sux (31%)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28-d in-hospital mortality</w:t>
            </w:r>
          </w:p>
        </w:tc>
        <w:tc>
          <w:tcPr>
            <w:tcW w:type="dxa" w:w="27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CV collapse; vasopressor use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Agarwal 2025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 (sepsis), single-center, India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vs 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 0.2–0.3 vs K 1–2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Sux</w:t>
            </w: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§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24-h survival</w:t>
            </w:r>
          </w:p>
        </w:tc>
        <w:tc>
          <w:tcPr>
            <w:tcW w:type="dxa" w:w="27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28-d mortality; vasopressor use 24 h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Schmidt 2025 (PROMINE)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ICU, multicenter (2), Brazil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 vs ESK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 1.5 vs ESK 2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Roc 1.2 mg/kg (98%)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Lowest MAP within 10 min</w:t>
            </w:r>
          </w:p>
        </w:tc>
        <w:tc>
          <w:tcPr>
            <w:tcW w:type="dxa" w:w="27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Hospital mortality; CV collapse</w:t>
            </w:r>
          </w:p>
        </w:tc>
      </w:tr>
    </w:tbl>
    <w:p>
      <w:pPr>
        <w:spacing w:before="100"/>
      </w:pPr>
    </w:p>
    <w:p>
      <w:pPr>
        <w:spacing w:before="20" w:after="20"/>
      </w:pPr>
      <w:r>
        <w:rPr>
          <w:rFonts w:ascii="Arial" w:cs="Arial" w:eastAsia="Arial" w:hAnsi="Arial"/>
          <w:i w:val="false"/>
          <w:iCs w:val="false"/>
          <w:sz w:val="16"/>
          <w:szCs w:val="16"/>
        </w:rPr>
        <w:t xml:space="preserve">N = patients analyzed; E = etomidate; K = ketamine; SK = S-ketamine; ESK = esketamine; P = propofol; KP = ketamine–propofol admixture; Sux = succinylcholine; Roc = rocuronium; CV = cardiovascular; LOS = length of stay; MAP = mean arterial pressure; SOFA = Sequential Organ Failure Assessment.</w:t>
      </w:r>
    </w:p>
    <w:p>
      <w:pPr>
        <w:spacing w:before="20" w:after="20"/>
      </w:pPr>
      <w:r>
        <w:rPr>
          <w:rFonts w:ascii="Arial" w:cs="Arial" w:eastAsia="Arial" w:hAnsi="Arial"/>
          <w:i w:val="false"/>
          <w:iCs w:val="false"/>
          <w:sz w:val="16"/>
          <w:szCs w:val="16"/>
        </w:rPr>
        <w:t xml:space="preserve">*Ketamine arm included midazolam adjunct — flagged for sensitivity analysis.</w:t>
      </w:r>
    </w:p>
    <w:p>
      <w:pPr>
        <w:spacing w:before="20" w:after="20"/>
      </w:pPr>
      <w:r>
        <w:rPr>
          <w:rFonts w:ascii="Arial" w:cs="Arial" w:eastAsia="Arial" w:hAnsi="Arial"/>
          <w:i w:val="false"/>
          <w:iCs w:val="false"/>
          <w:sz w:val="16"/>
          <w:szCs w:val="16"/>
        </w:rPr>
        <w:t xml:space="preserve">†Both drugs at reduced doses; fentanyl 50 µg co-administered.</w:t>
      </w:r>
    </w:p>
    <w:p>
      <w:pPr>
        <w:spacing w:before="20" w:after="20"/>
      </w:pPr>
      <w:r>
        <w:rPr>
          <w:rFonts w:ascii="Arial" w:cs="Arial" w:eastAsia="Arial" w:hAnsi="Arial"/>
          <w:i w:val="false"/>
          <w:iCs w:val="false"/>
          <w:sz w:val="16"/>
          <w:szCs w:val="16"/>
        </w:rPr>
        <w:t xml:space="preserve">‡Primary outcome changed mid-trial from mortality to maximum SOFA.</w:t>
      </w:r>
    </w:p>
    <w:p>
      <w:pPr>
        <w:spacing w:before="20" w:after="20"/>
      </w:pPr>
      <w:r>
        <w:rPr>
          <w:rFonts w:ascii="Arial" w:cs="Arial" w:eastAsia="Arial" w:hAnsi="Arial"/>
          <w:i w:val="false"/>
          <w:iCs w:val="false"/>
          <w:sz w:val="16"/>
          <w:szCs w:val="16"/>
        </w:rPr>
        <w:t xml:space="preserve">§NMBA use differed significantly between groups.</w:t>
      </w:r>
    </w:p>
    <w:p>
      <w:pPr>
        <w:sectPr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2. </w:t>
      </w:r>
      <w:r>
        <w:rPr>
          <w:rFonts w:ascii="Arial" w:cs="Arial" w:eastAsia="Arial" w:hAnsi="Arial"/>
          <w:sz w:val="22"/>
          <w:szCs w:val="22"/>
        </w:rPr>
        <w:t xml:space="preserve">Summary of Network Meta-Analysis Results: Primary and Secondary Outcomes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400"/>
        <w:gridCol w:w="2800"/>
        <w:gridCol w:w="1000"/>
        <w:gridCol w:w="28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 / Comparison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Studies, k (N)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 (95% CI)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I²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Certainty</w:t>
            </w:r>
          </w:p>
        </w:tc>
      </w:tr>
      <w:tr>
        <w:tc>
          <w:tcPr>
            <w:tcW w:type="dxa" w:w="12960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Short-term mortality (primary outcome)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Ketamine vs Etomidate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(4,425)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0.97 (0.81–1.16)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Ketofol vs Etomidate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(152)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0.84 (0.41–1.71)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Propofol vs Etomidate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(—)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Indirect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0.63 (0.32–1.24)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 low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Ketamine vs Propofol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(175)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1.53 (0.80–2.92)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960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Secondary outcomes — Ketamine vs Etomidate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Cardiovascular collapse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(3,331)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1.44 (1.20–1.71)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Post-induction hypotension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(2,951)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1.32 (1.05–1.65)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Vasopressor, peri-intubation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(3,413)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1.45 (1.21–1.74)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Vasopressor, 24 hours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(2,501)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PW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2.13 (0.80–5.70)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93%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 low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First-pass intubation success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(3,798)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0.94 (0.77–1.15)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Peri-intubation cardiac arrest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(4,222)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NMA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1.12 (0.70–1.80)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100"/>
      </w:pPr>
    </w:p>
    <w:p>
      <w:pPr>
        <w:spacing w:before="20" w:after="20"/>
      </w:pPr>
      <w:r>
        <w:rPr>
          <w:rFonts w:ascii="Arial" w:cs="Arial" w:eastAsia="Arial" w:hAnsi="Arial"/>
          <w:sz w:val="16"/>
          <w:szCs w:val="16"/>
        </w:rPr>
        <w:t xml:space="preserve">OR = odds ratio; CI = confidence interval; NMA = network meta-analysis; PW = pairwise meta-analysis. For mortality, I² refers to network-level heterogeneity; for secondary outcomes, I² is comparison-specific. For mortality comparisons, OR &lt; 1 favors the first-named treatment (lower mortality). For secondary outcomes, OR &gt; 1 indicates a higher event rate with ketamine vs etomidate. Certainty of evidence assessed using the CINeMA framework.</w:t>
      </w:r>
    </w:p>
    <w:p>
      <w:pPr>
        <w:spacing w:before="20" w:after="20"/>
      </w:pPr>
      <w:r>
        <w:rPr>
          <w:rFonts w:ascii="Arial" w:cs="Arial" w:eastAsia="Arial" w:hAnsi="Arial"/>
          <w:sz w:val="16"/>
          <w:szCs w:val="16"/>
        </w:rPr>
        <w:t xml:space="preserve">aSubstantial heterogeneity; individual study ORs ranged from 1.15 to 3.86. Result should be interpreted with caution.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2026-02-20T23:00:12.770Z</dcterms:created>
  <dcterms:modified xsi:type="dcterms:W3CDTF">2026-02-20T23:00:12.772Z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