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sz w:val="21"/>
          <w:szCs w:val="21"/>
        </w:rPr>
      </w:pPr>
      <w:r>
        <w:rPr>
          <w:rFonts w:eastAsia="PingFang SC Regular" w:hint="eastAsia"/>
          <w:sz w:val="21"/>
          <w:szCs w:val="21"/>
          <w:rtl w:val="0"/>
          <w:lang w:val="zh-TW" w:eastAsia="zh-TW"/>
        </w:rPr>
        <w:t>激光多普勒远程侦听</w:t>
      </w:r>
    </w:p>
    <w:p>
      <w:pPr>
        <w:pStyle w:val="Normal.0"/>
        <w:rPr>
          <w:sz w:val="21"/>
          <w:szCs w:val="21"/>
        </w:rPr>
      </w:pPr>
      <w:r>
        <w:rPr>
          <w:rFonts w:eastAsia="PingFang SC Regular" w:hint="eastAsia"/>
          <w:sz w:val="21"/>
          <w:szCs w:val="21"/>
          <w:rtl w:val="0"/>
          <w:lang w:val="zh-TW" w:eastAsia="zh-TW"/>
        </w:rPr>
        <w:t>一</w:t>
      </w:r>
      <w:r>
        <w:rPr>
          <w:rFonts w:ascii="PingFang SC Regular" w:hAnsi="PingFang SC Regular"/>
          <w:sz w:val="21"/>
          <w:szCs w:val="21"/>
          <w:rtl w:val="0"/>
          <w:lang w:val="en-US"/>
        </w:rPr>
        <w:t>.</w:t>
      </w:r>
      <w:r>
        <w:rPr>
          <w:rFonts w:eastAsia="PingFang SC Regular" w:hint="eastAsia"/>
          <w:sz w:val="21"/>
          <w:szCs w:val="21"/>
          <w:rtl w:val="0"/>
          <w:lang w:val="zh-TW" w:eastAsia="zh-TW"/>
        </w:rPr>
        <w:t>实验背景</w:t>
      </w:r>
    </w:p>
    <w:p>
      <w:pPr>
        <w:pStyle w:val="Normal.0"/>
        <w:rPr>
          <w:sz w:val="21"/>
          <w:szCs w:val="21"/>
        </w:rPr>
      </w:pPr>
      <w:r>
        <w:rPr>
          <w:rFonts w:ascii="PingFang SC Regular" w:hAnsi="PingFang SC Regular"/>
          <w:sz w:val="21"/>
          <w:szCs w:val="21"/>
          <w:rtl w:val="0"/>
          <w:lang w:val="zh-TW" w:eastAsia="zh-TW"/>
        </w:rPr>
        <w:t>1</w:t>
      </w:r>
      <w:r>
        <w:rPr>
          <w:rFonts w:ascii="PingFang SC Regular" w:hAnsi="PingFang SC Regular"/>
          <w:sz w:val="21"/>
          <w:szCs w:val="21"/>
          <w:rtl w:val="0"/>
          <w:lang w:val="en-US"/>
        </w:rPr>
        <w:t>.</w:t>
      </w:r>
      <w:r>
        <w:rPr>
          <w:rFonts w:eastAsia="PingFang SC Regular" w:hint="eastAsia"/>
          <w:sz w:val="21"/>
          <w:szCs w:val="21"/>
          <w:rtl w:val="0"/>
          <w:lang w:val="zh-TW" w:eastAsia="zh-TW"/>
        </w:rPr>
        <w:t>振动是存在于自然界和人类社会的一种常见物理现象，也是物质的固有属性和存在方式。只有精确检测出振动，才能掌握振动相关信息，最大程度地利用振动，减少其负面影响。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  <w:rtl w:val="0"/>
          <w:lang w:val="en-US"/>
        </w:rPr>
        <w:t>2.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检测振动的方法：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（</w:t>
      </w:r>
      <w:r>
        <w:rPr>
          <w:sz w:val="21"/>
          <w:szCs w:val="21"/>
          <w:shd w:val="clear" w:color="auto" w:fill="ffffff"/>
          <w:rtl w:val="0"/>
          <w:lang w:val="zh-TW" w:eastAsia="zh-TW"/>
        </w:rPr>
        <w:t>1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）接触式测量：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机械测量：利用杠杆原理将振动信号放大并记录，缺点：测试精度低，且对环境要求高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电学测量法：将传感器与被测物紧密贴合获取物体振动信息，缺点：需要与被测物贴合，同时容易受到电磁干扰。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（</w:t>
      </w:r>
      <w:r>
        <w:rPr>
          <w:sz w:val="21"/>
          <w:szCs w:val="21"/>
          <w:shd w:val="clear" w:color="auto" w:fill="ffffff"/>
          <w:rtl w:val="0"/>
          <w:lang w:val="zh-TW" w:eastAsia="zh-TW"/>
        </w:rPr>
        <w:t>2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）非接触式测量：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光学测量法：可以实现非接触式测量，精度高，无侵入性，抗电磁干扰，耐高温高压。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大多数光学测量法无法有效测量远距离</w:t>
      </w:r>
      <w:r>
        <w:rPr>
          <w:sz w:val="21"/>
          <w:szCs w:val="21"/>
          <w:shd w:val="clear" w:color="auto" w:fill="ffffff"/>
          <w:rtl w:val="0"/>
          <w:lang w:val="zh-TW" w:eastAsia="zh-TW"/>
        </w:rPr>
        <w:t>/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非合作目标，而激光回馈法可提供增益，光路自准直，适合远距离测振。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sz w:val="21"/>
          <w:szCs w:val="21"/>
          <w:shd w:val="clear" w:color="auto" w:fill="ffffff"/>
          <w:rtl w:val="0"/>
          <w:lang w:val="zh-TW" w:eastAsia="zh-TW"/>
        </w:rPr>
        <w:t>3.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激光多普勒测量法（本实验所用的方法）：将物体振动引起的多普勒频移加载到激光上，经过光的干涉后解调还原物体的振动信息。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二</w:t>
      </w:r>
      <w:r>
        <w:rPr>
          <w:sz w:val="21"/>
          <w:szCs w:val="21"/>
          <w:shd w:val="clear" w:color="auto" w:fill="ffffff"/>
          <w:rtl w:val="0"/>
          <w:lang w:val="en-US"/>
        </w:rPr>
        <w:t>.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实验原理及过程：</w:t>
      </w:r>
    </w:p>
    <w:p>
      <w:pPr>
        <w:pStyle w:val="默认 A"/>
        <w:spacing w:before="0" w:line="240" w:lineRule="auto"/>
        <w:rPr>
          <w:rFonts w:ascii="Arial Unicode MS" w:cs="Arial Unicode MS" w:hAnsi="Arial Unicode MS" w:eastAsia="Arial Unicode MS"/>
          <w:sz w:val="21"/>
          <w:szCs w:val="21"/>
          <w:shd w:val="clear" w:color="auto" w:fill="ffffff"/>
          <w:lang w:val="zh-TW" w:eastAsia="zh-TW"/>
        </w:rPr>
      </w:pPr>
      <w:r>
        <w:rPr>
          <w:sz w:val="21"/>
          <w:szCs w:val="21"/>
          <w:shd w:val="clear" w:color="auto" w:fill="ffffff"/>
          <w:rtl w:val="0"/>
          <w:lang w:val="zh-TW" w:eastAsia="zh-TW"/>
        </w:rPr>
        <w:t>1.</w:t>
      </w:r>
      <w:r>
        <w:rPr>
          <w:rFonts w:eastAsia="SimSun" w:hint="eastAsia"/>
          <w:sz w:val="21"/>
          <w:szCs w:val="21"/>
          <w:shd w:val="clear" w:color="auto" w:fill="ffffff"/>
          <w:rtl w:val="0"/>
          <w:lang w:val="zh-TW" w:eastAsia="zh-TW"/>
        </w:rPr>
        <w:t>光路图</w:t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  <w:rtl w:val="0"/>
          <w:lang w:val="zh-TW" w:eastAsia="zh-TW"/>
        </w:rPr>
        <w:t>1.</w:t>
      </w: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光路图</w:t>
      </w:r>
      <w:r>
        <w:rPr>
          <w:sz w:val="21"/>
          <w:szCs w:val="21"/>
          <w:shd w:val="clear" w:color="auto" w:fill="ffffff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650940</wp:posOffset>
            </wp:positionH>
            <wp:positionV relativeFrom="line">
              <wp:posOffset>174741</wp:posOffset>
            </wp:positionV>
            <wp:extent cx="3122829" cy="2438732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25" name="officeArt object" descr="已粘贴的图像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已粘贴的图像.tiff" descr="已粘贴的图像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829" cy="2438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  <w:szCs w:val="21"/>
          <w:shd w:val="clear" w:color="auto" w:fill="ffffff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4013602</wp:posOffset>
            </wp:positionH>
            <wp:positionV relativeFrom="line">
              <wp:posOffset>166623</wp:posOffset>
            </wp:positionV>
            <wp:extent cx="2820137" cy="21151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0b4de140c0f4dd34d0e5d549b58b79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0b4de140c0f4dd34d0e5d549b58b7977.jpg" descr="0b4de140c0f4dd34d0e5d549b58b7977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137" cy="21151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</w:rPr>
      </w:pPr>
    </w:p>
    <w:p>
      <w:pPr>
        <w:pStyle w:val="默认 A"/>
        <w:spacing w:before="0" w:line="240" w:lineRule="auto"/>
        <w:rPr>
          <w:sz w:val="21"/>
          <w:szCs w:val="21"/>
          <w:shd w:val="clear" w:color="auto" w:fill="ffffff"/>
          <w:lang w:val="zh-TW" w:eastAsia="zh-TW"/>
        </w:rPr>
      </w:pPr>
      <w:r>
        <w:rPr>
          <w:rFonts w:eastAsia="PingFang SC Regular" w:hint="eastAsia"/>
          <w:sz w:val="21"/>
          <w:szCs w:val="21"/>
          <w:shd w:val="clear" w:color="auto" w:fill="ffffff"/>
          <w:rtl w:val="0"/>
          <w:lang w:val="zh-TW" w:eastAsia="zh-TW"/>
        </w:rPr>
        <w:t>在实际搭建时，由于桌子大小的问题，我们利用反射镜将到达目标物体之前的光路了折射两次。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2.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测量原理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当激光照射到外部物体时，一小部分散射光会返回激光谐振腔，与腔内光场发生干涉，引起激光器输出功率的微小波动。该波动对目标位移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D</m:t>
        </m:r>
      </m:oMath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极为敏感，每移动半个光波长（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λ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2</m:t>
        </m:r>
      </m:oMath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）即产生一个完整的功率波动周期。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这种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“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自混合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”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效应使激光器本身成为高灵敏的干涉仪，从激光器内置的光电探测器（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PD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）即可直接提取干涉信号，无需外部探测器。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en-US"/>
        </w:rPr>
        <w:t>简单的零差自混合干涉存在三大问题：</w:t>
      </w:r>
    </w:p>
    <w:p>
      <w:pPr>
        <w:pStyle w:val="默认 A"/>
        <w:numPr>
          <w:ilvl w:val="0"/>
          <w:numId w:val="2"/>
        </w:numPr>
        <w:rPr>
          <w:rFonts w:eastAsia="PingFang SC Medium" w:hint="eastAsia"/>
          <w:lang w:val="en-US"/>
        </w:rPr>
      </w:pPr>
      <w:r>
        <w:rPr>
          <w:rFonts w:eastAsia="PingFang SC Medium" w:hint="eastAsia"/>
          <w:u w:color="f9fafb"/>
          <w:rtl w:val="0"/>
          <w:lang w:val="en-US"/>
        </w:rPr>
        <w:t>低频噪声干扰：环境温度漂移和平台振动导致信号严重不稳定。</w:t>
      </w:r>
    </w:p>
    <w:p>
      <w:pPr>
        <w:pStyle w:val="默认 A"/>
        <w:numPr>
          <w:ilvl w:val="0"/>
          <w:numId w:val="2"/>
        </w:numPr>
        <w:rPr>
          <w:rFonts w:eastAsia="PingFang SC Medium" w:hint="eastAsia"/>
          <w:lang w:val="en-US"/>
        </w:rPr>
      </w:pPr>
      <w:r>
        <w:rPr>
          <w:rFonts w:eastAsia="PingFang SC Medium" w:hint="eastAsia"/>
          <w:u w:color="f9fafb"/>
          <w:rtl w:val="0"/>
          <w:lang w:val="en-US"/>
        </w:rPr>
        <w:t>方向模糊：无法区分目标朝向激光器还是远离激光器运动。</w:t>
      </w:r>
    </w:p>
    <w:p>
      <w:pPr>
        <w:pStyle w:val="默认 A"/>
        <w:numPr>
          <w:ilvl w:val="0"/>
          <w:numId w:val="2"/>
        </w:numPr>
        <w:rPr>
          <w:rFonts w:eastAsia="PingFang SC Medium" w:hint="eastAsia"/>
          <w:lang w:val="en-US"/>
        </w:rPr>
      </w:pPr>
      <w:r>
        <w:rPr>
          <w:rFonts w:eastAsia="PingFang SC Medium" w:hint="eastAsia"/>
          <w:u w:color="f9fafb"/>
          <w:rtl w:val="0"/>
          <w:lang w:val="en-US"/>
        </w:rPr>
        <w:t>灵敏度衰落：当静止工作点位于功率波动曲线的极值附近时，对微小振动的灵敏度极低。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为解决上述问题，本系统在回馈光路中插入声光移频器（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AOM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）。光束两次经过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AOM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后，回馈光的频率被整体搬移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c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2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M</m:t>
            </m:r>
          </m:sub>
        </m:sSub>
      </m:oMath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，在干涉信号上叠加了一个稳定的高频载波。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目标在声音驱动下产生振动位移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)</m:t>
        </m:r>
      </m:oMath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，此时激光器内置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PD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输出的电压信号可表示为：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c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o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⁡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begChr m:val="["/>
              <m:endChr m:val="]"/>
            </m:dPr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π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c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4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π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λ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ϕ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en-US"/>
        </w:rPr>
        <w:t>其中：</w:t>
      </w:r>
    </w:p>
    <w:p>
      <w:pPr>
        <w:pStyle w:val="默认 A"/>
        <w:numPr>
          <w:ilvl w:val="0"/>
          <w:numId w:val="4"/>
        </w:numPr>
        <w:rPr>
          <w:rFonts w:ascii="PingFang SC Medium" w:cs="PingFang SC Medium" w:hAnsi="PingFang SC Medium" w:eastAsia="PingFang SC Medium"/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c</m:t>
            </m:r>
          </m:sub>
        </m:sSub>
      </m:oMath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w:r>
        <w:rPr>
          <w:rFonts w:eastAsia="PingFang SC Medium" w:hint="eastAsia"/>
          <w:u w:color="f9fafb"/>
          <w:rtl w:val="0"/>
          <w:lang w:val="zh-TW" w:eastAsia="zh-TW"/>
        </w:rPr>
        <w:t>为</w:t>
      </w:r>
      <w:r>
        <w:rPr>
          <w:rFonts w:ascii="PingFang SC Medium" w:hAnsi="PingFang SC Medium"/>
          <w:u w:color="f9fafb"/>
          <w:rtl w:val="0"/>
          <w:lang w:val="en-US"/>
        </w:rPr>
        <w:t>AOM</w:t>
      </w:r>
      <w:r>
        <w:rPr>
          <w:rFonts w:eastAsia="PingFang SC Medium" w:hint="eastAsia"/>
          <w:u w:color="f9fafb"/>
          <w:rtl w:val="0"/>
          <w:lang w:val="zh-TW" w:eastAsia="zh-TW"/>
        </w:rPr>
        <w:t>引入的固定载波频率（例如</w:t>
      </w:r>
      <w:r>
        <w:rPr>
          <w:rFonts w:ascii="PingFang SC Medium" w:hAnsi="PingFang SC Medium"/>
          <w:u w:color="f9fafb"/>
          <w:rtl w:val="0"/>
          <w:lang w:val="en-US"/>
        </w:rPr>
        <w:t>2 MHz</w:t>
      </w:r>
      <w:r>
        <w:rPr>
          <w:rFonts w:eastAsia="PingFang SC Medium" w:hint="eastAsia"/>
          <w:u w:color="f9fafb"/>
          <w:rtl w:val="0"/>
          <w:lang w:val="zh-TW" w:eastAsia="zh-TW"/>
        </w:rPr>
        <w:t>）。</w:t>
      </w:r>
    </w:p>
    <w:p>
      <w:pPr>
        <w:pStyle w:val="默认 A"/>
        <w:numPr>
          <w:ilvl w:val="0"/>
          <w:numId w:val="4"/>
        </w:numPr>
        <w:rPr>
          <w:rFonts w:ascii="PingFang SC Medium" w:cs="PingFang SC Medium" w:hAnsi="PingFang SC Medium" w:eastAsia="PingFang SC Medium"/>
          <w:color w:val="000000"/>
          <w:sz w:val="24"/>
        </w:rPr>
      </w:pP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π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λ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)</m:t>
        </m:r>
      </m:oMath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w:r>
        <w:rPr>
          <w:rFonts w:eastAsia="PingFang SC Medium" w:hint="eastAsia"/>
          <w:u w:color="f9fafb"/>
          <w:rtl w:val="0"/>
          <w:lang w:val="zh-TW" w:eastAsia="zh-TW"/>
        </w:rPr>
        <w:t>是目标振动引起的相位调制项。</w:t>
      </w:r>
    </w:p>
    <w:p>
      <w:pPr>
        <w:pStyle w:val="默认 A"/>
        <w:numPr>
          <w:ilvl w:val="0"/>
          <w:numId w:val="4"/>
        </w:numPr>
        <w:rPr>
          <w:rFonts w:ascii="PingFang SC Medium" w:cs="PingFang SC Medium" w:hAnsi="PingFang SC Medium" w:eastAsia="PingFang SC Medium"/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ϕ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0</m:t>
            </m:r>
          </m:sub>
        </m:sSub>
      </m:oMath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w:r>
        <w:rPr>
          <w:rFonts w:eastAsia="PingFang SC Medium" w:hint="eastAsia"/>
          <w:u w:color="f9fafb"/>
          <w:rtl w:val="0"/>
          <w:lang w:val="zh-TW" w:eastAsia="zh-TW"/>
        </w:rPr>
        <w:t>为初始相位常数。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en-US"/>
        </w:rPr>
        <w:t>可见，声音引起的目标位移信息完全编码在该高频载波的瞬时频率（或相位）之中。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3.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数据处理与声音还原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数据处理的核心是调频（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FM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）解调，锁相放大器在此过程中承担关键角色。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1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）信号获取与前置处理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激光器内置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PD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输出的高频信号经隔直电容和低噪声放大器后，送入锁相放大器的信号输入端。同时，声光移频器驱动器提供的参考频率信号（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1"/>
                <w:szCs w:val="21"/>
              </w:rPr>
              <m:t>c</m:t>
            </m:r>
          </m:sub>
        </m:sSub>
      </m:oMath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或与之锁定的信号）接入锁相放大器的参考输入端。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2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）锁相放大器解调流程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本实验利用锁相放大器进行正交（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IQ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）解调，具体步骤如下：</w:t>
      </w:r>
    </w:p>
    <w:p>
      <w:pPr>
        <w:pStyle w:val="默认 A"/>
        <w:numPr>
          <w:ilvl w:val="0"/>
          <w:numId w:val="6"/>
        </w:numPr>
        <w:rPr>
          <w:rFonts w:eastAsia="PingFang SC Medium" w:hint="eastAsia"/>
          <w:color w:val="000000"/>
          <w:sz w:val="24"/>
          <w:lang w:val="zh-TW" w:eastAsia="zh-TW"/>
        </w:rPr>
      </w:pPr>
      <w:r>
        <w:rPr>
          <w:rFonts w:eastAsia="PingFang SC Medium" w:hint="eastAsia"/>
          <w:u w:color="f9fafb"/>
          <w:rtl w:val="0"/>
          <w:lang w:val="zh-TW" w:eastAsia="zh-TW"/>
        </w:rPr>
        <w:t>正交混频与低通滤波</w:t>
      </w:r>
      <w:r>
        <w:rPr>
          <w:rFonts w:ascii="PingFang SC Medium" w:cs="PingFang SC Medium" w:hAnsi="PingFang SC Medium" w:eastAsia="PingFang SC Medium"/>
          <w:u w:color="f9fafb"/>
        </w:rPr>
        <w:br w:type="textWrapping"/>
      </w:r>
      <w:r>
        <w:rPr>
          <w:rFonts w:eastAsia="PingFang SC Medium" w:hint="eastAsia"/>
          <w:u w:color="f9fafb"/>
          <w:rtl w:val="0"/>
          <w:lang w:val="zh-TW" w:eastAsia="zh-TW"/>
        </w:rPr>
        <w:t>锁相放大器内部将输入信号分别与参考信号</w:t>
      </w:r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m:oMath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c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o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⁡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π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c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)</m:t>
        </m:r>
      </m:oMath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w:r>
        <w:rPr>
          <w:rFonts w:eastAsia="PingFang SC Medium" w:hint="eastAsia"/>
          <w:u w:color="f9fafb"/>
          <w:rtl w:val="0"/>
          <w:lang w:val="zh-TW" w:eastAsia="zh-TW"/>
        </w:rPr>
        <w:t>和</w:t>
      </w:r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m:oMath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s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i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⁡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π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c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)</m:t>
        </m:r>
      </m:oMath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w:r>
        <w:rPr>
          <w:rFonts w:eastAsia="PingFang SC Medium" w:hint="eastAsia"/>
          <w:u w:color="f9fafb"/>
          <w:rtl w:val="0"/>
          <w:lang w:val="zh-TW" w:eastAsia="zh-TW"/>
        </w:rPr>
        <w:t>相乘，并经低通滤波器，得到两路正交分量：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∝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c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o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⁡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begChr m:val="["/>
              <m:endChr m:val="]"/>
            </m:dPr>
            <m:e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4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π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λ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)</m:t>
              </m:r>
            </m:e>
          </m:d>
        </m:oMath>
      </m:oMathPara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∝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s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i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⁡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begChr m:val="["/>
              <m:endChr m:val="]"/>
            </m:dPr>
            <m:e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4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π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λ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)</m:t>
              </m:r>
            </m:e>
          </m:d>
        </m:oMath>
      </m:oMathPara>
    </w:p>
    <w:p>
      <w:pPr>
        <w:pStyle w:val="默认 A"/>
        <w:numPr>
          <w:ilvl w:val="0"/>
          <w:numId w:val="6"/>
        </w:numPr>
        <w:rPr>
          <w:rFonts w:eastAsia="PingFang SC Medium" w:hint="eastAsia"/>
          <w:lang w:val="zh-TW" w:eastAsia="zh-TW"/>
        </w:rPr>
      </w:pPr>
      <w:r>
        <w:rPr>
          <w:rFonts w:eastAsia="PingFang SC Medium" w:hint="eastAsia"/>
          <w:u w:color="f9fafb"/>
          <w:rtl w:val="0"/>
          <w:lang w:val="zh-TW" w:eastAsia="zh-TW"/>
        </w:rPr>
        <w:t>相位提取</w:t>
      </w:r>
      <w:r>
        <w:rPr>
          <w:rFonts w:ascii="PingFang SC Medium" w:cs="PingFang SC Medium" w:hAnsi="PingFang SC Medium" w:eastAsia="PingFang SC Medium"/>
          <w:u w:color="f9fafb"/>
        </w:rPr>
        <w:br w:type="textWrapping"/>
      </w:r>
      <w:r>
        <w:rPr>
          <w:rFonts w:eastAsia="PingFang SC Medium" w:hint="eastAsia"/>
          <w:u w:color="f9fafb"/>
          <w:rtl w:val="0"/>
          <w:lang w:val="zh-TW" w:eastAsia="zh-TW"/>
        </w:rPr>
        <w:t>通过反正切运算求得包裹相位：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m:oMathPara>
        <m:oMathParaPr>
          <m:jc m:val="left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ϕ</m:t>
              </m:r>
            </m:e>
            <m:sub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wrapped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a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r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c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a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⁡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begChr m:val="["/>
              <m:endChr m:val="]"/>
            </m:dPr>
            <m:e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Q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  <m:t>)</m:t>
                  </m:r>
                </m:den>
              </m:f>
            </m:e>
          </m:d>
        </m:oMath>
      </m:oMathPara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该相位被限制在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π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π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]</m:t>
        </m:r>
      </m:oMath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之间。</w:t>
      </w:r>
    </w:p>
    <w:p>
      <w:pPr>
        <w:pStyle w:val="默认 A"/>
        <w:numPr>
          <w:ilvl w:val="0"/>
          <w:numId w:val="6"/>
        </w:numPr>
        <w:rPr>
          <w:rFonts w:eastAsia="PingFang SC Medium" w:hint="eastAsia"/>
          <w:color w:val="000000"/>
          <w:sz w:val="24"/>
          <w:lang w:val="zh-TW" w:eastAsia="zh-TW"/>
        </w:rPr>
      </w:pPr>
      <w:r>
        <w:rPr>
          <w:rFonts w:eastAsia="PingFang SC Medium" w:hint="eastAsia"/>
          <w:u w:color="f9fafb"/>
          <w:rtl w:val="0"/>
          <w:lang w:val="zh-TW" w:eastAsia="zh-TW"/>
        </w:rPr>
        <w:t>相位解包裹</w:t>
      </w:r>
      <w:r>
        <w:rPr>
          <w:rFonts w:ascii="PingFang SC Medium" w:cs="PingFang SC Medium" w:hAnsi="PingFang SC Medium" w:eastAsia="PingFang SC Medium"/>
          <w:u w:color="f9fafb"/>
        </w:rPr>
        <w:br w:type="textWrapping"/>
      </w:r>
      <w:r>
        <w:rPr>
          <w:rFonts w:eastAsia="PingFang SC Medium" w:hint="eastAsia"/>
          <w:u w:color="f9fafb"/>
          <w:rtl w:val="0"/>
          <w:lang w:val="zh-TW" w:eastAsia="zh-TW"/>
        </w:rPr>
        <w:t>采用软件算法（如基于梯度跳变检测的解包裹函数）消除相位跳变，获得连续的绝对相位</w:t>
      </w:r>
      <w:r>
        <w:rPr>
          <w:rFonts w:ascii="PingFang SC Medium" w:hAnsi="PingFang SC Medium" w:hint="default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ϕ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)</m:t>
        </m:r>
      </m:oMath>
      <w:r>
        <w:rPr>
          <w:rFonts w:eastAsia="PingFang SC Medium" w:hint="eastAsia"/>
          <w:u w:color="f9fafb"/>
          <w:rtl w:val="0"/>
          <w:lang w:val="zh-TW" w:eastAsia="zh-TW"/>
        </w:rPr>
        <w:t>。</w:t>
      </w:r>
    </w:p>
    <w:p>
      <w:pPr>
        <w:pStyle w:val="默认 A"/>
        <w:numPr>
          <w:ilvl w:val="0"/>
          <w:numId w:val="6"/>
        </w:numPr>
        <w:rPr>
          <w:rFonts w:eastAsia="PingFang SC Medium" w:hint="eastAsia"/>
          <w:lang w:val="zh-TW" w:eastAsia="zh-TW"/>
        </w:rPr>
      </w:pPr>
      <w:r>
        <w:rPr>
          <w:rFonts w:eastAsia="PingFang SC Medium" w:hint="eastAsia"/>
          <w:u w:color="f9fafb"/>
          <w:rtl w:val="0"/>
          <w:lang w:val="zh-TW" w:eastAsia="zh-TW"/>
        </w:rPr>
        <w:t>速度解调</w:t>
      </w:r>
      <w:r>
        <w:rPr>
          <w:rFonts w:ascii="PingFang SC Medium" w:cs="PingFang SC Medium" w:hAnsi="PingFang SC Medium" w:eastAsia="PingFang SC Medium"/>
          <w:u w:color="f9fafb"/>
        </w:rPr>
        <w:br w:type="textWrapping"/>
      </w:r>
      <w:r>
        <w:rPr>
          <w:rFonts w:eastAsia="PingFang SC Medium" w:hint="eastAsia"/>
          <w:u w:color="f9fafb"/>
          <w:rtl w:val="0"/>
          <w:lang w:val="zh-TW" w:eastAsia="zh-TW"/>
        </w:rPr>
        <w:t>对解包裹后的相位进行时间微分，即可得到目标的瞬时振动速度：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fffff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λ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π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1"/>
              <w:szCs w:val="21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ϕ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1"/>
                  <w:szCs w:val="21"/>
                </w:rPr>
                <m:t>t</m:t>
              </m:r>
            </m:den>
          </m:f>
        </m:oMath>
      </m:oMathPara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en-US"/>
        </w:rPr>
        <w:t>该速度波形与引起目标振动的声波速度成正比，包含了完整的声音信息。</w:t>
      </w:r>
    </w:p>
    <w:p>
      <w:pPr>
        <w:pStyle w:val="默认 A"/>
        <w:rPr>
          <w:rFonts w:ascii="PingFang SC Medium" w:cs="PingFang SC Medium" w:hAnsi="PingFang SC Medium" w:eastAsia="PingFang SC Medium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（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3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）音频信号还原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f9fafb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将速度信号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)</m:t>
        </m:r>
      </m:oMath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经过带通滤波器（通常设定通带为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 xml:space="preserve"> 300 Hz 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 xml:space="preserve">– </w:t>
      </w:r>
      <w:r>
        <w:rPr>
          <w:rFonts w:ascii="PingFang SC Medium" w:hAnsi="PingFang SC Medium"/>
          <w:sz w:val="21"/>
          <w:szCs w:val="21"/>
          <w:u w:color="f9fafb"/>
          <w:rtl w:val="0"/>
          <w:lang w:val="en-US"/>
        </w:rPr>
        <w:t>3.4 kHz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，覆盖语音主要频段），滤除低频环境漂移和高频噪声。滤波后的信号送入音频功率放大器驱动耳机或音箱，即可实时收听远处目标处的声音。</w:t>
      </w:r>
    </w:p>
    <w:p>
      <w:pPr>
        <w:pStyle w:val="默认 A"/>
        <w:rPr>
          <w:rFonts w:ascii="PingFang SC Medium" w:cs="PingFang SC Medium" w:hAnsi="PingFang SC Medium" w:eastAsia="PingFang SC Medium"/>
          <w:color w:val="000000"/>
          <w:sz w:val="21"/>
          <w:szCs w:val="21"/>
          <w:u w:color="ee0000"/>
        </w:rPr>
      </w:pP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此外，也可用数据采集卡记录</w:t>
      </w:r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1"/>
            <w:szCs w:val="21"/>
          </w:rPr>
          <m:t>)</m:t>
        </m:r>
      </m:oMath>
      <w:r>
        <w:rPr>
          <w:rFonts w:ascii="PingFang SC Medium" w:hAnsi="PingFang SC Medium" w:hint="default"/>
          <w:sz w:val="21"/>
          <w:szCs w:val="21"/>
          <w:u w:color="f9fafb"/>
          <w:rtl w:val="0"/>
          <w:lang w:val="en-US"/>
        </w:rPr>
        <w:t> </w:t>
      </w:r>
      <w:r>
        <w:rPr>
          <w:rFonts w:eastAsia="PingFang SC Medium" w:hint="eastAsia"/>
          <w:sz w:val="21"/>
          <w:szCs w:val="21"/>
          <w:u w:color="f9fafb"/>
          <w:rtl w:val="0"/>
          <w:lang w:val="zh-TW" w:eastAsia="zh-TW"/>
        </w:rPr>
        <w:t>数据，通过计算机进行进一步的频谱分析和声源辨识。</w:t>
      </w:r>
    </w:p>
    <w:p>
      <w:pPr>
        <w:pStyle w:val="默认 A"/>
      </w:pPr>
      <w:r>
        <w:rPr>
          <w:rFonts w:ascii="PingFang SC Medium" w:cs="PingFang SC Medium" w:hAnsi="PingFang SC Medium" w:eastAsia="PingFang SC Medium"/>
          <w:lang w:val="zh-TW" w:eastAsia="zh-TW"/>
        </w:rPr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un">
    <w:charset w:val="00"/>
    <w:family w:val="roman"/>
    <w:pitch w:val="default"/>
  </w:font>
  <w:font w:name="PingFang SC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77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9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1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3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5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7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3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bullet"/>
      <w:suff w:val="tab"/>
      <w:lvlText w:val="·"/>
      <w:lvlJc w:val="left"/>
      <w:pPr>
        <w:ind w:left="771" w:hanging="41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9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1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3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5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7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9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1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3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</w:abstractNum>
  <w:abstractNum w:abstractNumId="4">
    <w:multiLevelType w:val="hybridMultilevel"/>
    <w:numStyleLink w:val="已导入的样式“3”"/>
  </w:abstractNum>
  <w:abstractNum w:abstractNumId="5">
    <w:multiLevelType w:val="hybridMultilevel"/>
    <w:styleLink w:val="已导入的样式“3”"/>
    <w:lvl w:ilvl="0">
      <w:start w:val="1"/>
      <w:numFmt w:val="decimal"/>
      <w:suff w:val="tab"/>
      <w:lvlText w:val="%1."/>
      <w:lvlJc w:val="left"/>
      <w:pPr>
        <w:ind w:left="77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9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1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3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5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7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3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默认 A">
    <w:name w:val="默认 A"/>
    <w:next w:val="默认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numbering" w:styleId="已导入的样式“2”">
    <w:name w:val="已导入的样式“2”"/>
    <w:pPr>
      <w:numPr>
        <w:numId w:val="3"/>
      </w:numPr>
    </w:pPr>
  </w:style>
  <w:style w:type="numbering" w:styleId="已导入的样式“3”">
    <w:name w:val="已导入的样式“3”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