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Note"/>
        <w:framePr w:w="9358" w:hRule="auto" w:hSpace="0" w:wrap="around" w:vAnchor="margin" w:hAnchor="margin" w:xAlign="left" w:yAlign="bottom"/>
      </w:pPr>
      <w:r>
        <w:rPr>
          <w:b/>
        </w:rPr>
        <w:t xml:space="preserve">免責事項</w:t>
      </w:r>
    </w:p>
    <w:p>
      <w:pPr>
        <w:pStyle w:val="CoverNote"/>
        <w:framePr w:w="9358" w:hRule="auto" w:hSpace="0" w:wrap="around" w:vAnchor="margin" w:hAnchor="margin" w:xAlign="left" w:yAlign="bottom"/>
        <w:spacing w:before="60" w:after="0" w:line="260" w:lineRule="exact"/>
      </w:pPr>
      <w:r>
        <w:t xml:space="preserve">本書は組版パイプラインの動作確認用サンプルであり、数値・社名はすべて架空である。</w:t>
      </w:r>
    </w:p>
    <w:p>
      <w:pPr>
        <w:pStyle w:val="CoverNote"/>
        <w:framePr w:w="9358" w:hRule="auto" w:hSpace="0" w:wrap="around" w:vAnchor="margin" w:hAnchor="margin" w:xAlign="left" w:yAlign="bottom"/>
        <w:spacing w:before="60" w:after="0" w:line="260" w:lineRule="exact"/>
      </w:pPr>
      <w:r>
        <w:t xml:space="preserve">実在の企業の評価や投資勧誘を目的とするものではなく、投資判断の根拠として利用してはならない。</w:t>
      </w:r>
    </w:p>
    <w:p>
      <w:pPr>
        <w:pStyle w:val="CoverNote"/>
        <w:framePr w:w="9358" w:hRule="auto" w:hSpace="0" w:wrap="around" w:vAnchor="margin" w:hAnchor="margin" w:xAlign="left" w:yAlign="bottom"/>
        <w:spacing w:before="60" w:after="0" w:line="260" w:lineRule="exact"/>
      </w:pPr>
      <w:r>
        <w:t xml:space="preserve">本文中の将来予想は仮定に基づくものであり、実際の結果と異なる可能性がある。</w:t>
      </w:r>
    </w:p>
    <w:p>
      <w:pPr>
        <w:pStyle w:val="Normal"/>
        <w:pBdr>
          <w:bottom w:val="single" w:sz="48" w:space="1" w:color="1F3864"/>
        </w:pBdr>
        <w:spacing w:before="2000" w:after="0" w:line="80" w:lineRule="exact"/>
      </w:pPr>
    </w:p>
    <w:p>
      <w:pPr>
        <w:pStyle w:val="Title"/>
        <w:spacing w:before="520" w:after="120" w:line="800" w:lineRule="exact"/>
      </w:pPr>
      <w:r>
        <w:t xml:space="preserve">組版テスト用レポート</w:t>
      </w:r>
    </w:p>
    <w:p>
      <w:pPr>
        <w:pStyle w:val="Title"/>
      </w:pPr>
      <w:r>
        <w:t xml:space="preserve">(サイバーセキュリティ銘柄分析)</w:t>
      </w:r>
    </w:p>
    <w:p>
      <w:pPr>
        <w:pStyle w:val="Subtitle"/>
      </w:pPr>
      <w:r>
        <w:t xml:space="preserve">日本語 Markdown から Word への組版パイプライン検証</w:t>
      </w:r>
    </w:p>
    <w:p>
      <w:pPr>
        <w:pStyle w:val="Normal"/>
        <w:pBdr>
          <w:bottom w:val="single" w:sz="6" w:space="1" w:color="A6A6A6"/>
        </w:pBdr>
        <w:spacing w:before="200" w:after="240" w:line="40" w:lineRule="exact"/>
      </w:pPr>
    </w:p>
    <w:p>
      <w:pPr>
        <w:pStyle w:val="CoverMeta"/>
      </w:pPr>
      <w:r>
        <w:t xml:space="preserve">作成日: 2026年10月11日</w:t>
      </w:r>
    </w:p>
    <w:p>
      <w:pPr>
        <w:pStyle w:val="TOCHeading"/>
        <w:pageBreakBefore/>
      </w:pPr>
      <w:r>
        <w:t xml:space="preserve">目次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0000000" w:history="1">
        <w:r>
          <w:t xml:space="preserve">第I部 サンプル分析メモ</w:t>
        </w:r>
        <w:r>
          <w:tab/>
        </w:r>
        <w:r>
          <w:fldChar w:fldCharType="begin"/>
        </w:r>
        <w:r>
          <w:instrText xml:space="preserve"> PAGEREF _Toc90000000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2"/>
      </w:pPr>
      <w:hyperlink w:anchor="_Toc90000001" w:history="1">
        <w:r>
          <w:t xml:space="preserve">組版テスト: サンプル株式会社 分析メモ</w:t>
        </w:r>
        <w:r>
          <w:tab/>
        </w:r>
        <w:r>
          <w:fldChar w:fldCharType="begin"/>
        </w:r>
        <w:r>
          <w:instrText xml:space="preserve"> PAGEREF _Toc90000001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3"/>
      </w:pPr>
      <w:hyperlink w:anchor="_Toc90000002" w:history="1">
        <w:r>
          <w:t xml:space="preserve">1. 要旨</w:t>
        </w:r>
        <w:r>
          <w:tab/>
        </w:r>
        <w:r>
          <w:fldChar w:fldCharType="begin"/>
        </w:r>
        <w:r>
          <w:instrText xml:space="preserve"> PAGEREF _Toc90000002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3"/>
      </w:pPr>
      <w:hyperlink w:anchor="_Toc90000005" w:history="1">
        <w:r>
          <w:t xml:space="preserve">2. 財務データ(12列×20行の表)</w:t>
        </w:r>
        <w:r>
          <w:tab/>
        </w:r>
        <w:r>
          <w:fldChar w:fldCharType="begin"/>
        </w:r>
        <w:r>
          <w:instrText xml:space="preserve"> PAGEREF _Toc90000005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TOC3"/>
      </w:pPr>
      <w:hyperlink w:anchor="_Toc90000006" w:history="1">
        <w:r>
          <w:t xml:space="preserve">3. グラフ</w:t>
        </w:r>
        <w:r>
          <w:tab/>
        </w:r>
        <w:r>
          <w:fldChar w:fldCharType="begin"/>
        </w:r>
        <w:r>
          <w:instrText xml:space="preserve"> PAGEREF _Toc90000006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pStyle w:val="TOC3"/>
      </w:pPr>
      <w:hyperlink w:anchor="_Toc90000007" w:history="1">
        <w:r>
          <w:t xml:space="preserve">4. 引用・コード・罫線</w:t>
        </w:r>
        <w:r>
          <w:tab/>
        </w:r>
        <w:r>
          <w:fldChar w:fldCharType="begin"/>
        </w:r>
        <w:r>
          <w:instrText xml:space="preserve"> PAGEREF _Toc90000007 \h </w:instrText>
        </w:r>
        <w:r>
          <w:fldChar w:fldCharType="separate"/>
        </w:r>
        <w:r>
          <w:t xml:space="preserve">4</w:t>
        </w:r>
        <w:r>
          <w:fldChar w:fldCharType="end"/>
        </w:r>
      </w:hyperlink>
    </w:p>
    <w:p>
      <w:pPr>
        <w:pStyle w:val="TOC1"/>
      </w:pPr>
      <w:hyperlink w:anchor="_Toc90000008" w:history="1">
        <w:r>
          <w:t xml:space="preserve">第II部 銘柄別報告書</w:t>
        </w:r>
        <w:r>
          <w:tab/>
        </w:r>
        <w:r>
          <w:fldChar w:fldCharType="begin"/>
        </w:r>
        <w:r>
          <w:instrText xml:space="preserve"> PAGEREF _Toc90000008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2"/>
      </w:pPr>
      <w:hyperlink w:anchor="_Toc90000009" w:history="1">
        <w:r>
          <w:t xml:space="preserve">サンプルB社 報告書</w:t>
        </w:r>
        <w:r>
          <w:tab/>
        </w:r>
        <w:r>
          <w:fldChar w:fldCharType="begin"/>
        </w:r>
        <w:r>
          <w:instrText xml:space="preserve"> PAGEREF _Toc90000009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3"/>
      </w:pPr>
      <w:hyperlink w:anchor="_Toc90000010" w:history="1">
        <w:r>
          <w:t xml:space="preserve">1. 事業の概要</w:t>
        </w:r>
        <w:r>
          <w:tab/>
        </w:r>
        <w:r>
          <w:fldChar w:fldCharType="begin"/>
        </w:r>
        <w:r>
          <w:instrText xml:space="preserve"> PAGEREF _Toc90000010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3"/>
      </w:pPr>
      <w:hyperlink w:anchor="_Toc90000013" w:history="1">
        <w:r>
          <w:t xml:space="preserve">2. リスクの整理(文章量の多い表)</w:t>
        </w:r>
        <w:r>
          <w:tab/>
        </w:r>
        <w:r>
          <w:fldChar w:fldCharType="begin"/>
        </w:r>
        <w:r>
          <w:instrText xml:space="preserve"> PAGEREF _Toc90000013 \h </w:instrText>
        </w:r>
        <w:r>
          <w:fldChar w:fldCharType="separate"/>
        </w:r>
        <w:r>
          <w:t xml:space="preserve">6</w:t>
        </w:r>
        <w:r>
          <w:fldChar w:fldCharType="end"/>
        </w:r>
      </w:hyperlink>
    </w:p>
    <w:p>
      <w:pPr>
        <w:pStyle w:val="TOC3"/>
      </w:pPr>
      <w:hyperlink w:anchor="_Toc90000014" w:history="1">
        <w:r>
          <w:t xml:space="preserve">3. 業績予想(9列・7pt)</w:t>
        </w:r>
        <w:r>
          <w:tab/>
        </w:r>
        <w:r>
          <w:fldChar w:fldCharType="begin"/>
        </w:r>
        <w:r>
          <w:instrText xml:space="preserve"> PAGEREF _Toc90000014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TOC3"/>
      </w:pPr>
      <w:hyperlink w:anchor="_Toc90000015" w:history="1">
        <w:r>
          <w:t xml:space="preserve">4. 長い表(ヘッダー行の繰り返しの確認)</w:t>
        </w:r>
        <w:r>
          <w:tab/>
        </w:r>
        <w:r>
          <w:fldChar w:fldCharType="begin"/>
        </w:r>
        <w:r>
          <w:instrText xml:space="preserve"> PAGEREF _Toc90000015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TOC2"/>
      </w:pPr>
      <w:hyperlink w:anchor="_Toc90000017" w:history="1">
        <w:r>
          <w:t xml:space="preserve">サンプルC社 報告書</w:t>
        </w:r>
        <w:r>
          <w:tab/>
        </w:r>
        <w:r>
          <w:fldChar w:fldCharType="begin"/>
        </w:r>
        <w:r>
          <w:instrText xml:space="preserve"> PAGEREF _Toc90000017 \h </w:instrText>
        </w:r>
        <w:r>
          <w:fldChar w:fldCharType="separate"/>
        </w:r>
        <w:r>
          <w:t xml:space="preserve">9</w:t>
        </w:r>
        <w:r>
          <w:fldChar w:fldCharType="end"/>
        </w:r>
      </w:hyperlink>
    </w:p>
    <w:p>
      <w:pPr>
        <w:pStyle w:val="TOC3"/>
      </w:pPr>
      <w:hyperlink w:anchor="_Toc90000018" w:history="1">
        <w:r>
          <w:t xml:space="preserve">1. 要旨</w:t>
        </w:r>
        <w:r>
          <w:tab/>
        </w:r>
        <w:r>
          <w:fldChar w:fldCharType="begin"/>
        </w:r>
        <w:r>
          <w:instrText xml:space="preserve"> PAGEREF _Toc90000018 \h </w:instrText>
        </w:r>
        <w:r>
          <w:fldChar w:fldCharType="separate"/>
        </w:r>
        <w:r>
          <w:t xml:space="preserve">9</w:t>
        </w:r>
        <w:r>
          <w:fldChar w:fldCharType="end"/>
        </w:r>
      </w:hyperlink>
    </w:p>
    <w:p>
      <w:r>
        <w:fldChar w:fldCharType="end"/>
      </w:r>
    </w:p>
    <w:p>
      <w:pPr>
        <w:pStyle w:val="Heading1"/>
      </w:pPr>
      <w:bookmarkStart w:id="9001" w:name="_Toc90000000"/>
      <w:r>
        <w:t xml:space="preserve">第I部 サンプル分析メモ</w:t>
      </w:r>
      <w:bookmarkEnd w:id="9001"/>
    </w:p>
    <w:p>
      <w:pPr>
        <w:pStyle w:val="Heading2"/>
      </w:pPr>
      <w:bookmarkStart w:id="9002" w:name="_Toc90000001"/>
      <w:r>
        <w:t xml:space="preserve">組版テスト: サンプル株式会社 分析メモ</w:t>
      </w:r>
      <w:bookmarkEnd w:id="9002"/>
    </w:p>
    <w:p>
      <w:pPr>
        <w:pStyle w:val="FirstParagraph"/>
      </w:pPr>
      <w:r>
        <w:t xml:space="preserve">本書は</w:t>
      </w:r>
      <w:r>
        <w:t xml:space="preserve"> </w:t>
      </w:r>
      <w:r>
        <w:rPr>
          <w:b/>
          <w:bCs/>
        </w:rPr>
        <w:t xml:space="preserve">組版パイプラインの動作確認用</w:t>
      </w:r>
      <w:r>
        <w:t xml:space="preserve"> </w:t>
      </w:r>
      <w:r>
        <w:t xml:space="preserve">のサンプルです。数値・社名はすべて架空であり、実在の企業・株価とは関係ありません。日本語の長文がハードラップされていても、不要な空白が入らず自然に連結されること、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の記法が崩れないことを確認します。</w:t>
      </w:r>
    </w:p>
    <w:p>
      <w:pPr>
        <w:pStyle w:val="Heading3"/>
      </w:pPr>
      <w:bookmarkStart w:id="9003" w:name="_Toc90000002"/>
      <w:r>
        <w:t xml:space="preserve">1. 要旨</w:t>
      </w:r>
      <w:bookmarkEnd w:id="9003"/>
    </w:p>
    <w:p>
      <w:pPr>
        <w:pStyle w:val="FirstParagraph"/>
      </w:pPr>
      <w:r>
        <w:t xml:space="preserve">サンプル株式会社は、仮想のクラウドセキュリティ企業である。売上高は直近20年間で年平均13%成長し、営業利益率は8%台から30%近くまで改善した(架空)。株価は$150~$200のレンジで推移し、PERは18~46倍の幅で評価されてきた。10~20%の成長を維持できるかが最大の論点である。</w:t>
      </w:r>
    </w:p>
    <w:p>
      <w:pPr>
        <w:pStyle w:val="BodyText"/>
      </w:pPr>
      <w:r>
        <w:t xml:space="preserve">結論は次の三点に集約される。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増収の源泉</w:t>
      </w:r>
      <w:r>
        <w:t xml:space="preserve">は、既存顧客あたり売上の拡大(アップセル)と新規顧客の獲得の二本立てである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利益率の改善</w:t>
      </w:r>
      <w:r>
        <w:t xml:space="preserve">は、粗利率の上昇と販管費の規模の経済で説明できる</w:t>
      </w:r>
    </w:p>
    <w:p>
      <w:pPr>
        <w:pStyle w:val="Compact"/>
        <w:numPr>
          <w:ilvl w:val="0"/>
          <w:numId w:val="1001"/>
        </w:numPr>
      </w:pPr>
      <w:r>
        <w:t xml:space="preserve">資本配分は自社株買いが中心で、配当は行っていない</w:t>
      </w:r>
    </w:p>
    <w:p>
      <w:pPr>
        <w:pStyle w:val="Heading4"/>
      </w:pPr>
      <w:bookmarkStart w:id="9004" w:name="_Toc90000003"/>
      <w:r>
        <w:t xml:space="preserve">1.1 主要論点</w:t>
      </w:r>
      <w:bookmarkEnd w:id="9004"/>
    </w:p>
    <w:p>
      <w:pPr>
        <w:pStyle w:val="Compact"/>
        <w:numPr>
          <w:ilvl w:val="0"/>
          <w:numId w:val="1002"/>
        </w:numPr>
      </w:pPr>
      <w:r>
        <w:t xml:space="preserve">成長の持続性</w:t>
      </w:r>
    </w:p>
    <w:p>
      <w:pPr>
        <w:pStyle w:val="Compact"/>
        <w:numPr>
          <w:ilvl w:val="1"/>
          <w:numId w:val="1003"/>
        </w:numPr>
      </w:pPr>
      <w:r>
        <w:t xml:space="preserve">既存顧客の純増減率(NRR)が110%を維持できるか</w:t>
      </w:r>
    </w:p>
    <w:p>
      <w:pPr>
        <w:pStyle w:val="Compact"/>
        <w:numPr>
          <w:ilvl w:val="1"/>
          <w:numId w:val="1003"/>
        </w:numPr>
      </w:pPr>
      <w:r>
        <w:t xml:space="preserve">新製品の寄与が逓減していないか</w:t>
      </w:r>
    </w:p>
    <w:p>
      <w:pPr>
        <w:pStyle w:val="Compact"/>
        <w:numPr>
          <w:ilvl w:val="2"/>
          <w:numId w:val="1004"/>
        </w:numPr>
      </w:pPr>
      <w:r>
        <w:t xml:space="preserve">第1世代製品: 成熟期に入り、成長率は一桁</w:t>
      </w:r>
    </w:p>
    <w:p>
      <w:pPr>
        <w:pStyle w:val="Compact"/>
        <w:numPr>
          <w:ilvl w:val="2"/>
          <w:numId w:val="1004"/>
        </w:numPr>
      </w:pPr>
      <w:r>
        <w:t xml:space="preserve">第2世代製品: 売上の35%を占め、前年比+28%</w:t>
      </w:r>
    </w:p>
    <w:p>
      <w:pPr>
        <w:pStyle w:val="Compact"/>
        <w:numPr>
          <w:ilvl w:val="0"/>
          <w:numId w:val="1002"/>
        </w:numPr>
      </w:pPr>
      <w:r>
        <w:t xml:space="preserve">収益性の天井</w:t>
      </w:r>
    </w:p>
    <w:p>
      <w:pPr>
        <w:pStyle w:val="Compact"/>
        <w:numPr>
          <w:ilvl w:val="1"/>
          <w:numId w:val="1005"/>
        </w:numPr>
      </w:pPr>
      <w:r>
        <w:t xml:space="preserve">粗利率は78%が実質的な上限と見られる</w:t>
      </w:r>
    </w:p>
    <w:p>
      <w:pPr>
        <w:pStyle w:val="Compact"/>
        <w:numPr>
          <w:ilvl w:val="0"/>
          <w:numId w:val="1002"/>
        </w:numPr>
      </w:pPr>
      <w:r>
        <w:t xml:space="preserve">資本配分と株主還元</w:t>
      </w:r>
    </w:p>
    <w:p>
      <w:pPr>
        <w:pStyle w:val="Heading5"/>
      </w:pPr>
      <w:bookmarkStart w:id="9005" w:name="_Toc90000004"/>
      <w:r>
        <w:t xml:space="preserve">1.1.1 補足(見出し4)</w:t>
      </w:r>
      <w:bookmarkEnd w:id="9005"/>
    </w:p>
    <w:p>
      <w:pPr>
        <w:pStyle w:val="FirstParagraph"/>
      </w:pPr>
      <w:r>
        <w:t xml:space="preserve">見出し4の見た目を確認するための段落です。見出し1から4までの階層が、色・大きさ・罫線ではっきり区別できることを確認します。</w:t>
      </w:r>
    </w:p>
    <w:p>
      <w:pPr>
        <w:pStyle w:val="Heading3"/>
      </w:pPr>
      <w:bookmarkStart w:id="9006" w:name="_Toc90000005"/>
      <w:r>
        <w:t xml:space="preserve">2. 財務データ(12列×20行の表)</w:t>
      </w:r>
      <w:bookmarkEnd w:id="9006"/>
    </w:p>
    <w:p>
      <w:pPr>
        <w:pStyle w:val="FirstParagraph"/>
      </w:pPr>
      <w:r>
        <w:t xml:space="preserve">次の表は、20期分の主要指標である。8列以上の表は 7pt で組まれ、ヘッダー行は濃紺背景・白文字となり、ページをまたぐ場合は各ページ先頭でヘッダー行が繰り返される。数値列は右寄せ、備考列は左寄せになる。</w:t>
      </w:r>
    </w:p>
    <w:p>
      <w:pPr>
        <w:pStyle w:val="TableCaption"/>
      </w:pPr>
      <w:r>
        <w:t xml:space="preserve">表: 主要財務指標(架空データ、単位は列見出しのとおり)</w:t>
      </w:r>
    </w:p>
    <w:tbl>
      <w:tblPr>
        <w:tblStyle w:val="Table"/>
        <w:tblW w:w="9638" w:type="dxa"/>
        <w:jc w:val="left"/>
        <w:tblInd w:w="0" w:type="dxa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0" w:lastColumn="0" w:noHBand="0" w:noVBand="1"/>
        <w:tblCaption w:val="主要財務指標(架空データ、単位は列見出しのとおり)"/>
      </w:tblPr>
      <w:tblGrid>
        <w:gridCol w:w="635"/>
        <w:gridCol w:w="992"/>
        <w:gridCol w:w="612"/>
        <w:gridCol w:w="583"/>
        <w:gridCol w:w="1148"/>
        <w:gridCol w:w="883"/>
        <w:gridCol w:w="992"/>
        <w:gridCol w:w="631"/>
        <w:gridCol w:w="847"/>
        <w:gridCol w:w="643"/>
        <w:gridCol w:w="697"/>
        <w:gridCol w:w="975"/>
      </w:tblGrid>
      <w:tr>
        <w:trPr>
          <w:cantSplit/>
          <w:tblHeader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期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売上高(億円)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前年比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粗利率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営業利益(億円)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営業利益率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純利益(億円)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EPS($)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FCF(億円)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株価($)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PER(倍)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備考</w:t>
            </w: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FY2007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820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-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66.5%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94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11.5%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72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$0.75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81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$21.12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28.2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創業期</w:t>
            </w: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FY2008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886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+8.0%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69.6%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79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8.9%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57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$0.58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48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$17.46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29.9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FY2009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1,080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+21.9%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63.1%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142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13.1%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108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$0.91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124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$26.58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29.1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FY2010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1,345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+24.6%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61.8%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373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27.7%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256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$2.60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223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$69.22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26.6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FY2011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1,637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+21.7%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64.1%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350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21.4%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268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$2.57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303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$50.84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19.8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新製品投入</w:t>
            </w: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FY2012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1,769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+8.1%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64.5%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418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23.6%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301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$2.92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346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$89.67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30.7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FY2013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1,988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-3.2%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74.5%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479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24.1%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324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$2.96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361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$125.81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42.5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FY2014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2,389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+20.1%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65.9%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730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30.5%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472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$4.48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592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$99.65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22.3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FY2015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2,766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+15.8%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61.7%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646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23.4%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514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$4.71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682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$126.04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26.8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海外拡大</w:t>
            </w: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FY2016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3,306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+19.5%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71.1%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705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21.3%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511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$4.41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699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$137.87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31.3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FY2017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3,933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+19.0%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62.0%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949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24.1%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730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$6.09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944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$158.14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26.0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FY2018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4,481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+13.9%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72.4%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382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8.5%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277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$2.79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241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$54.91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19.7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大型買収</w:t>
            </w: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FY2019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5,414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+20.8%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63.2%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741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13.7%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526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$4.51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447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$137.82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30.6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FY2020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6,329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+16.9%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76.0%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1,699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26.8%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1,391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$13.64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1,459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$382.57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28.0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FY2021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7,779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+22.9%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77.3%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892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11.5%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589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$5.85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554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$184.65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31.6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FY2022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9,148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+17.6%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65.5%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740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8.1%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530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$5.09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605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$227.42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44.7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クラウド移行</w:t>
            </w: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FY2023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10,926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+19.4%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69.8%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2,426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22.2%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1,881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$19.53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2,521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$777.95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39.8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FY2024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13,410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+22.7%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74.6%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2,283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17.0%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1,625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$16.65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1,918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$328.75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19.7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  <w:r>
              <w:t xml:space="preserve">FY2025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14,512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+8.2%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64.5%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1,703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11.7%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1,189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$12.34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951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$274.45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right"/>
            </w:pPr>
            <w:r>
              <w:t xml:space="preserve">22.2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jc w:val="left"/>
            </w:pPr>
          </w:p>
        </w:tc>
      </w:tr>
      <w:tr>
        <w:trPr>
          <w:cantSplit/>
        </w:trPr>
        <w:tc>
          <w:tcPr>
            <w:tcW w:w="6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FY2026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15,793</w:t>
            </w:r>
          </w:p>
        </w:tc>
        <w:tc>
          <w:tcPr>
            <w:tcW w:w="61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+8.8%</w:t>
            </w:r>
          </w:p>
        </w:tc>
        <w:tc>
          <w:tcPr>
            <w:tcW w:w="5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67.2%</w:t>
            </w:r>
          </w:p>
        </w:tc>
        <w:tc>
          <w:tcPr>
            <w:tcW w:w="114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1,356</w:t>
            </w:r>
          </w:p>
        </w:tc>
        <w:tc>
          <w:tcPr>
            <w:tcW w:w="88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8.6%</w:t>
            </w:r>
          </w:p>
        </w:tc>
        <w:tc>
          <w:tcPr>
            <w:tcW w:w="99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1,113</w:t>
            </w:r>
          </w:p>
        </w:tc>
        <w:tc>
          <w:tcPr>
            <w:tcW w:w="63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$10.09</w:t>
            </w:r>
          </w:p>
        </w:tc>
        <w:tc>
          <w:tcPr>
            <w:tcW w:w="84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990</w:t>
            </w:r>
          </w:p>
        </w:tc>
        <w:tc>
          <w:tcPr>
            <w:tcW w:w="64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$252.88</w:t>
            </w:r>
          </w:p>
        </w:tc>
        <w:tc>
          <w:tcPr>
            <w:tcW w:w="69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25.1</w:t>
            </w:r>
          </w:p>
        </w:tc>
        <w:tc>
          <w:tcPr>
            <w:tcW w:w="97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最新期</w:t>
            </w:r>
          </w:p>
        </w:tc>
      </w:tr>
    </w:tbl>
    <w:p>
      <w:pPr>
        <w:pStyle w:val="TableSpacer"/>
      </w:pPr>
    </w:p>
    <w:p>
      <w:pPr>
        <w:pStyle w:val="BodyText"/>
      </w:pPr>
      <w:r>
        <w:t xml:space="preserve">表の直後の段落が詰まらず、適度な余白で続くことを確認する。</w:t>
      </w:r>
    </w:p>
    <w:p>
      <w:pPr>
        <w:pStyle w:val="Heading3"/>
      </w:pPr>
      <w:bookmarkStart w:id="9007" w:name="_Toc90000006"/>
      <w:r>
        <w:t xml:space="preserve">3. グラフ</w:t>
      </w:r>
      <w:bookmarkEnd w:id="9007"/>
    </w:p>
    <w:p>
      <w:pPr>
        <w:pStyle w:val="CaptionedFigure"/>
        <w:jc w:val="center"/>
      </w:pPr>
      <w:r>
        <w:drawing>
          <wp:inline>
            <wp:extent cx="6108700" cy="2901632"/>
            <wp:effectExtent b="0" l="0" r="0" t="0"/>
            <wp:docPr descr="サンプル(株)の売上高と営業利益(架空データ)" title="" id="21" name="Picture"/>
            <a:graphic>
              <a:graphicData uri="http://schemas.openxmlformats.org/drawingml/2006/picture">
                <pic:pic>
                  <pic:nvPicPr>
                    <pic:cNvPr descr="/home/user/AI/reports/security-stocks-2026-10/build/sample/chart_revenu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0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図: サンプル(株)の売上高と営業利益(架空データ)</w:t>
      </w:r>
    </w:p>
    <w:p>
      <w:pPr>
        <w:pStyle w:val="BodyText"/>
      </w:pPr>
      <w:r>
        <w:t xml:space="preserve">グラフはページ幅に収まるよう縮小され、中央揃えで、下に「図: ...」のキャプションが付く。</w:t>
      </w:r>
    </w:p>
    <w:p>
      <w:pPr>
        <w:pStyle w:val="Heading3"/>
      </w:pPr>
      <w:bookmarkStart w:id="9008" w:name="_Toc90000007"/>
      <w:r>
        <w:t xml:space="preserve">4. 引用・コード・罫線</w:t>
      </w:r>
      <w:bookmarkEnd w:id="9008"/>
    </w:p>
    <w:p>
      <w:pPr>
        <w:pStyle w:val="BlockText"/>
      </w:pPr>
      <w:r>
        <w:rPr>
          <w:b/>
          <w:bCs/>
        </w:rPr>
        <w:t xml:space="preserve">注意</w:t>
      </w:r>
      <w:r>
        <w:t xml:space="preserve">: 本書の数値は組版テスト用の架空データであり、投資判断の根拠にはならない。引用ブロックは左罫線つきの灰色背景で組まれる。</w:t>
      </w:r>
    </w:p>
    <w:p>
      <w:pPr>
        <w:pStyle w:val="BlockText"/>
      </w:pPr>
      <w:r>
        <w:t xml:space="preserve">二つ目の段落も同じブロックとして連結される。</w:t>
      </w:r>
    </w:p>
    <w:p>
      <w:pPr>
        <w:pStyle w:val="FirstParagraph"/>
        <w:keepNext/>
      </w:pPr>
      <w:r>
        <w:t xml:space="preserve">妥当株価の算定式(コードブロック):</w:t>
      </w:r>
    </w:p>
    <w:p>
      <w:pPr>
        <w:pStyle w:val="SourceCode"/>
      </w:pPr>
      <w:r>
        <w:rPr>
          <w:rStyle w:val="VerbatimChar"/>
        </w:rPr>
        <w:t xml:space="preserve">妥当PER = 妥当PEG × 予想EPS成長率(%)</w:t>
      </w:r>
      <w:r>
        <w:br/>
      </w:r>
      <w:r>
        <w:rPr>
          <w:rStyle w:val="VerbatimChar"/>
        </w:rPr>
        <w:t xml:space="preserve">妥当株価 = 事業実態EPS × 妥当PER</w:t>
      </w:r>
      <w:r>
        <w:br/>
      </w:r>
      <w:r>
        <w:rPr>
          <w:rStyle w:val="VerbatimChar"/>
        </w:rPr>
        <w:t xml:space="preserve">        = $4.80 × (1.2 × 15)</w:t>
      </w:r>
      <w:r>
        <w:br/>
      </w:r>
      <w:r>
        <w:rPr>
          <w:rStyle w:val="VerbatimChar"/>
        </w:rPr>
        <w:t xml:space="preserve">        = $86.40</w:t>
      </w:r>
    </w:p>
    <w:p>
      <w:pPr>
        <w:pStyle w:val="FirstParagraph"/>
      </w:pPr>
      <w:r>
        <w:t xml:space="preserve">インラインコードは</w:t>
      </w:r>
      <w:r>
        <w:t xml:space="preserve"> </w:t>
      </w:r>
      <w:r>
        <w:rPr>
          <w:rStyle w:val="VerbatimChar"/>
        </w:rPr>
        <w:t xml:space="preserve">PEG = PER ÷ EPS成長率</w:t>
      </w:r>
      <w:r>
        <w:t xml:space="preserve"> </w:t>
      </w:r>
      <w:r>
        <w:t xml:space="preserve">のように等幅で表示される。</w:t>
      </w:r>
    </w:p>
    <w:p>
      <w:pPr>
        <w:pStyle w:val="HorizontalRule"/>
      </w:pPr>
    </w:p>
    <w:p>
      <w:pPr>
        <w:pStyle w:val="BodyText"/>
      </w:pPr>
      <w:r>
        <w:t xml:space="preserve">水平線の後の段落。ここまでで主要な要素(見出し・段落・太字・斜体・箇条書き・表・図・引用・コード)が一通り登場した。</w:t>
      </w:r>
      <w:hyperlink r:id="rId23">
        <w:r>
          <w:rPr>
            <w:rStyle w:val="Hyperlink"/>
          </w:rPr>
          <w:t xml:space="preserve">外部リンクの例</w:t>
        </w:r>
      </w:hyperlink>
      <w:r>
        <w:t xml:space="preserve"> </w:t>
      </w:r>
      <w:r>
        <w:t xml:space="preserve">と脚注の例</w:t>
      </w:r>
      <w:r>
        <w:rPr>
          <w:rStyle w:val="FootnoteReference"/>
        </w:rPr>
        <w:footnoteReference w:id="24"/>
      </w:r>
      <w:r>
        <w:t xml:space="preserve">も含める。</w:t>
      </w:r>
    </w:p>
    <w:p>
      <w:pPr>
        <w:pStyle w:val="Heading1"/>
      </w:pPr>
      <w:bookmarkStart w:id="9009" w:name="_Toc90000008"/>
      <w:r>
        <w:t xml:space="preserve">第II部 銘柄別報告書</w:t>
      </w:r>
      <w:bookmarkEnd w:id="9009"/>
    </w:p>
    <w:p>
      <w:pPr>
        <w:pStyle w:val="Heading2"/>
      </w:pPr>
      <w:bookmarkStart w:id="9010" w:name="_Toc90000009"/>
      <w:r>
        <w:t xml:space="preserve">サンプルB社 報告書</w:t>
      </w:r>
      <w:bookmarkEnd w:id="9010"/>
    </w:p>
    <w:p>
      <w:pPr>
        <w:pStyle w:val="Heading3"/>
      </w:pPr>
      <w:bookmarkStart w:id="9011" w:name="_Toc90000010"/>
      <w:r>
        <w:t xml:space="preserve">1. 事業の概要</w:t>
      </w:r>
      <w:bookmarkEnd w:id="9011"/>
    </w:p>
    <w:p>
      <w:pPr>
        <w:pStyle w:val="FirstParagraph"/>
      </w:pPr>
      <w:r>
        <w:t xml:space="preserve">サンプルB社は、仮想のネットワークセキュリティ企業である。事業の最小単位(原子単位)は「保護されるエンドポイント1台あたりの年間契約」であり、売上は「保護対象数 × 1台あたり単価 × 更新率」の積として分解できる。1台あたり単価は製品の追加(クロスセル)によって上昇し、更新率は解約率の低下によって改善する。</w:t>
      </w:r>
    </w:p>
    <w:p>
      <w:pPr>
        <w:pStyle w:val="BodyText"/>
      </w:pPr>
      <w:r>
        <w:t xml:space="preserve">事業の経済性は次の式で捉える。</w:t>
      </w:r>
    </w:p>
    <w:p>
      <w:pPr>
        <w:pStyle w:val="SourceCode"/>
      </w:pPr>
      <w:r>
        <w:rPr>
          <w:rStyle w:val="VerbatimChar"/>
        </w:rPr>
        <w:t xml:space="preserve">売上 = 保護対象数 × 単価 × 更新率</w:t>
      </w:r>
      <w:r>
        <w:br/>
      </w:r>
      <w:r>
        <w:rPr>
          <w:rStyle w:val="VerbatimChar"/>
        </w:rPr>
        <w:t xml:space="preserve">営業利益 = 売上 × (粗利率 − 販管費率)</w:t>
      </w:r>
    </w:p>
    <w:p>
      <w:pPr>
        <w:pStyle w:val="Heading4"/>
      </w:pPr>
      <w:bookmarkStart w:id="9012" w:name="_Toc90000011"/>
      <w:r>
        <w:t xml:space="preserve">1.1 増収の源泉と制約</w:t>
      </w:r>
      <w:bookmarkEnd w:id="9012"/>
    </w:p>
    <w:p>
      <w:pPr>
        <w:pStyle w:val="FirstParagraph"/>
      </w:pPr>
      <w:r>
        <w:t xml:space="preserve">増収の源泉は三つある。第一に新規顧客の獲得であり、これは営業人員の増加と市場の成長に依存する。第二に既存顧客内でのアップセルであり、製品群が増えるほど効果が高まる。第三に価格改定であり、競争環境により余地は限られる。</w:t>
      </w:r>
    </w:p>
    <w:p>
      <w:pPr>
        <w:pStyle w:val="BodyText"/>
      </w:pPr>
      <w:r>
        <w:t xml:space="preserve">制約としては、次の三点が重要である。</w:t>
      </w:r>
    </w:p>
    <w:p>
      <w:pPr>
        <w:pStyle w:val="Compact"/>
        <w:numPr>
          <w:ilvl w:val="0"/>
          <w:numId w:val="1006"/>
        </w:numPr>
      </w:pPr>
      <w:r>
        <w:t xml:space="preserve">営業人員の採用・育成速度(新人の戦力化に平均3四半期)</w:t>
      </w:r>
    </w:p>
    <w:p>
      <w:pPr>
        <w:pStyle w:val="Compact"/>
        <w:numPr>
          <w:ilvl w:val="0"/>
          <w:numId w:val="1006"/>
        </w:numPr>
      </w:pPr>
      <w:r>
        <w:t xml:space="preserve">大型顧客での導入サイクルの長さ(6~18か月)</w:t>
      </w:r>
    </w:p>
    <w:p>
      <w:pPr>
        <w:pStyle w:val="Compact"/>
        <w:numPr>
          <w:ilvl w:val="0"/>
          <w:numId w:val="1006"/>
        </w:numPr>
      </w:pPr>
      <w:r>
        <w:t xml:space="preserve">競合の無償バンドル攻勢</w:t>
      </w:r>
    </w:p>
    <w:p>
      <w:pPr>
        <w:pStyle w:val="Heading5"/>
      </w:pPr>
      <w:bookmarkStart w:id="9013" w:name="_Toc90000012"/>
      <w:r>
        <w:t xml:space="preserve">自己強化ループ</w:t>
      </w:r>
      <w:bookmarkEnd w:id="9013"/>
    </w:p>
    <w:p>
      <w:pPr>
        <w:pStyle w:val="FirstParagraph"/>
      </w:pPr>
      <w:r>
        <w:t xml:space="preserve">製品が増える → 1社あたりの支出が増える → 統合の価値が高まる → 解約が減る → 開発投資の原資が増える → 製品が増える、というループが働く。このループは、顧客の予算上限に達した時点で飽和する。</w:t>
      </w:r>
    </w:p>
    <w:p>
      <w:pPr>
        <w:pStyle w:val="Heading3"/>
      </w:pPr>
      <w:bookmarkStart w:id="9014" w:name="_Toc90000013"/>
      <w:r>
        <w:t xml:space="preserve">2. リスクの整理(文章量の多い表)</w:t>
      </w:r>
      <w:bookmarkEnd w:id="9014"/>
    </w:p>
    <w:tbl>
      <w:tblPr>
        <w:tblStyle w:val="Table"/>
        <w:tblW w:w="9638" w:type="dxa"/>
        <w:jc w:val="left"/>
        <w:tblInd w:w="0" w:type="dxa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0" w:lastColumn="0" w:noHBand="0" w:noVBand="1"/>
      </w:tblPr>
      <w:tblGrid>
        <w:gridCol w:w="844"/>
        <w:gridCol w:w="5062"/>
        <w:gridCol w:w="816"/>
        <w:gridCol w:w="645"/>
        <w:gridCol w:w="2271"/>
      </w:tblGrid>
      <w:tr>
        <w:trPr>
          <w:cantSplit/>
          <w:tblHeader/>
        </w:trPr>
        <w:tc>
          <w:tcPr>
            <w:tcW w:w="84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リスク</w:t>
            </w:r>
          </w:p>
        </w:tc>
        <w:tc>
          <w:tcPr>
            <w:tcW w:w="50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w="8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発生確率</w:t>
            </w:r>
          </w:p>
        </w:tc>
        <w:tc>
          <w:tcPr>
            <w:tcW w:w="64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時間軸</w:t>
            </w:r>
          </w:p>
        </w:tc>
        <w:tc>
          <w:tcPr>
            <w:tcW w:w="227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対応</w:t>
            </w:r>
          </w:p>
        </w:tc>
      </w:tr>
      <w:tr>
        <w:trPr>
          <w:cantSplit/>
        </w:trPr>
        <w:tc>
          <w:tcPr>
            <w:tcW w:w="84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技術変化</w:t>
            </w:r>
          </w:p>
        </w:tc>
        <w:tc>
          <w:tcPr>
            <w:tcW w:w="50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新方式の台頭により既存製品の需要が置き換わる可能性。特に生成AIを用いた自動化が、運用負荷の大きい従来型ツールの価値を毀損しうる</w:t>
            </w:r>
          </w:p>
        </w:tc>
        <w:tc>
          <w:tcPr>
            <w:tcW w:w="8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高</w:t>
            </w:r>
          </w:p>
        </w:tc>
        <w:tc>
          <w:tcPr>
            <w:tcW w:w="64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中期</w:t>
            </w:r>
          </w:p>
        </w:tc>
        <w:tc>
          <w:tcPr>
            <w:tcW w:w="227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研究開発費を売上の20%以上に維持し、買収で補完する</w:t>
            </w:r>
          </w:p>
        </w:tc>
      </w:tr>
      <w:tr>
        <w:trPr>
          <w:cantSplit/>
        </w:trPr>
        <w:tc>
          <w:tcPr>
            <w:tcW w:w="84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競争激化</w:t>
            </w:r>
          </w:p>
        </w:tc>
        <w:tc>
          <w:tcPr>
            <w:tcW w:w="50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大手プラットフォーマーによる無償バンドルが価格決定力を弱める。10-K に記載の主要競合は6社</w:t>
            </w:r>
          </w:p>
        </w:tc>
        <w:tc>
          <w:tcPr>
            <w:tcW w:w="8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中</w:t>
            </w:r>
          </w:p>
        </w:tc>
        <w:tc>
          <w:tcPr>
            <w:tcW w:w="64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短期</w:t>
            </w:r>
          </w:p>
        </w:tc>
        <w:tc>
          <w:tcPr>
            <w:tcW w:w="227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統合製品の優位性を訴求し、契約更新時の値引きを抑制する</w:t>
            </w:r>
          </w:p>
        </w:tc>
      </w:tr>
      <w:tr>
        <w:trPr>
          <w:cantSplit/>
        </w:trPr>
        <w:tc>
          <w:tcPr>
            <w:tcW w:w="84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為替</w:t>
            </w:r>
          </w:p>
        </w:tc>
        <w:tc>
          <w:tcPr>
            <w:tcW w:w="50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売上の約4割が海外であり、ドル高局面では円換算の売上が目減りする。$1=¥150 を前提とした感応度を別表に示す</w:t>
            </w:r>
          </w:p>
        </w:tc>
        <w:tc>
          <w:tcPr>
            <w:tcW w:w="8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中</w:t>
            </w:r>
          </w:p>
        </w:tc>
        <w:tc>
          <w:tcPr>
            <w:tcW w:w="64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短期</w:t>
            </w:r>
          </w:p>
        </w:tc>
        <w:tc>
          <w:tcPr>
            <w:tcW w:w="227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ヘッジ比率の引き上げ</w:t>
            </w:r>
          </w:p>
        </w:tc>
      </w:tr>
      <w:tr>
        <w:trPr>
          <w:cantSplit/>
        </w:trPr>
        <w:tc>
          <w:tcPr>
            <w:tcW w:w="84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規制・訴訟</w:t>
            </w:r>
          </w:p>
        </w:tc>
        <w:tc>
          <w:tcPr>
            <w:tcW w:w="506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データ保護規制の強化と、セキュリティ事故発生時の損害賠償請求のリスク</w:t>
            </w:r>
          </w:p>
        </w:tc>
        <w:tc>
          <w:tcPr>
            <w:tcW w:w="81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低</w:t>
            </w:r>
          </w:p>
        </w:tc>
        <w:tc>
          <w:tcPr>
            <w:tcW w:w="64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長期</w:t>
            </w:r>
          </w:p>
        </w:tc>
        <w:tc>
          <w:tcPr>
            <w:tcW w:w="227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保険・内部統制の強化</w:t>
            </w:r>
          </w:p>
        </w:tc>
      </w:tr>
    </w:tbl>
    <w:p>
      <w:pPr>
        <w:pStyle w:val="TableSpacer"/>
      </w:pPr>
    </w:p>
    <w:p>
      <w:pPr>
        <w:pStyle w:val="BodyText"/>
      </w:pPr>
      <w:r>
        <w:t xml:space="preserve">上の表は、セル内の日本語が長い場合に列幅が自動配分され、行がページをまたいで分断されないことを確認するためのものである。</w:t>
      </w:r>
    </w:p>
    <w:p>
      <w:pPr>
        <w:pStyle w:val="Heading3"/>
      </w:pPr>
      <w:bookmarkStart w:id="9015" w:name="_Toc90000014"/>
      <w:r>
        <w:t xml:space="preserve">3. 業績予想(9列・7pt)</w:t>
      </w:r>
      <w:bookmarkEnd w:id="9015"/>
    </w:p>
    <w:p>
      <w:pPr>
        <w:pStyle w:val="TableCaption"/>
      </w:pPr>
      <w:r>
        <w:t xml:space="preserve">表: 業績予想の推移(架空データ。会社ガイダンスとコンセンサスの混在)</w:t>
      </w:r>
    </w:p>
    <w:tbl>
      <w:tblPr>
        <w:tblStyle w:val="Table"/>
        <w:tblW w:w="9638" w:type="dxa"/>
        <w:jc w:val="left"/>
        <w:tblInd w:w="0" w:type="dxa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0" w:lastColumn="0" w:noHBand="0" w:noVBand="1"/>
        <w:tblCaption w:val="業績予想の推移(架空データ。会社ガイダンスとコンセンサスの混在)"/>
      </w:tblPr>
      <w:tblGrid>
        <w:gridCol w:w="1336"/>
        <w:gridCol w:w="914"/>
        <w:gridCol w:w="914"/>
        <w:gridCol w:w="914"/>
        <w:gridCol w:w="1053"/>
        <w:gridCol w:w="1053"/>
        <w:gridCol w:w="1053"/>
        <w:gridCol w:w="863"/>
        <w:gridCol w:w="1538"/>
      </w:tblGrid>
      <w:tr>
        <w:trPr>
          <w:cantSplit/>
          <w:tblHeader/>
        </w:trPr>
        <w:tc>
          <w:tcPr>
            <w:tcW w:w="133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指標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FY2023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FY2024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FY2025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FY2026E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FY2027E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FY2028E</w:t>
            </w:r>
          </w:p>
        </w:tc>
        <w:tc>
          <w:tcPr>
            <w:tcW w:w="86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CAGR</w:t>
            </w:r>
          </w:p>
        </w:tc>
        <w:tc>
          <w:tcPr>
            <w:tcW w:w="153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Small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備考</w:t>
            </w:r>
          </w:p>
        </w:tc>
      </w:tr>
      <w:tr>
        <w:trPr>
          <w:cantSplit/>
        </w:trPr>
        <w:tc>
          <w:tcPr>
            <w:tcW w:w="133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売上高($B)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2.15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2.58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3.12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3.74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4.40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5.10</w:t>
            </w:r>
          </w:p>
        </w:tc>
        <w:tc>
          <w:tcPr>
            <w:tcW w:w="86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+18.9%</w:t>
            </w:r>
          </w:p>
        </w:tc>
        <w:tc>
          <w:tcPr>
            <w:tcW w:w="153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会社ガイダンス</w:t>
            </w:r>
          </w:p>
        </w:tc>
      </w:tr>
      <w:tr>
        <w:trPr>
          <w:cantSplit/>
        </w:trPr>
        <w:tc>
          <w:tcPr>
            <w:tcW w:w="133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営業利益($B)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0.31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0.44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0.61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0.80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1.02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1.28</w:t>
            </w:r>
          </w:p>
        </w:tc>
        <w:tc>
          <w:tcPr>
            <w:tcW w:w="86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+32.8%</w:t>
            </w:r>
          </w:p>
        </w:tc>
        <w:tc>
          <w:tcPr>
            <w:tcW w:w="153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133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営業利益率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14.4%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17.1%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19.6%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21.4%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23.2%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25.1%</w:t>
            </w:r>
          </w:p>
        </w:tc>
        <w:tc>
          <w:tcPr>
            <w:tcW w:w="86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+10.7pt</w:t>
            </w:r>
          </w:p>
        </w:tc>
        <w:tc>
          <w:tcPr>
            <w:tcW w:w="153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(実績+予想)</w:t>
            </w:r>
          </w:p>
        </w:tc>
      </w:tr>
      <w:tr>
        <w:trPr>
          <w:cantSplit/>
        </w:trPr>
        <w:tc>
          <w:tcPr>
            <w:tcW w:w="133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EPS($)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2.10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2.95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3.80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4.62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5.55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6.60</w:t>
            </w:r>
          </w:p>
        </w:tc>
        <w:tc>
          <w:tcPr>
            <w:tcW w:w="86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+25.7%</w:t>
            </w:r>
          </w:p>
        </w:tc>
        <w:tc>
          <w:tcPr>
            <w:tcW w:w="153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コンセンサス</w:t>
            </w:r>
          </w:p>
        </w:tc>
      </w:tr>
      <w:tr>
        <w:trPr>
          <w:cantSplit/>
        </w:trPr>
        <w:tc>
          <w:tcPr>
            <w:tcW w:w="133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FCFマージン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22.0%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24.5%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26.1%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27.0%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27.5%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28.0%</w:t>
            </w:r>
          </w:p>
        </w:tc>
        <w:tc>
          <w:tcPr>
            <w:tcW w:w="86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right"/>
            </w:pPr>
            <w:r>
              <w:t xml:space="preserve">n/a</w:t>
            </w:r>
          </w:p>
        </w:tc>
        <w:tc>
          <w:tcPr>
            <w:tcW w:w="153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Small"/>
              <w:keepNext/>
              <w:jc w:val="left"/>
            </w:pPr>
            <w:r>
              <w:t xml:space="preserve">単独出典</w:t>
            </w:r>
          </w:p>
        </w:tc>
      </w:tr>
      <w:tr>
        <w:trPr>
          <w:cantSplit/>
        </w:trPr>
        <w:tc>
          <w:tcPr>
            <w:tcW w:w="1336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PER(倍)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46.0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38.5</w:t>
            </w:r>
          </w:p>
        </w:tc>
        <w:tc>
          <w:tcPr>
            <w:tcW w:w="91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31.2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25.4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21.1</w:t>
            </w:r>
          </w:p>
        </w:tc>
        <w:tc>
          <w:tcPr>
            <w:tcW w:w="105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17.8</w:t>
            </w:r>
          </w:p>
        </w:tc>
        <w:tc>
          <w:tcPr>
            <w:tcW w:w="86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right"/>
            </w:pPr>
            <w:r>
              <w:t xml:space="preserve">-17.2%</w:t>
            </w:r>
          </w:p>
        </w:tc>
        <w:tc>
          <w:tcPr>
            <w:tcW w:w="1538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Small"/>
              <w:jc w:val="left"/>
            </w:pPr>
            <w:r>
              <w:t xml:space="preserve">株価$118.5固定</w:t>
            </w:r>
          </w:p>
        </w:tc>
      </w:tr>
    </w:tbl>
    <w:p>
      <w:pPr>
        <w:pStyle w:val="TableSpacer"/>
      </w:pPr>
    </w:p>
    <w:p>
      <w:pPr>
        <w:pStyle w:val="BodyText"/>
        <w:keepNext/>
      </w:pPr>
      <w:r>
        <w:t xml:space="preserve">下の表は</w:t>
      </w:r>
      <w:r>
        <w:t xml:space="preserve"> </w:t>
      </w:r>
      <w:r>
        <w:rPr>
          <w:b/>
          <w:bCs/>
        </w:rPr>
        <w:t xml:space="preserve">セル内改行</w:t>
      </w:r>
      <w:r>
        <w:t xml:space="preserve"> </w:t>
      </w:r>
      <w:r>
        <w:t xml:space="preserve">を含む:</w:t>
      </w:r>
    </w:p>
    <w:tbl>
      <w:tblPr>
        <w:tblStyle w:val="Table"/>
        <w:tblW w:w="9638" w:type="dxa"/>
        <w:jc w:val="left"/>
        <w:tblInd w:w="0" w:type="dxa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0" w:lastColumn="0" w:noHBand="0" w:noVBand="1"/>
      </w:tblPr>
      <w:tblGrid>
        <w:gridCol w:w="3089"/>
        <w:gridCol w:w="6549"/>
      </w:tblGrid>
      <w:tr>
        <w:trPr>
          <w:cantSplit/>
          <w:tblHeader/>
        </w:trPr>
        <w:tc>
          <w:tcPr>
            <w:tcW w:w="308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w="654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rPr>
          <w:cantSplit/>
        </w:trPr>
        <w:tc>
          <w:tcPr>
            <w:tcW w:w="308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前提</w:t>
            </w:r>
            <w:r>
              <w:br/>
            </w:r>
            <w:r>
              <w:t xml:space="preserve">(会社)</w:t>
            </w:r>
          </w:p>
        </w:tc>
        <w:tc>
          <w:tcPr>
            <w:tcW w:w="654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売上成長率 18%</w:t>
            </w:r>
            <w:r>
              <w:br/>
            </w:r>
            <w:r>
              <w:t xml:space="preserve">営業利益率 21%</w:t>
            </w:r>
          </w:p>
        </w:tc>
      </w:tr>
      <w:tr>
        <w:trPr>
          <w:cantSplit/>
        </w:trPr>
        <w:tc>
          <w:tcPr>
            <w:tcW w:w="308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前提</w:t>
            </w:r>
            <w:r>
              <w:br/>
            </w:r>
            <w:r>
              <w:t xml:space="preserve">(当社)</w:t>
            </w:r>
          </w:p>
        </w:tc>
        <w:tc>
          <w:tcPr>
            <w:tcW w:w="6549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売上成長率 15%</w:t>
            </w:r>
            <w:r>
              <w:br/>
            </w:r>
            <w:r>
              <w:t xml:space="preserve">営業利益率 19%</w:t>
            </w:r>
          </w:p>
        </w:tc>
      </w:tr>
    </w:tbl>
    <w:p>
      <w:pPr>
        <w:pStyle w:val="TableSpacer"/>
      </w:pPr>
    </w:p>
    <w:p>
      <w:pPr>
        <w:pStyle w:val="Heading3"/>
      </w:pPr>
      <w:bookmarkStart w:id="9016" w:name="_Toc90000015"/>
      <w:r>
        <w:t xml:space="preserve">4. 長い表(ヘッダー行の繰り返しの確認)</w:t>
      </w:r>
      <w:bookmarkEnd w:id="9016"/>
    </w:p>
    <w:p>
      <w:pPr>
        <w:pStyle w:val="FirstParagraph"/>
      </w:pPr>
      <w:r>
        <w:t xml:space="preserve">四半期ごとの指標(架空データ)を48行並べる。表は複数ページにわたり、各ページの先頭にヘッダー行が繰り返し表示される。また、行の途中でページが分断されないことを確認する。</w:t>
      </w:r>
    </w:p>
    <w:tbl>
      <w:tblPr>
        <w:tblStyle w:val="Table"/>
        <w:tblW w:w="9638" w:type="dxa"/>
        <w:jc w:val="left"/>
        <w:tblInd w:w="0" w:type="dxa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0" w:lastColumn="0" w:noHBand="0" w:noVBand="1"/>
      </w:tblPr>
      <w:tblGrid>
        <w:gridCol w:w="1452"/>
        <w:gridCol w:w="1367"/>
        <w:gridCol w:w="2094"/>
        <w:gridCol w:w="1367"/>
        <w:gridCol w:w="1367"/>
        <w:gridCol w:w="1991"/>
      </w:tblGrid>
      <w:tr>
        <w:trPr>
          <w:cantSplit/>
          <w:tblHeader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四半期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売上高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前年同期比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顧客数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更新率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EV/売上高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2014Q1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$2.29B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+16.0%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3,212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98%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n/a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2014Q2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$2.85B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+29.5%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9,070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0.7x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2014Q3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$1.31B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+15.5%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5,537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2.4x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2014Q4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$2.97B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+12.5%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7,126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99%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2.0x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2015Q1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$1.01B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+19.6%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2,691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116%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1.2x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2015Q2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$2.37B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+11.7%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4,850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111%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2.6x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2015Q3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$2.22B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+12.9%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4,397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119%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2.7x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2015Q4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$3.86B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+13.0%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9,680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2.5x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2016Q1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$4.86B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+25.4%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8,937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103%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2.4x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2016Q2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$4.73B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+17.8%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6,926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124%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1.5x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2016Q3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$1.78B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+13.0%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4,422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105%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1.8x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2016Q4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$4.84B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+21.4%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1,231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n/a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2017Q1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$3.51B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+25.6%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2,589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120%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0.8x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2017Q2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$2.45B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+23.7%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4,465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1.0x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2017Q3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$4.06B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+15.3%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7,685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2.5x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2017Q4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$1.24B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+11.5%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3,281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96%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2.1x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2018Q1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$2.76B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+22.4%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8,971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115%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1.4x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2018Q2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$3.09B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+10.9%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1,433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2.5x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2018Q3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$1.31B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+24.5%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3,481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108%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2.9x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2018Q4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$4.20B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+12.6%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5,326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101%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1.9x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2019Q1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$3.95B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+15.2%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8,065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120%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0.7x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2019Q2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$3.86B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+27.7%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9,666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108%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3.0x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2019Q3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$2.91B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+19.7%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9,777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110%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n/a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2019Q4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$4.39B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+25.1%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1,264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118%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0.9x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2020Q1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$1.47B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+21.6%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3,171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112%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1.4x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2020Q2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$2.97B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+20.2%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2,938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121%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0.7x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2020Q3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$1.67B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+8.9%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2,801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110%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2.0x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2020Q4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$3.94B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+28.1%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8,462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105%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3.1x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2021Q1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$3.32B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+12.4%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5,741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1.9x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2021Q2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$2.81B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+28.7%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9,772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121%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3.0x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2021Q3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$1.94B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+20.3%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4,519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120%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0.9x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2021Q4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$1.39B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+17.7%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2,388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115%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1.7x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2022Q1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$1.75B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+14.7%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3,204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122%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0.9x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2022Q2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$3.76B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+22.5%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3,542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103%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n/a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2022Q3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$1.45B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+18.3%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2,742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107%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1.8x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2022Q4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$4.86B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+26.3%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3,845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116%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3.2x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2023Q1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$2.52B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+17.3%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7,042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105%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2.4x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2023Q2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$0.98B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+20.2%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8,416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116%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1.5x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2023Q3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$2.97B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+14.5%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2,253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98%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3.0x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2023Q4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$1.81B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+27.3%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2,577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103%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0.6x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2024Q1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$4.02B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+13.9%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3,322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120%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2.8x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2024Q2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$3.60B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+28.8%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7,851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99%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3.0x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2024Q3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$3.18B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+23.4%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2,665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103%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2.7x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2024Q4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$1.63B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+27.7%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5,606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123%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2.2x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2025Q1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$4.11B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+9.8%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4,843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97%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n/a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2025Q2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$4.35B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+18.0%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6,756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125%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1.6x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left"/>
            </w:pPr>
            <w:r>
              <w:t xml:space="preserve">2025Q3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$4.56B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+21.7%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1,907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111%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jc w:val="right"/>
            </w:pPr>
            <w:r>
              <w:t xml:space="preserve">1.1x</w:t>
            </w:r>
          </w:p>
        </w:tc>
      </w:tr>
      <w:tr>
        <w:trPr>
          <w:cantSplit/>
        </w:trPr>
        <w:tc>
          <w:tcPr>
            <w:tcW w:w="1452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2025Q4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$1.34B</w:t>
            </w:r>
          </w:p>
        </w:tc>
        <w:tc>
          <w:tcPr>
            <w:tcW w:w="2094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+11.6%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2,025</w:t>
            </w:r>
          </w:p>
        </w:tc>
        <w:tc>
          <w:tcPr>
            <w:tcW w:w="1367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100%</w:t>
            </w:r>
          </w:p>
        </w:tc>
        <w:tc>
          <w:tcPr>
            <w:tcW w:w="1991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3.0x</w:t>
            </w:r>
          </w:p>
        </w:tc>
      </w:tr>
    </w:tbl>
    <w:p>
      <w:pPr>
        <w:pStyle w:val="TableSpacer"/>
      </w:pPr>
    </w:p>
    <w:p>
      <w:pPr>
        <w:pStyle w:val="BodyText"/>
      </w:pPr>
      <w:r>
        <w:t xml:space="preserve">表のあとに続く本文である。ここまでで、短い表・長い表・セル内改行を含む表が崩れず組めていることを確認する。</w:t>
      </w:r>
    </w:p>
    <w:p>
      <w:pPr>
        <w:pStyle w:val="Heading4"/>
      </w:pPr>
      <w:bookmarkStart w:id="9017" w:name="_Toc90000016"/>
      <w:r>
        <w:t xml:space="preserve">4.1 まとめ</w:t>
      </w:r>
      <w:bookmarkEnd w:id="9017"/>
    </w:p>
    <w:p>
      <w:pPr>
        <w:pStyle w:val="FirstParagraph"/>
      </w:pPr>
      <w:r>
        <w:t xml:space="preserve">本ファイルは「銘柄ごとの報告書」を想定し、前のファイル(sample.md)から改ページされて始まる。</w:t>
      </w:r>
    </w:p>
    <w:p>
      <w:pPr>
        <w:pStyle w:val="Heading2"/>
        <w:pageBreakBefore/>
      </w:pPr>
      <w:bookmarkStart w:id="9018" w:name="_Toc90000017"/>
      <w:r>
        <w:t xml:space="preserve">サンプルC社 報告書</w:t>
      </w:r>
      <w:bookmarkEnd w:id="9018"/>
    </w:p>
    <w:p>
      <w:pPr>
        <w:pStyle w:val="Heading3"/>
      </w:pPr>
      <w:bookmarkStart w:id="9019" w:name="_Toc90000018"/>
      <w:r>
        <w:t xml:space="preserve">1. 要旨</w:t>
      </w:r>
      <w:bookmarkEnd w:id="9019"/>
    </w:p>
    <w:p>
      <w:pPr>
        <w:pStyle w:val="FirstParagraph"/>
      </w:pPr>
      <w:r>
        <w:t xml:space="preserve">3つ目のファイルは、</w:t>
      </w:r>
      <w:r>
        <w:rPr>
          <w:b/>
          <w:bCs/>
        </w:rPr>
        <w:t xml:space="preserve">ファイル単位の改ページ</w:t>
      </w:r>
      <w:r>
        <w:t xml:space="preserve">(sample2.md の次ページから開始)と、短い表・入れ子の箇条書きの確認用である。</w:t>
      </w:r>
    </w:p>
    <w:tbl>
      <w:tblPr>
        <w:tblStyle w:val="Table"/>
        <w:tblW w:w="9638" w:type="dxa"/>
        <w:jc w:val="left"/>
        <w:tblInd w:w="0" w:type="dxa"/>
        <w:tblBorders>
          <w:top w:val="single" w:sz="4" w:space="0" w:color="8496B0"/>
          <w:left w:val="single" w:sz="4" w:space="0" w:color="8496B0"/>
          <w:bottom w:val="single" w:sz="4" w:space="0" w:color="8496B0"/>
          <w:right w:val="single" w:sz="4" w:space="0" w:color="8496B0"/>
          <w:insideH w:val="single" w:sz="4" w:space="0" w:color="8496B0"/>
          <w:insideV w:val="single" w:sz="4" w:space="0" w:color="8496B0"/>
        </w:tblBorders>
        <w:tblLayout w:type="fixed"/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0" w:lastColumn="0" w:noHBand="0" w:noVBand="1"/>
      </w:tblPr>
      <w:tblGrid>
        <w:gridCol w:w="6035"/>
        <w:gridCol w:w="3603"/>
      </w:tblGrid>
      <w:tr>
        <w:trPr>
          <w:cantSplit/>
          <w:tblHeader/>
        </w:trPr>
        <w:tc>
          <w:tcPr>
            <w:tcW w:w="60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left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w="360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1F3864"/>
            <w:vAlign w:val="center"/>
          </w:tcPr>
          <w:p>
            <w:pPr>
              <w:pStyle w:val="TableText"/>
              <w:keepNext/>
              <w:jc w:val="right"/>
            </w:pPr>
            <w:r>
              <w:rPr>
                <w:b/>
                <w:bCs/>
                <w:color w:val="FFFFFF"/>
              </w:rPr>
              <w:t xml:space="preserve">値</w:t>
            </w:r>
          </w:p>
        </w:tc>
      </w:tr>
      <w:tr>
        <w:trPr>
          <w:cantSplit/>
        </w:trPr>
        <w:tc>
          <w:tcPr>
            <w:tcW w:w="60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売上高(億円)</w:t>
            </w:r>
          </w:p>
        </w:tc>
        <w:tc>
          <w:tcPr>
            <w:tcW w:w="360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1,250</w:t>
            </w:r>
          </w:p>
        </w:tc>
      </w:tr>
      <w:tr>
        <w:trPr>
          <w:cantSplit/>
        </w:trPr>
        <w:tc>
          <w:tcPr>
            <w:tcW w:w="60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営業利益率</w:t>
            </w:r>
          </w:p>
        </w:tc>
        <w:tc>
          <w:tcPr>
            <w:tcW w:w="360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18.4%</w:t>
            </w:r>
          </w:p>
        </w:tc>
      </w:tr>
      <w:tr>
        <w:trPr>
          <w:cantSplit/>
        </w:trPr>
        <w:tc>
          <w:tcPr>
            <w:tcW w:w="60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left"/>
            </w:pPr>
            <w:r>
              <w:t xml:space="preserve">株価</w:t>
            </w:r>
          </w:p>
        </w:tc>
        <w:tc>
          <w:tcPr>
            <w:tcW w:w="360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vAlign w:val="center"/>
          </w:tcPr>
          <w:p>
            <w:pPr>
              <w:pStyle w:val="TableText"/>
              <w:keepNext/>
              <w:jc w:val="right"/>
            </w:pPr>
            <w:r>
              <w:t xml:space="preserve">$64.20</w:t>
            </w:r>
          </w:p>
        </w:tc>
      </w:tr>
      <w:tr>
        <w:trPr>
          <w:cantSplit/>
        </w:trPr>
        <w:tc>
          <w:tcPr>
            <w:tcW w:w="6035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left"/>
            </w:pPr>
            <w:r>
              <w:t xml:space="preserve">判定</w:t>
            </w:r>
          </w:p>
        </w:tc>
        <w:tc>
          <w:tcPr>
            <w:tcW w:w="3603" w:type="dxa"/>
            <w:tcBorders>
              <w:top w:val="single" w:sz="4" w:space="0" w:color="8496B0"/>
              <w:left w:val="single" w:sz="4" w:space="0" w:color="8496B0"/>
              <w:bottom w:val="single" w:sz="4" w:space="0" w:color="8496B0"/>
              <w:right w:val="single" w:sz="4" w:space="0" w:color="8496B0"/>
            </w:tcBorders>
            <w:shd w:val="clear" w:color="auto" w:fill="F2F5FA"/>
            <w:vAlign w:val="center"/>
          </w:tcPr>
          <w:p>
            <w:pPr>
              <w:pStyle w:val="TableText"/>
              <w:jc w:val="right"/>
            </w:pPr>
            <w:r>
              <w:t xml:space="preserve">保留</w:t>
            </w:r>
          </w:p>
        </w:tc>
      </w:tr>
    </w:tbl>
    <w:p>
      <w:pPr>
        <w:pStyle w:val="TableSpacer"/>
      </w:pPr>
    </w:p>
    <w:p>
      <w:pPr>
        <w:pStyle w:val="Heading4"/>
      </w:pPr>
      <w:bookmarkStart w:id="9020" w:name="_Toc90000019"/>
      <w:r>
        <w:t xml:space="preserve">1.1 エントリー条件</w:t>
      </w:r>
      <w:bookmarkEnd w:id="9020"/>
    </w:p>
    <w:p>
      <w:pPr>
        <w:pStyle w:val="Compact"/>
        <w:numPr>
          <w:ilvl w:val="0"/>
          <w:numId w:val="1007"/>
        </w:numPr>
      </w:pPr>
      <w:r>
        <w:t xml:space="preserve">株価が$55以下</w:t>
      </w:r>
    </w:p>
    <w:p>
      <w:pPr>
        <w:pStyle w:val="Compact"/>
        <w:numPr>
          <w:ilvl w:val="1"/>
          <w:numId w:val="1008"/>
        </w:numPr>
      </w:pPr>
      <w:r>
        <w:t xml:space="preserve">その場合のPERは15倍未満</w:t>
      </w:r>
    </w:p>
    <w:p>
      <w:pPr>
        <w:pStyle w:val="Compact"/>
        <w:numPr>
          <w:ilvl w:val="0"/>
          <w:numId w:val="1007"/>
        </w:numPr>
      </w:pPr>
      <w:r>
        <w:t xml:space="preserve">決算でNRRが105%以上</w:t>
      </w:r>
    </w:p>
    <w:sectPr>
      <w:footerReference w:type="default" r:id="rId9"/>
      <w:headerReference w:type="default" r:id="rId10"/>
      <w:headerReference w:type="first" r:id="rId11"/>
      <w:footerReference w:type="first" r:id="rId12"/>
      <w:pgSz w:h="16838" w:w="11906"/>
      <w:pgMar w:bottom="1134" w:footer="510" w:gutter="0" w:header="510" w:left="1134" w:right="1134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脚注は本文末ではなくページ下部に組まれる。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組版テスト用レポート
(サイバーセキュリティ銘柄分析)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•"/>
      <w:lvlJc w:val="left"/>
      <w:pPr>
        <w:ind w:left="400" w:hanging="320"/>
      </w:pPr>
      <w:rPr>
        <w:rFonts w:ascii="Arial" w:hAnsi="Arial" w:eastAsia="游ゴシック" w:cs="Arial" w:hint="default"/>
      </w:rPr>
    </w:lvl>
    <w:lvl w:ilvl="1">
      <w:numFmt w:val="bullet"/>
      <w:lvlText w:val="–"/>
      <w:lvlJc w:val="left"/>
      <w:pPr>
        <w:ind w:left="760" w:hanging="320"/>
      </w:pPr>
      <w:rPr>
        <w:rFonts w:ascii="Arial" w:hAnsi="Arial" w:eastAsia="游ゴシック" w:cs="Arial" w:hint="default"/>
      </w:rPr>
    </w:lvl>
    <w:lvl w:ilvl="2">
      <w:numFmt w:val="bullet"/>
      <w:lvlText w:val="▪"/>
      <w:lvlJc w:val="left"/>
      <w:pPr>
        <w:ind w:left="1120" w:hanging="320"/>
      </w:pPr>
      <w:rPr>
        <w:rFonts w:ascii="Arial" w:hAnsi="Arial" w:eastAsia="游ゴシック" w:cs="Arial" w:hint="default"/>
      </w:rPr>
    </w:lvl>
    <w:lvl w:ilvl="3">
      <w:numFmt w:val="bullet"/>
      <w:lvlText w:val="•"/>
      <w:lvlJc w:val="left"/>
      <w:pPr>
        <w:ind w:left="1480" w:hanging="320"/>
      </w:pPr>
      <w:rPr>
        <w:rFonts w:ascii="Arial" w:hAnsi="Arial" w:eastAsia="游ゴシック" w:cs="Arial" w:hint="default"/>
      </w:rPr>
    </w:lvl>
    <w:lvl w:ilvl="4">
      <w:numFmt w:val="bullet"/>
      <w:lvlText w:val="–"/>
      <w:lvlJc w:val="left"/>
      <w:pPr>
        <w:ind w:left="1840" w:hanging="320"/>
      </w:pPr>
      <w:rPr>
        <w:rFonts w:ascii="Arial" w:hAnsi="Arial" w:eastAsia="游ゴシック" w:cs="Arial" w:hint="default"/>
      </w:rPr>
    </w:lvl>
    <w:lvl w:ilvl="5">
      <w:numFmt w:val="bullet"/>
      <w:lvlText w:val="▪"/>
      <w:lvlJc w:val="left"/>
      <w:pPr>
        <w:ind w:left="2200" w:hanging="320"/>
      </w:pPr>
      <w:rPr>
        <w:rFonts w:ascii="Arial" w:hAnsi="Arial" w:eastAsia="游ゴシック" w:cs="Arial" w:hint="default"/>
      </w:rPr>
    </w:lvl>
    <w:lvl w:ilvl="6">
      <w:numFmt w:val="bullet"/>
      <w:lvlText w:val="•"/>
      <w:lvlJc w:val="left"/>
      <w:pPr>
        <w:ind w:left="2560" w:hanging="320"/>
      </w:pPr>
      <w:rPr>
        <w:rFonts w:ascii="Arial" w:hAnsi="Arial" w:eastAsia="游ゴシック" w:cs="Arial" w:hint="default"/>
      </w:rPr>
    </w:lvl>
    <w:lvl w:ilvl="7">
      <w:numFmt w:val="bullet"/>
      <w:lvlText w:val="–"/>
      <w:lvlJc w:val="left"/>
      <w:pPr>
        <w:ind w:left="2920" w:hanging="320"/>
      </w:pPr>
      <w:rPr>
        <w:rFonts w:ascii="Arial" w:hAnsi="Arial" w:eastAsia="游ゴシック" w:cs="Arial" w:hint="default"/>
      </w:rPr>
    </w:lvl>
    <w:lvl w:ilvl="8">
      <w:numFmt w:val="bullet"/>
      <w:lvlText w:val="▪"/>
      <w:lvlJc w:val="left"/>
      <w:pPr>
        <w:ind w:left="3280" w:hanging="320"/>
      </w:pPr>
      <w:rPr>
        <w:rFonts w:ascii="Arial" w:hAnsi="Arial" w:eastAsia="游ゴシック" w:cs="Arial" w:hint="default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400" w:hanging="320"/>
      </w:pPr>
      <w:rPr>
        <w:rFonts w:ascii="Arial" w:hAnsi="Arial" w:eastAsia="游ゴシック" w:cs="Arial" w:hint="default"/>
      </w:rPr>
    </w:lvl>
    <w:lvl w:ilvl="1">
      <w:numFmt w:val="bullet"/>
      <w:lvlText w:val="–"/>
      <w:lvlJc w:val="left"/>
      <w:pPr>
        <w:ind w:left="760" w:hanging="320"/>
      </w:pPr>
      <w:rPr>
        <w:rFonts w:ascii="Arial" w:hAnsi="Arial" w:eastAsia="游ゴシック" w:cs="Arial" w:hint="default"/>
      </w:rPr>
    </w:lvl>
    <w:lvl w:ilvl="2">
      <w:numFmt w:val="bullet"/>
      <w:lvlText w:val="▪"/>
      <w:lvlJc w:val="left"/>
      <w:pPr>
        <w:ind w:left="1120" w:hanging="320"/>
      </w:pPr>
      <w:rPr>
        <w:rFonts w:ascii="Arial" w:hAnsi="Arial" w:eastAsia="游ゴシック" w:cs="Arial" w:hint="default"/>
      </w:rPr>
    </w:lvl>
    <w:lvl w:ilvl="3">
      <w:numFmt w:val="bullet"/>
      <w:lvlText w:val="•"/>
      <w:lvlJc w:val="left"/>
      <w:pPr>
        <w:ind w:left="1480" w:hanging="320"/>
      </w:pPr>
      <w:rPr>
        <w:rFonts w:ascii="Arial" w:hAnsi="Arial" w:eastAsia="游ゴシック" w:cs="Arial" w:hint="default"/>
      </w:rPr>
    </w:lvl>
    <w:lvl w:ilvl="4">
      <w:numFmt w:val="bullet"/>
      <w:lvlText w:val="–"/>
      <w:lvlJc w:val="left"/>
      <w:pPr>
        <w:ind w:left="1840" w:hanging="320"/>
      </w:pPr>
      <w:rPr>
        <w:rFonts w:ascii="Arial" w:hAnsi="Arial" w:eastAsia="游ゴシック" w:cs="Arial" w:hint="default"/>
      </w:rPr>
    </w:lvl>
    <w:lvl w:ilvl="5">
      <w:numFmt w:val="bullet"/>
      <w:lvlText w:val="▪"/>
      <w:lvlJc w:val="left"/>
      <w:pPr>
        <w:ind w:left="2200" w:hanging="320"/>
      </w:pPr>
      <w:rPr>
        <w:rFonts w:ascii="Arial" w:hAnsi="Arial" w:eastAsia="游ゴシック" w:cs="Arial" w:hint="default"/>
      </w:rPr>
    </w:lvl>
    <w:lvl w:ilvl="6">
      <w:numFmt w:val="bullet"/>
      <w:lvlText w:val="•"/>
      <w:lvlJc w:val="left"/>
      <w:pPr>
        <w:ind w:left="2560" w:hanging="320"/>
      </w:pPr>
      <w:rPr>
        <w:rFonts w:ascii="Arial" w:hAnsi="Arial" w:eastAsia="游ゴシック" w:cs="Arial" w:hint="default"/>
      </w:rPr>
    </w:lvl>
    <w:lvl w:ilvl="7">
      <w:numFmt w:val="bullet"/>
      <w:lvlText w:val="–"/>
      <w:lvlJc w:val="left"/>
      <w:pPr>
        <w:ind w:left="2920" w:hanging="320"/>
      </w:pPr>
      <w:rPr>
        <w:rFonts w:ascii="Arial" w:hAnsi="Arial" w:eastAsia="游ゴシック" w:cs="Arial" w:hint="default"/>
      </w:rPr>
    </w:lvl>
    <w:lvl w:ilvl="8">
      <w:numFmt w:val="bullet"/>
      <w:lvlText w:val="▪"/>
      <w:lvlJc w:val="left"/>
      <w:pPr>
        <w:ind w:left="3280" w:hanging="320"/>
      </w:pPr>
      <w:rPr>
        <w:rFonts w:ascii="Arial" w:hAnsi="Arial" w:eastAsia="游ゴシック" w:cs="Arial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2."/>
      <w:lvlJc w:val="left"/>
      <w:pPr>
        <w:ind w:left="760" w:hanging="400"/>
      </w:pPr>
    </w:lvl>
    <w:lvl w:ilvl="2">
      <w:start w:val="1"/>
      <w:numFmt w:val="decimal"/>
      <w:lvlText w:val="%3."/>
      <w:lvlJc w:val="left"/>
      <w:pPr>
        <w:ind w:left="1120" w:hanging="400"/>
      </w:pPr>
    </w:lvl>
    <w:lvl w:ilvl="3">
      <w:start w:val="1"/>
      <w:numFmt w:val="decimal"/>
      <w:lvlText w:val="%4."/>
      <w:lvlJc w:val="left"/>
      <w:pPr>
        <w:ind w:left="1480" w:hanging="400"/>
      </w:pPr>
    </w:lvl>
    <w:lvl w:ilvl="4">
      <w:start w:val="1"/>
      <w:numFmt w:val="decimal"/>
      <w:lvlText w:val="%5."/>
      <w:lvlJc w:val="left"/>
      <w:pPr>
        <w:ind w:left="1840" w:hanging="400"/>
      </w:pPr>
    </w:lvl>
    <w:lvl w:ilvl="5">
      <w:start w:val="1"/>
      <w:numFmt w:val="decimal"/>
      <w:lvlText w:val="%6."/>
      <w:lvlJc w:val="left"/>
      <w:pPr>
        <w:ind w:left="2200" w:hanging="400"/>
      </w:pPr>
    </w:lvl>
    <w:lvl w:ilvl="6">
      <w:start w:val="1"/>
      <w:numFmt w:val="decimal"/>
      <w:lvlText w:val="%7."/>
      <w:lvlJc w:val="left"/>
      <w:pPr>
        <w:ind w:left="2560" w:hanging="400"/>
      </w:pPr>
    </w:lvl>
    <w:lvl w:ilvl="7">
      <w:start w:val="1"/>
      <w:numFmt w:val="decimal"/>
      <w:lvlText w:val="%8."/>
      <w:lvlJc w:val="left"/>
      <w:pPr>
        <w:ind w:left="2920" w:hanging="400"/>
      </w:pPr>
    </w:lvl>
    <w:lvl w:ilvl="8">
      <w:start w:val="1"/>
      <w:numFmt w:val="decimal"/>
      <w:lvlText w:val="%9."/>
      <w:lvlJc w:val="left"/>
      <w:pPr>
        <w:ind w:left="3280" w:hanging="40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eastAsia="ja-JP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游ゴシック" w:hAnsi="Arial"/>
        <w:sz w:val="20"/>
        <w:szCs w:val="20"/>
        <w:lang w:bidi="ar-SA" w:eastAsia="ja-JP" w:val="en-US"/>
      </w:rPr>
    </w:rPrDefault>
    <w:pPrDefault>
      <w:pPr>
        <w:spacing w:after="0" w:line="320" w:lineRule="exact"/>
      </w:pPr>
    </w:pPrDefault>
  </w:docDefaults>
  <w:latentStyles w:count="376" w:defLockedState="0" w:defQFormat="0" w:defSemiHidden="0" w:defUIPriority="99" w:defUnhideWhenUsed="0"/>
  <w:style w:default="1" w:styleId="Normal" w:type="paragraph">
    <w:name w:val="Normal"/>
    <w:qFormat/>
    <w:pPr>
      <w:widowControl/>
      <w:kinsoku/>
      <w:overflowPunct/>
      <w:spacing w:after="0" w:before="0" w:line="320" w:lineRule="exact"/>
    </w:pPr>
  </w:style>
  <w:style w:default="1" w:styleId="DefaultParagraphFont" w:type="character">
    <w:name w:val="Default Paragraph Font"/>
    <w:uiPriority w:val="1"/>
    <w:semiHidden/>
    <w:unhideWhenUsed/>
  </w:style>
  <w:style w:default="1" w:styleId="NoList" w:type="numbering">
    <w:name w:val="No List"/>
    <w:uiPriority w:val="99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BodyText" w:type="paragraph">
    <w:name w:val="Body Text"/>
    <w:basedOn w:val="Normal"/>
    <w:link w:val="BodyTextChar"/>
    <w:qFormat/>
    <w:pPr>
      <w:spacing w:after="120" w:before="0" w:line="320" w:lineRule="exact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320" w:lineRule="exact"/>
    </w:pPr>
  </w:style>
  <w:style w:customStyle="1" w:styleId="BodyTextChar" w:type="character">
    <w:name w:val="Body Text Char"/>
    <w:basedOn w:val="DefaultParagraphFont"/>
    <w:link w:val="BodyText"/>
  </w:style>
  <w:style w:styleId="Title" w:type="paragraph">
    <w:name w:val="Title"/>
    <w:basedOn w:val="Normal"/>
    <w:next w:val="BodyText"/>
    <w:uiPriority w:val="10"/>
    <w:qFormat/>
    <w:pPr>
      <w:keepNext/>
      <w:keepLines/>
      <w:spacing w:after="160" w:before="0" w:line="800" w:lineRule="exact"/>
    </w:pPr>
    <w:rPr>
      <w:b/>
      <w:bCs/>
      <w:color w:val="1F3864"/>
      <w:sz w:val="56"/>
      <w:szCs w:val="56"/>
    </w:rPr>
  </w:style>
  <w:style w:styleId="Subtitle" w:type="paragraph">
    <w:name w:val="Subtitle"/>
    <w:basedOn w:val="Normal"/>
    <w:next w:val="BodyText"/>
    <w:uiPriority w:val="11"/>
    <w:qFormat/>
    <w:pPr>
      <w:keepNext/>
      <w:keepLines/>
      <w:spacing w:after="240" w:before="0" w:line="520" w:lineRule="exact"/>
    </w:pPr>
    <w:rPr>
      <w:color w:val="44546A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keepLines/>
    </w:pPr>
  </w:style>
  <w:style w:styleId="Date" w:type="paragraph">
    <w:name w:val="Date"/>
    <w:basedOn w:val="Normal"/>
    <w:next w:val="BodyText"/>
    <w:qFormat/>
    <w:pPr>
      <w:keepNext/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60" w:before="200"/>
    </w:pPr>
    <w:rPr>
      <w:b/>
      <w:color w:val="1F3864"/>
    </w:rPr>
  </w:style>
  <w:style w:customStyle="1" w:styleId="Abstract" w:type="paragraph">
    <w:name w:val="Abstract"/>
    <w:basedOn w:val="Normal"/>
    <w:next w:val="BodyText"/>
    <w:qFormat/>
    <w:pPr>
      <w:spacing w:after="200" w:before="60"/>
    </w:pPr>
    <w:rPr>
      <w:sz w:val="19"/>
      <w:szCs w:val="19"/>
    </w:rPr>
  </w:style>
  <w:style w:customStyle="1" w:styleId="CoverMeta" w:type="paragraph">
    <w:name w:val="Cover Meta"/>
    <w:basedOn w:val="Normal"/>
    <w:next w:val="BodyText"/>
    <w:qFormat/>
    <w:pPr>
      <w:spacing w:after="60" w:before="0" w:line="400" w:lineRule="exact"/>
    </w:pPr>
    <w:rPr>
      <w:color w:val="404040"/>
      <w:sz w:val="22"/>
      <w:szCs w:val="22"/>
    </w:rPr>
  </w:style>
  <w:style w:customStyle="1" w:styleId="CoverNote" w:type="paragraph">
    <w:name w:val="Cover Note"/>
    <w:basedOn w:val="Normal"/>
    <w:next w:val="BodyText"/>
    <w:qFormat/>
    <w:pPr>
      <w:pBdr>
        <w:top w:color="BFBFBF" w:space="6" w:sz="4" w:val="single"/>
        <w:left w:color="BFBFBF" w:space="6" w:sz="4" w:val="single"/>
        <w:bottom w:color="BFBFBF" w:space="6" w:sz="4" w:val="single"/>
        <w:right w:color="BFBFBF" w:space="6" w:sz="4" w:val="single"/>
      </w:pBdr>
      <w:shd w:color="auto" w:fill="F7F7F7" w:val="clear"/>
      <w:spacing w:after="0" w:before="0" w:line="260" w:lineRule="exact"/>
      <w:ind w:left="140" w:right="140"/>
    </w:pPr>
    <w:rPr>
      <w:color w:val="404040"/>
      <w:sz w:val="16"/>
      <w:szCs w:val="16"/>
    </w:rPr>
  </w:style>
  <w:style w:styleId="Bibliography" w:type="paragraph">
    <w:name w:val="Bibliography"/>
    <w:basedOn w:val="Normal"/>
    <w:next w:val="Bibliography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pBdr>
        <w:bottom w:color="1F3864" w:space="4" w:sz="18" w:val="single"/>
      </w:pBdr>
      <w:spacing w:after="260" w:before="0" w:line="600" w:lineRule="exact"/>
      <w:outlineLvl w:val="0"/>
    </w:pPr>
    <w:rPr>
      <w:b/>
      <w:bCs/>
      <w:color w:val="1F3864"/>
      <w:sz w:val="44"/>
      <w:szCs w:val="4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pBdr>
        <w:bottom w:color="8FAADC" w:space="3" w:sz="6" w:val="single"/>
      </w:pBdr>
      <w:spacing w:after="160" w:before="360" w:line="480" w:lineRule="exact"/>
      <w:outlineLvl w:val="1"/>
    </w:pPr>
    <w:rPr>
      <w:b/>
      <w:bCs/>
      <w:color w:val="1F3864"/>
      <w:sz w:val="32"/>
      <w:szCs w:val="32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pBdr>
        <w:left w:color="2F5496" w:space="6" w:sz="24" w:val="single"/>
      </w:pBdr>
      <w:spacing w:after="120" w:before="280" w:line="400" w:lineRule="exact"/>
      <w:ind w:left="200"/>
      <w:outlineLvl w:val="2"/>
    </w:pPr>
    <w:rPr>
      <w:b/>
      <w:bCs/>
      <w:color w:val="2F5496"/>
      <w:sz w:val="26"/>
      <w:szCs w:val="26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220" w:line="360" w:lineRule="exact"/>
      <w:outlineLvl w:val="3"/>
    </w:pPr>
    <w:rPr>
      <w:b/>
      <w:bCs/>
      <w:color w:val="44546A"/>
      <w:sz w:val="22"/>
      <w:szCs w:val="22"/>
    </w:rPr>
  </w:style>
  <w:style w:styleId="Heading5" w:type="paragraph">
    <w:name w:val="heading 5"/>
    <w:basedOn w:val="Normal"/>
    <w:next w:val="BodyText"/>
    <w:uiPriority w:val="9"/>
    <w:qFormat/>
    <w:pPr>
      <w:keepNext/>
      <w:keepLines/>
      <w:spacing w:after="60" w:before="180" w:line="320" w:lineRule="exact"/>
      <w:outlineLvl w:val="4"/>
    </w:pPr>
    <w:rPr>
      <w:b/>
      <w:bCs/>
      <w:color w:val="595959"/>
      <w:sz w:val="20"/>
      <w:szCs w:val="20"/>
    </w:rPr>
  </w:style>
  <w:style w:styleId="Heading6" w:type="paragraph">
    <w:name w:val="heading 6"/>
    <w:basedOn w:val="Normal"/>
    <w:next w:val="BodyText"/>
    <w:uiPriority w:val="9"/>
    <w:qFormat/>
    <w:pPr>
      <w:keepNext/>
      <w:keepLines/>
      <w:spacing w:after="60" w:before="160" w:line="320" w:lineRule="exact"/>
      <w:outlineLvl w:val="5"/>
    </w:pPr>
    <w:rPr>
      <w:b/>
      <w:bCs/>
      <w:i/>
      <w:iCs/>
      <w:color w:val="595959"/>
      <w:sz w:val="20"/>
      <w:szCs w:val="20"/>
    </w:rPr>
  </w:style>
  <w:style w:styleId="Heading7" w:type="paragraph">
    <w:name w:val="heading 7"/>
    <w:basedOn w:val="Normal"/>
    <w:next w:val="BodyText"/>
    <w:uiPriority w:val="9"/>
    <w:qFormat/>
    <w:pPr>
      <w:keepNext/>
      <w:keepLines/>
      <w:spacing w:after="60" w:before="160" w:line="320" w:lineRule="exact"/>
      <w:outlineLvl w:val="6"/>
    </w:pPr>
    <w:rPr>
      <w:b/>
      <w:bCs/>
      <w:i/>
      <w:iCs/>
      <w:color w:val="595959"/>
      <w:sz w:val="20"/>
      <w:szCs w:val="20"/>
    </w:rPr>
  </w:style>
  <w:style w:styleId="Heading8" w:type="paragraph">
    <w:name w:val="heading 8"/>
    <w:basedOn w:val="Normal"/>
    <w:next w:val="BodyText"/>
    <w:uiPriority w:val="9"/>
    <w:qFormat/>
    <w:pPr>
      <w:keepNext/>
      <w:keepLines/>
      <w:spacing w:after="60" w:before="160" w:line="320" w:lineRule="exact"/>
      <w:outlineLvl w:val="7"/>
    </w:pPr>
    <w:rPr>
      <w:b/>
      <w:bCs/>
      <w:i/>
      <w:iCs/>
      <w:color w:val="595959"/>
      <w:sz w:val="20"/>
      <w:szCs w:val="20"/>
    </w:rPr>
  </w:style>
  <w:style w:styleId="Heading9" w:type="paragraph">
    <w:name w:val="heading 9"/>
    <w:basedOn w:val="Normal"/>
    <w:next w:val="BodyText"/>
    <w:uiPriority w:val="9"/>
    <w:qFormat/>
    <w:pPr>
      <w:keepNext/>
      <w:keepLines/>
      <w:spacing w:after="60" w:before="160" w:line="320" w:lineRule="exact"/>
      <w:outlineLvl w:val="8"/>
    </w:pPr>
    <w:rPr>
      <w:b/>
      <w:bCs/>
      <w:i/>
      <w:iCs/>
      <w:color w:val="595959"/>
      <w:sz w:val="20"/>
      <w:szCs w:val="20"/>
    </w:rPr>
  </w:style>
  <w:style w:styleId="BlockText" w:type="paragraph">
    <w:name w:val="Block Text"/>
    <w:basedOn w:val="BodyText"/>
    <w:next w:val="BodyText"/>
    <w:uiPriority w:val="9"/>
    <w:qFormat/>
    <w:pPr>
      <w:pBdr>
        <w:top w:color="F2F2F2" w:space="3" w:sz="4" w:val="single"/>
        <w:left w:color="8496B0" w:space="8" w:sz="24" w:val="single"/>
        <w:bottom w:color="F2F2F2" w:space="3" w:sz="4" w:val="single"/>
      </w:pBdr>
      <w:shd w:color="auto" w:fill="F2F2F2" w:val="clear"/>
      <w:spacing w:after="80" w:before="0" w:line="320" w:lineRule="exact"/>
      <w:ind w:firstLine="0" w:left="300" w:right="120"/>
    </w:pPr>
    <w:rPr>
      <w:color w:val="404040"/>
    </w:rPr>
  </w:style>
  <w:style w:customStyle="1" w:styleId="SourceCode" w:type="paragraph">
    <w:name w:val="Source Code"/>
    <w:basedOn w:val="Normal"/>
    <w:next w:val="SourceCode"/>
    <w:qFormat/>
    <w:pPr>
      <w:keepLines/>
      <w:pBdr>
        <w:top w:color="D0D7E2" w:space="3" w:sz="4" w:val="single"/>
        <w:left w:color="D0D7E2" w:space="4" w:sz="4" w:val="single"/>
        <w:bottom w:color="D0D7E2" w:space="3" w:sz="4" w:val="single"/>
        <w:right w:color="D0D7E2" w:space="4" w:sz="4" w:val="single"/>
      </w:pBdr>
      <w:shd w:color="auto" w:fill="F5F7FA" w:val="clear"/>
      <w:wordWrap w:val="0"/>
      <w:spacing w:after="160" w:before="120" w:line="260" w:lineRule="exact"/>
      <w:ind w:left="140" w:right="140"/>
    </w:pPr>
    <w:rPr>
      <w:rFonts w:ascii="Consolas" w:cs="Consolas" w:eastAsia="MS Gothic" w:hAnsi="Consolas"/>
      <w:sz w:val="17"/>
      <w:szCs w:val="17"/>
    </w:rPr>
  </w:style>
  <w:style w:customStyle="1" w:styleId="VerbatimChar" w:type="character">
    <w:name w:val="Verbatim Char"/>
    <w:basedOn w:val="DefaultParagraphFont"/>
    <w:rPr>
      <w:rFonts w:ascii="Consolas" w:cs="Consolas" w:eastAsia="MS Gothic" w:hAnsi="Consolas"/>
      <w:sz w:val="17"/>
      <w:szCs w:val="17"/>
    </w:rPr>
  </w:style>
  <w:style w:styleId="FootnoteText" w:type="paragraph">
    <w:name w:val="footnote text"/>
    <w:basedOn w:val="Normal"/>
    <w:next w:val="FootnoteText"/>
    <w:uiPriority w:val="9"/>
    <w:qFormat/>
    <w:pPr>
      <w:spacing w:after="20" w:before="0" w:line="240" w:lineRule="exact"/>
    </w:pPr>
    <w:rPr>
      <w:sz w:val="16"/>
      <w:szCs w:val="16"/>
    </w:rPr>
  </w:style>
  <w:style w:styleId="FootnoteReference" w:type="character">
    <w:name w:val="footnote reference"/>
    <w:basedOn w:val="DefaultParagraphFont"/>
    <w:rPr>
      <w:vertAlign w:val="superscript"/>
    </w:rPr>
  </w:style>
  <w:style w:customStyle="1" w:styleId="DefinitionTerm" w:type="paragraph">
    <w:name w:val="Definition Term"/>
    <w:basedOn w:val="Normal"/>
    <w:next w:val="Definition"/>
    <w:qFormat/>
    <w:pPr>
      <w:keepNext/>
      <w:keepLines/>
      <w:spacing w:after="0" w:before="60" w:line="320" w:lineRule="exact"/>
    </w:pPr>
    <w:rPr>
      <w:b/>
      <w:bCs/>
    </w:rPr>
  </w:style>
  <w:style w:customStyle="1" w:styleId="Definition" w:type="paragraph">
    <w:name w:val="Definition"/>
    <w:basedOn w:val="Normal"/>
    <w:qFormat/>
    <w:pPr>
      <w:spacing w:after="80" w:before="0" w:line="320" w:lineRule="exact"/>
      <w:ind w:left="400"/>
    </w:pPr>
  </w:style>
  <w:style w:styleId="Caption" w:type="paragraph">
    <w:name w:val="caption"/>
    <w:basedOn w:val="Normal"/>
    <w:next w:val="Normal"/>
    <w:uiPriority w:val="35"/>
    <w:qFormat/>
    <w:pPr>
      <w:spacing w:after="120" w:before="60" w:line="300" w:lineRule="exact"/>
    </w:pPr>
    <w:rPr>
      <w:color w:val="404040"/>
      <w:sz w:val="18"/>
      <w:szCs w:val="18"/>
    </w:rPr>
  </w:style>
  <w:style w:customStyle="1" w:styleId="TableCaption" w:type="paragraph">
    <w:name w:val="Table Caption"/>
    <w:basedOn w:val="Caption"/>
    <w:qFormat/>
    <w:pPr>
      <w:keepNext/>
      <w:spacing w:after="80" w:before="200" w:line="300" w:lineRule="exact"/>
    </w:pPr>
    <w:rPr>
      <w:b/>
      <w:bCs/>
    </w:rPr>
  </w:style>
  <w:style w:customStyle="1" w:styleId="ImageCaption" w:type="paragraph">
    <w:name w:val="Image Caption"/>
    <w:basedOn w:val="Caption"/>
    <w:qFormat/>
    <w:pPr>
      <w:spacing w:after="240" w:before="40" w:line="300" w:lineRule="exact"/>
      <w:jc w:val="center"/>
    </w:pPr>
  </w:style>
  <w:style w:customStyle="1" w:styleId="Figure" w:type="paragraph">
    <w:name w:val="Figure"/>
    <w:basedOn w:val="Normal"/>
    <w:qFormat/>
    <w:pPr>
      <w:spacing w:after="0" w:before="120" w:line="240" w:lineRule="auto"/>
      <w:jc w:val="center"/>
    </w:pPr>
  </w:style>
  <w:style w:customStyle="1" w:styleId="CaptionedFigure" w:type="paragraph">
    <w:name w:val="Captioned Figure"/>
    <w:basedOn w:val="Figure"/>
    <w:qFormat/>
    <w:pPr>
      <w:keepNext/>
    </w:pPr>
  </w:style>
  <w:style w:styleId="Table" w:type="table">
    <w:name w:val="Table"/>
    <w:basedOn w:val="TableNormal"/>
    <w:uiPriority w:val="59"/>
    <w:qFormat/>
    <w:tblPr>
      <w:tblInd w:type="dxa" w:w="0"/>
      <w:tblBorders>
        <w:top w:color="8496B0" w:space="0" w:sz="4" w:val="single"/>
        <w:left w:color="8496B0" w:space="0" w:sz="4" w:val="single"/>
        <w:bottom w:color="8496B0" w:space="0" w:sz="4" w:val="single"/>
        <w:right w:color="8496B0" w:space="0" w:sz="4" w:val="single"/>
        <w:insideH w:color="8496B0" w:space="0" w:sz="4" w:val="single"/>
        <w:insideV w:color="8496B0" w:space="0" w:sz="4" w:val="single"/>
      </w:tblBorders>
      <w:tblCellMar>
        <w:top w:type="dxa" w:w="30"/>
        <w:left w:type="dxa" w:w="60"/>
        <w:bottom w:type="dxa" w:w="30"/>
        <w:right w:type="dxa" w:w="60"/>
      </w:tblCellMar>
    </w:tblPr>
  </w:style>
  <w:style w:customStyle="1" w:styleId="TableText" w:type="paragraph">
    <w:name w:val="Table Text"/>
    <w:basedOn w:val="Normal"/>
    <w:qFormat/>
    <w:pPr>
      <w:spacing w:after="0" w:before="0" w:line="240" w:lineRule="exact"/>
    </w:pPr>
    <w:rPr>
      <w:sz w:val="16"/>
      <w:szCs w:val="16"/>
    </w:rPr>
  </w:style>
  <w:style w:customStyle="1" w:styleId="TableTextSmall" w:type="paragraph">
    <w:name w:val="Table Text Small"/>
    <w:basedOn w:val="TableText"/>
    <w:qFormat/>
    <w:pPr>
      <w:spacing w:after="0" w:before="0" w:line="210" w:lineRule="exact"/>
    </w:pPr>
    <w:rPr>
      <w:sz w:val="14"/>
      <w:szCs w:val="14"/>
    </w:rPr>
  </w:style>
  <w:style w:customStyle="1" w:styleId="TableSpacer" w:type="paragraph">
    <w:name w:val="Table Spacer"/>
    <w:basedOn w:val="Normal"/>
    <w:pPr>
      <w:spacing w:after="0" w:before="0" w:line="160" w:lineRule="exact"/>
    </w:pPr>
    <w:rPr>
      <w:sz w:val="8"/>
      <w:szCs w:val="8"/>
    </w:rPr>
  </w:style>
  <w:style w:customStyle="1" w:styleId="HorizontalRule" w:type="paragraph">
    <w:name w:val="Horizontal Rule"/>
    <w:basedOn w:val="Normal"/>
    <w:pPr>
      <w:pBdr>
        <w:bottom w:color="A6A6A6" w:space="1" w:sz="6" w:val="single"/>
      </w:pBdr>
      <w:spacing w:after="160" w:before="120" w:line="80" w:lineRule="exact"/>
    </w:pPr>
    <w:rPr>
      <w:sz w:val="4"/>
      <w:szCs w:val="4"/>
    </w:rPr>
  </w:style>
  <w:style w:customStyle="1" w:styleId="PageBreakMarker" w:type="paragraph">
    <w:name w:val="Page Break Marker"/>
    <w:basedOn w:val="Normal"/>
    <w:pPr>
      <w:pageBreakBefore/>
      <w:spacing w:after="0" w:before="0" w:line="20" w:lineRule="exact"/>
    </w:pPr>
    <w:rPr>
      <w:sz w:val="2"/>
      <w:szCs w:val="2"/>
    </w:rPr>
  </w:style>
  <w:style w:styleId="TOCHeading" w:type="paragraph">
    <w:name w:val="TOC Heading"/>
    <w:basedOn w:val="Normal"/>
    <w:next w:val="BodyText"/>
    <w:uiPriority w:val="39"/>
    <w:qFormat/>
    <w:pPr>
      <w:keepNext/>
      <w:keepLines/>
      <w:pBdr>
        <w:bottom w:color="1F3864" w:space="4" w:sz="18" w:val="single"/>
      </w:pBdr>
      <w:spacing w:after="260" w:before="0" w:line="600" w:lineRule="exact"/>
    </w:pPr>
    <w:rPr>
      <w:b/>
      <w:bCs/>
      <w:color w:val="1F3864"/>
      <w:sz w:val="44"/>
      <w:szCs w:val="44"/>
    </w:rPr>
  </w:style>
  <w:style w:styleId="TOC1" w:type="paragraph">
    <w:name w:val="toc 1"/>
    <w:basedOn w:val="Normal"/>
    <w:next w:val="Normal"/>
    <w:uiPriority w:val="39"/>
    <w:pPr>
      <w:tabs>
        <w:tab w:leader="dot" w:pos="9638" w:val="right"/>
      </w:tabs>
      <w:spacing w:after="30" w:before="140" w:line="320" w:lineRule="exact"/>
      <w:ind w:right="560"/>
    </w:pPr>
    <w:rPr>
      <w:b/>
      <w:bCs/>
      <w:color w:val="1F3864"/>
      <w:sz w:val="21"/>
      <w:szCs w:val="21"/>
    </w:rPr>
  </w:style>
  <w:style w:styleId="TOC2" w:type="paragraph">
    <w:name w:val="toc 2"/>
    <w:basedOn w:val="Normal"/>
    <w:next w:val="Normal"/>
    <w:uiPriority w:val="39"/>
    <w:pPr>
      <w:tabs>
        <w:tab w:leader="dot" w:pos="9638" w:val="right"/>
      </w:tabs>
      <w:spacing w:after="10" w:before="20" w:line="300" w:lineRule="exact"/>
      <w:ind w:left="240" w:right="560"/>
    </w:pPr>
    <w:rPr>
      <w:sz w:val="20"/>
      <w:szCs w:val="20"/>
    </w:rPr>
  </w:style>
  <w:style w:styleId="TOC3" w:type="paragraph">
    <w:name w:val="toc 3"/>
    <w:basedOn w:val="Normal"/>
    <w:next w:val="Normal"/>
    <w:uiPriority w:val="39"/>
    <w:pPr>
      <w:tabs>
        <w:tab w:leader="dot" w:pos="9638" w:val="right"/>
      </w:tabs>
      <w:spacing w:after="0" w:before="0" w:line="280" w:lineRule="exact"/>
      <w:ind w:left="480" w:right="560"/>
    </w:pPr>
    <w:rPr>
      <w:color w:val="404040"/>
      <w:sz w:val="18"/>
      <w:szCs w:val="18"/>
    </w:rPr>
  </w:style>
  <w:style w:styleId="Header" w:type="paragraph">
    <w:name w:val="header"/>
    <w:basedOn w:val="Normal"/>
    <w:uiPriority w:val="99"/>
    <w:pPr>
      <w:pBdr>
        <w:bottom w:color="BFBFBF" w:space="3" w:sz="4" w:val="single"/>
      </w:pBdr>
      <w:tabs>
        <w:tab w:pos="9638" w:val="right"/>
      </w:tabs>
      <w:spacing w:after="0" w:before="0" w:line="240" w:lineRule="exact"/>
    </w:pPr>
    <w:rPr>
      <w:color w:val="7F7F7F"/>
      <w:sz w:val="16"/>
      <w:szCs w:val="16"/>
    </w:rPr>
  </w:style>
  <w:style w:styleId="Footer" w:type="paragraph">
    <w:name w:val="footer"/>
    <w:basedOn w:val="Normal"/>
    <w:uiPriority w:val="99"/>
    <w:pPr>
      <w:spacing w:after="0" w:before="0" w:line="240" w:lineRule="exact"/>
      <w:jc w:val="center"/>
    </w:pPr>
    <w:rPr>
      <w:color w:val="595959"/>
      <w:sz w:val="18"/>
      <w:szCs w:val="18"/>
    </w:rPr>
  </w:style>
  <w:style w:styleId="Hyperlink" w:type="character">
    <w:name w:val="Hyperlink"/>
    <w:basedOn w:val="DefaultParagraphFont"/>
    <w:uiPriority w:val="99"/>
    <w:rPr>
      <w:color w:val="2F5496"/>
      <w:u w:val="single"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customStyle="1" w:styleId="SectionNumber" w:type="character">
    <w:name w:val="Section Number"/>
    <w:basedOn w:val="BodyText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hyperlink" Target="https://example.com/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組版テスト用レポート (サイバーセキュリティ銘柄分析)</dc:title>
  <dc:creator/>
  <cp:keywords/>
  <dcterms:created xsi:type="dcterms:W3CDTF">2026-10-11T00:00:00Z</dcterms:created>
  <dcterms:modified xsi:type="dcterms:W3CDTF">2026-10-11T04:43:34Z</dcterms:modified>
  <dc:subject>日本語 Markdown から Word への組版パイプライン検証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