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CoverNote"/>
        <w:framePr w:w="9358" w:hRule="auto" w:hSpace="0" w:wrap="around" w:vAnchor="margin" w:hAnchor="margin" w:xAlign="left" w:yAlign="bottom"/>
      </w:pPr>
      <w:r>
        <w:rPr>
          <w:b/>
        </w:rPr>
        <w:t xml:space="preserve">免責事項</w:t>
      </w:r>
    </w:p>
    <w:p>
      <w:pPr>
        <w:pStyle w:val="CoverNote"/>
        <w:framePr w:w="9358" w:hRule="auto" w:hSpace="0" w:wrap="around" w:vAnchor="margin" w:hAnchor="margin" w:xAlign="left" w:yAlign="bottom"/>
        <w:spacing w:before="60" w:after="0" w:line="260" w:lineRule="exact"/>
      </w:pPr>
      <w:r>
        <w:t xml:space="preserve">本書は組版パイプラインの動作確認用サンプルであり、数値・社名はすべて架空である。</w:t>
      </w:r>
    </w:p>
    <w:p>
      <w:pPr>
        <w:pStyle w:val="CoverNote"/>
        <w:framePr w:w="9358" w:hRule="auto" w:hSpace="0" w:wrap="around" w:vAnchor="margin" w:hAnchor="margin" w:xAlign="left" w:yAlign="bottom"/>
        <w:spacing w:before="60" w:after="0" w:line="260" w:lineRule="exact"/>
      </w:pPr>
      <w:r>
        <w:t xml:space="preserve">実在の企業の評価や投資勧誘を目的とするものではなく、投資判断の根拠として利用してはならない。</w:t>
      </w:r>
    </w:p>
    <w:p>
      <w:pPr>
        <w:pStyle w:val="CoverNote"/>
        <w:framePr w:w="9358" w:hRule="auto" w:hSpace="0" w:wrap="around" w:vAnchor="margin" w:hAnchor="margin" w:xAlign="left" w:yAlign="bottom"/>
        <w:spacing w:before="60" w:after="0" w:line="260" w:lineRule="exact"/>
      </w:pPr>
      <w:r>
        <w:t xml:space="preserve">本文中の将来予想は仮定に基づくものであり、実際の結果と異なる可能性がある。</w:t>
      </w:r>
    </w:p>
    <w:p>
      <w:pPr>
        <w:pStyle w:val="Normal"/>
        <w:pBdr>
          <w:bottom w:val="single" w:sz="48" w:space="1" w:color="1F3864"/>
        </w:pBdr>
        <w:spacing w:before="2000" w:after="0" w:line="80" w:lineRule="exact"/>
      </w:pPr>
    </w:p>
    <w:p>
      <w:pPr>
        <w:pStyle w:val="Title"/>
        <w:spacing w:before="520" w:after="120" w:line="800" w:lineRule="exact"/>
      </w:pPr>
      <w:r>
        <w:t xml:space="preserve">組版テスト用レポート</w:t>
      </w:r>
    </w:p>
    <w:p>
      <w:pPr>
        <w:pStyle w:val="Title"/>
      </w:pPr>
      <w:r>
        <w:t xml:space="preserve">(サイバーセキュリティ銘柄分析)</w:t>
      </w:r>
    </w:p>
    <w:p>
      <w:pPr>
        <w:pStyle w:val="Subtitle"/>
      </w:pPr>
      <w:r>
        <w:t xml:space="preserve">日本語 Markdown から Word への組版パイプライン検証</w:t>
      </w:r>
    </w:p>
    <w:p>
      <w:pPr>
        <w:pStyle w:val="Normal"/>
        <w:pBdr>
          <w:bottom w:val="single" w:sz="6" w:space="1" w:color="A6A6A6"/>
        </w:pBdr>
        <w:spacing w:before="200" w:after="240" w:line="40" w:lineRule="exact"/>
      </w:pPr>
    </w:p>
    <w:p>
      <w:pPr>
        <w:pStyle w:val="CoverMeta"/>
      </w:pPr>
      <w:r>
        <w:t xml:space="preserve">作成日: 2026年10月11日</w:t>
      </w:r>
    </w:p>
    <w:p>
      <w:pPr>
        <w:pStyle w:val="TOCHeading"/>
        <w:pageBreakBefore/>
      </w:pPr>
      <w:r>
        <w:t xml:space="preserve">目次</w:t>
      </w:r>
    </w:p>
    <w:p>
      <w:pPr>
        <w:pStyle w:val="TOC1"/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anchor="_Toc90000000" w:history="1">
        <w:r>
          <w:t xml:space="preserve">第I部 サンプル分析メモ</w:t>
        </w:r>
        <w:r>
          <w:tab/>
        </w:r>
        <w:r>
          <w:fldChar w:fldCharType="begin"/>
        </w:r>
        <w:r>
          <w:instrText xml:space="preserve"> PAGEREF _Toc90000000 \h </w:instrText>
        </w:r>
        <w:r>
          <w:fldChar w:fldCharType="separate"/>
        </w:r>
        <w:r>
          <w:t xml:space="preserve">3</w:t>
        </w:r>
        <w:r>
          <w:fldChar w:fldCharType="end"/>
        </w:r>
      </w:hyperlink>
    </w:p>
    <w:p>
      <w:pPr>
        <w:pStyle w:val="TOC2"/>
      </w:pPr>
      <w:hyperlink w:anchor="_Toc90000001" w:history="1">
        <w:r>
          <w:t xml:space="preserve">組版テスト: サンプル株式会社 分析メモ</w:t>
        </w:r>
        <w:r>
          <w:tab/>
        </w:r>
        <w:r>
          <w:fldChar w:fldCharType="begin"/>
        </w:r>
        <w:r>
          <w:instrText xml:space="preserve"> PAGEREF _Toc90000001 \h </w:instrText>
        </w:r>
        <w:r>
          <w:fldChar w:fldCharType="separate"/>
        </w:r>
        <w:r>
          <w:t xml:space="preserve">3</w:t>
        </w:r>
        <w:r>
          <w:fldChar w:fldCharType="end"/>
        </w:r>
      </w:hyperlink>
    </w:p>
    <w:p>
      <w:pPr>
        <w:pStyle w:val="TOC3"/>
      </w:pPr>
      <w:hyperlink w:anchor="_Toc90000002" w:history="1">
        <w:r>
          <w:t xml:space="preserve">1. 要旨</w:t>
        </w:r>
        <w:r>
          <w:tab/>
        </w:r>
        <w:r>
          <w:fldChar w:fldCharType="begin"/>
        </w:r>
        <w:r>
          <w:instrText xml:space="preserve"> PAGEREF _Toc90000002 \h </w:instrText>
        </w:r>
        <w:r>
          <w:fldChar w:fldCharType="separate"/>
        </w:r>
        <w:r>
          <w:t xml:space="preserve">3</w:t>
        </w:r>
        <w:r>
          <w:fldChar w:fldCharType="end"/>
        </w:r>
      </w:hyperlink>
    </w:p>
    <w:p>
      <w:pPr>
        <w:pStyle w:val="TOC3"/>
      </w:pPr>
      <w:hyperlink w:anchor="_Toc90000005" w:history="1">
        <w:r>
          <w:t xml:space="preserve">2. 財務データ(12列×20行の表)</w:t>
        </w:r>
        <w:r>
          <w:tab/>
        </w:r>
        <w:r>
          <w:fldChar w:fldCharType="begin"/>
        </w:r>
        <w:r>
          <w:instrText xml:space="preserve"> PAGEREF _Toc90000005 \h </w:instrText>
        </w:r>
        <w:r>
          <w:fldChar w:fldCharType="separate"/>
        </w:r>
        <w:r>
          <w:t xml:space="preserve">3</w:t>
        </w:r>
        <w:r>
          <w:fldChar w:fldCharType="end"/>
        </w:r>
      </w:hyperlink>
    </w:p>
    <w:p>
      <w:pPr>
        <w:pStyle w:val="TOC3"/>
      </w:pPr>
      <w:hyperlink w:anchor="_Toc90000006" w:history="1">
        <w:r>
          <w:t xml:space="preserve">3. グラフ</w:t>
        </w:r>
        <w:r>
          <w:tab/>
        </w:r>
        <w:r>
          <w:fldChar w:fldCharType="begin"/>
        </w:r>
        <w:r>
          <w:instrText xml:space="preserve"> PAGEREF _Toc90000006 \h </w:instrText>
        </w:r>
        <w:r>
          <w:fldChar w:fldCharType="separate"/>
        </w:r>
        <w:r>
          <w:t xml:space="preserve">4</w:t>
        </w:r>
        <w:r>
          <w:fldChar w:fldCharType="end"/>
        </w:r>
      </w:hyperlink>
    </w:p>
    <w:p>
      <w:pPr>
        <w:pStyle w:val="TOC3"/>
      </w:pPr>
      <w:hyperlink w:anchor="_Toc90000007" w:history="1">
        <w:r>
          <w:t xml:space="preserve">4. 引用・コード・罫線</w:t>
        </w:r>
        <w:r>
          <w:tab/>
        </w:r>
        <w:r>
          <w:fldChar w:fldCharType="begin"/>
        </w:r>
        <w:r>
          <w:instrText xml:space="preserve"> PAGEREF _Toc90000007 \h </w:instrText>
        </w:r>
        <w:r>
          <w:fldChar w:fldCharType="separate"/>
        </w:r>
        <w:r>
          <w:t xml:space="preserve">4</w:t>
        </w:r>
        <w:r>
          <w:fldChar w:fldCharType="end"/>
        </w:r>
      </w:hyperlink>
    </w:p>
    <w:p>
      <w:pPr>
        <w:pStyle w:val="TOC1"/>
      </w:pPr>
      <w:hyperlink w:anchor="_Toc90000008" w:history="1">
        <w:r>
          <w:t xml:space="preserve">第II部 銘柄別報告書</w:t>
        </w:r>
        <w:r>
          <w:tab/>
        </w:r>
        <w:r>
          <w:fldChar w:fldCharType="begin"/>
        </w:r>
        <w:r>
          <w:instrText xml:space="preserve"> PAGEREF _Toc90000008 \h </w:instrText>
        </w:r>
        <w:r>
          <w:fldChar w:fldCharType="separate"/>
        </w:r>
        <w:r>
          <w:t xml:space="preserve">6</w:t>
        </w:r>
        <w:r>
          <w:fldChar w:fldCharType="end"/>
        </w:r>
      </w:hyperlink>
    </w:p>
    <w:p>
      <w:pPr>
        <w:pStyle w:val="TOC2"/>
      </w:pPr>
      <w:hyperlink w:anchor="_Toc90000009" w:history="1">
        <w:r>
          <w:t xml:space="preserve">サンプルB社 報告書</w:t>
        </w:r>
        <w:r>
          <w:tab/>
        </w:r>
        <w:r>
          <w:fldChar w:fldCharType="begin"/>
        </w:r>
        <w:r>
          <w:instrText xml:space="preserve"> PAGEREF _Toc90000009 \h </w:instrText>
        </w:r>
        <w:r>
          <w:fldChar w:fldCharType="separate"/>
        </w:r>
        <w:r>
          <w:t xml:space="preserve">6</w:t>
        </w:r>
        <w:r>
          <w:fldChar w:fldCharType="end"/>
        </w:r>
      </w:hyperlink>
    </w:p>
    <w:p>
      <w:pPr>
        <w:pStyle w:val="TOC3"/>
      </w:pPr>
      <w:hyperlink w:anchor="_Toc90000010" w:history="1">
        <w:r>
          <w:t xml:space="preserve">1. 事業の概要</w:t>
        </w:r>
        <w:r>
          <w:tab/>
        </w:r>
        <w:r>
          <w:fldChar w:fldCharType="begin"/>
        </w:r>
        <w:r>
          <w:instrText xml:space="preserve"> PAGEREF _Toc90000010 \h </w:instrText>
        </w:r>
        <w:r>
          <w:fldChar w:fldCharType="separate"/>
        </w:r>
        <w:r>
          <w:t xml:space="preserve">6</w:t>
        </w:r>
        <w:r>
          <w:fldChar w:fldCharType="end"/>
        </w:r>
      </w:hyperlink>
    </w:p>
    <w:p>
      <w:pPr>
        <w:pStyle w:val="TOC3"/>
      </w:pPr>
      <w:hyperlink w:anchor="_Toc90000013" w:history="1">
        <w:r>
          <w:t xml:space="preserve">2. リスクの整理(文章量の多い表)</w:t>
        </w:r>
        <w:r>
          <w:tab/>
        </w:r>
        <w:r>
          <w:fldChar w:fldCharType="begin"/>
        </w:r>
        <w:r>
          <w:instrText xml:space="preserve"> PAGEREF _Toc90000013 \h </w:instrText>
        </w:r>
        <w:r>
          <w:fldChar w:fldCharType="separate"/>
        </w:r>
        <w:r>
          <w:t xml:space="preserve">6</w:t>
        </w:r>
        <w:r>
          <w:fldChar w:fldCharType="end"/>
        </w:r>
      </w:hyperlink>
    </w:p>
    <w:p>
      <w:pPr>
        <w:pStyle w:val="TOC3"/>
      </w:pPr>
      <w:hyperlink w:anchor="_Toc90000014" w:history="1">
        <w:r>
          <w:t xml:space="preserve">3. 業績予想(9列・7pt)</w:t>
        </w:r>
        <w:r>
          <w:tab/>
        </w:r>
        <w:r>
          <w:fldChar w:fldCharType="begin"/>
        </w:r>
        <w:r>
          <w:instrText xml:space="preserve"> PAGEREF _Toc90000014 \h </w:instrText>
        </w:r>
        <w:r>
          <w:fldChar w:fldCharType="separate"/>
        </w:r>
        <w:r>
          <w:t xml:space="preserve">7</w:t>
        </w:r>
        <w:r>
          <w:fldChar w:fldCharType="end"/>
        </w:r>
      </w:hyperlink>
    </w:p>
    <w:p>
      <w:pPr>
        <w:pStyle w:val="TOC3"/>
      </w:pPr>
      <w:hyperlink w:anchor="_Toc90000015" w:history="1">
        <w:r>
          <w:t xml:space="preserve">4. 長い表(ヘッダー行の繰り返しの確認)</w:t>
        </w:r>
        <w:r>
          <w:tab/>
        </w:r>
        <w:r>
          <w:fldChar w:fldCharType="begin"/>
        </w:r>
        <w:r>
          <w:instrText xml:space="preserve"> PAGEREF _Toc90000015 \h </w:instrText>
        </w:r>
        <w:r>
          <w:fldChar w:fldCharType="separate"/>
        </w:r>
        <w:r>
          <w:t xml:space="preserve">7</w:t>
        </w:r>
        <w:r>
          <w:fldChar w:fldCharType="end"/>
        </w:r>
      </w:hyperlink>
    </w:p>
    <w:p>
      <w:pPr>
        <w:pStyle w:val="TOC2"/>
      </w:pPr>
      <w:hyperlink w:anchor="_Toc90000017" w:history="1">
        <w:r>
          <w:t xml:space="preserve">サンプルC社 報告書</w:t>
        </w:r>
        <w:r>
          <w:tab/>
        </w:r>
        <w:r>
          <w:fldChar w:fldCharType="begin"/>
        </w:r>
        <w:r>
          <w:instrText xml:space="preserve"> PAGEREF _Toc90000017 \h </w:instrText>
        </w:r>
        <w:r>
          <w:fldChar w:fldCharType="separate"/>
        </w:r>
        <w:r>
          <w:t xml:space="preserve">9</w:t>
        </w:r>
        <w:r>
          <w:fldChar w:fldCharType="end"/>
        </w:r>
      </w:hyperlink>
    </w:p>
    <w:p>
      <w:pPr>
        <w:pStyle w:val="TOC3"/>
      </w:pPr>
      <w:hyperlink w:anchor="_Toc90000018" w:history="1">
        <w:r>
          <w:t xml:space="preserve">1. 要旨</w:t>
        </w:r>
        <w:r>
          <w:tab/>
        </w:r>
        <w:r>
          <w:fldChar w:fldCharType="begin"/>
        </w:r>
        <w:r>
          <w:instrText xml:space="preserve"> PAGEREF _Toc90000018 \h </w:instrText>
        </w:r>
        <w:r>
          <w:fldChar w:fldCharType="separate"/>
        </w:r>
        <w:r>
          <w:t xml:space="preserve">9</w:t>
        </w:r>
        <w:r>
          <w:fldChar w:fldCharType="end"/>
        </w:r>
      </w:hyperlink>
    </w:p>
    <w:p>
      <w:r>
        <w:fldChar w:fldCharType="end"/>
      </w:r>
    </w:p>
    <w:p>
      <w:pPr>
        <w:pStyle w:val="Heading1"/>
      </w:pPr>
      <w:bookmarkStart w:id="9001" w:name="_Toc90000000"/>
      <w:r>
        <w:t xml:space="preserve">第I部 サンプル分析メモ</w:t>
      </w:r>
      <w:bookmarkEnd w:id="9001"/>
    </w:p>
    <w:p>
      <w:pPr>
        <w:pStyle w:val="Heading2"/>
      </w:pPr>
      <w:bookmarkStart w:id="9002" w:name="_Toc90000001"/>
      <w:r>
        <w:t xml:space="preserve">組版テスト: サンプル株式会社 分析メモ</w:t>
      </w:r>
      <w:bookmarkEnd w:id="9002"/>
    </w:p>
    <w:p>
      <w:pPr>
        <w:pStyle w:val="FirstParagraph"/>
      </w:pPr>
      <w:r>
        <w:t xml:space="preserve">本書は</w:t>
      </w:r>
      <w:r>
        <w:t xml:space="preserve"> </w:t>
      </w:r>
      <w:r>
        <w:rPr>
          <w:bCs/>
          <w:b/>
        </w:rPr>
        <w:t xml:space="preserve">組版パイプラインの動作確認用</w:t>
      </w:r>
      <w:r>
        <w:t xml:space="preserve"> </w:t>
      </w:r>
      <w:r>
        <w:t xml:space="preserve">のサンプルです。数値・社名はすべて架空であり、実在の企業・株価とは関係ありません。日本語の長文がハードラップされていても、不要な空白が入らず自然に連結されること、</w:t>
      </w:r>
      <w:r>
        <w:rPr>
          <w:rStyle w:val="VerbatimChar"/>
        </w:rPr>
        <w:t xml:space="preserve">pandoc</w:t>
      </w:r>
      <w:r>
        <w:t xml:space="preserve"> </w:t>
      </w:r>
      <w:r>
        <w:t xml:space="preserve">の記法が崩れないことを確認します。</w:t>
      </w:r>
    </w:p>
    <w:p>
      <w:pPr>
        <w:pStyle w:val="Heading3"/>
      </w:pPr>
      <w:bookmarkStart w:id="9003" w:name="_Toc90000002"/>
      <w:r>
        <w:t xml:space="preserve">1. 要旨</w:t>
      </w:r>
      <w:bookmarkEnd w:id="9003"/>
    </w:p>
    <w:p>
      <w:pPr>
        <w:pStyle w:val="FirstParagraph"/>
      </w:pPr>
      <w:r>
        <w:t xml:space="preserve">サンプル株式会社は、仮想のクラウドセキュリティ企業である。売上高は直近20年間で年平均13%成長し、営業利益率は8%台から30%近くまで改善した(架空)。株価は$150~$200のレンジで推移し、PERは18~46倍の幅で評価されてきた。10~20%の成長を維持できるかが最大の論点である。</w:t>
      </w:r>
    </w:p>
    <w:p>
      <w:pPr>
        <w:pStyle w:val="BodyText"/>
      </w:pPr>
      <w:r>
        <w:t xml:space="preserve">結論は次の三点に集約される。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増収の源泉</w:t>
      </w:r>
      <w:r>
        <w:t xml:space="preserve">は、既存顧客あたり売上の拡大(アップセル)と新規顧客の獲得の二本立てである</w:t>
      </w:r>
    </w:p>
    <w:p>
      <w:pPr>
        <w:numPr>
          <w:ilvl w:val="0"/>
          <w:numId w:val="1001"/>
        </w:numPr>
        <w:pStyle w:val="Compact"/>
      </w:pPr>
      <w:r>
        <w:rPr>
          <w:iCs/>
          <w:i/>
        </w:rPr>
        <w:t xml:space="preserve">利益率の改善</w:t>
      </w:r>
      <w:r>
        <w:t xml:space="preserve">は、粗利率の上昇と販管費の規模の経済で説明できる</w:t>
      </w:r>
    </w:p>
    <w:p>
      <w:pPr>
        <w:numPr>
          <w:ilvl w:val="0"/>
          <w:numId w:val="1001"/>
        </w:numPr>
        <w:pStyle w:val="Compact"/>
      </w:pPr>
      <w:r>
        <w:t xml:space="preserve">資本配分は自社株買いが中心で、配当は行っていない</w:t>
      </w:r>
    </w:p>
    <w:p>
      <w:pPr>
        <w:pStyle w:val="Heading4"/>
      </w:pPr>
      <w:bookmarkStart w:id="9004" w:name="_Toc90000003"/>
      <w:r>
        <w:t xml:space="preserve">1.1 主要論点</w:t>
      </w:r>
      <w:bookmarkEnd w:id="9004"/>
    </w:p>
    <w:p>
      <w:pPr>
        <w:numPr>
          <w:ilvl w:val="0"/>
          <w:numId w:val="1002"/>
        </w:numPr>
        <w:pStyle w:val="Compact"/>
      </w:pPr>
      <w:r>
        <w:t xml:space="preserve">成長の持続性</w:t>
      </w:r>
    </w:p>
    <w:p>
      <w:pPr>
        <w:numPr>
          <w:ilvl w:val="1"/>
          <w:numId w:val="1003"/>
        </w:numPr>
        <w:pStyle w:val="Compact"/>
      </w:pPr>
      <w:r>
        <w:t xml:space="preserve">既存顧客の純増減率(NRR)が110%を維持できるか</w:t>
      </w:r>
    </w:p>
    <w:p>
      <w:pPr>
        <w:numPr>
          <w:ilvl w:val="1"/>
          <w:numId w:val="1003"/>
        </w:numPr>
        <w:pStyle w:val="Compact"/>
      </w:pPr>
      <w:r>
        <w:t xml:space="preserve">新製品の寄与が逓減していないか</w:t>
      </w:r>
    </w:p>
    <w:p>
      <w:pPr>
        <w:numPr>
          <w:ilvl w:val="2"/>
          <w:numId w:val="1004"/>
        </w:numPr>
        <w:pStyle w:val="Compact"/>
      </w:pPr>
      <w:r>
        <w:t xml:space="preserve">第1世代製品: 成熟期に入り、成長率は一桁</w:t>
      </w:r>
    </w:p>
    <w:p>
      <w:pPr>
        <w:numPr>
          <w:ilvl w:val="2"/>
          <w:numId w:val="1004"/>
        </w:numPr>
        <w:pStyle w:val="Compact"/>
      </w:pPr>
      <w:r>
        <w:t xml:space="preserve">第2世代製品: 売上の35%を占め、前年比+28%</w:t>
      </w:r>
    </w:p>
    <w:p>
      <w:pPr>
        <w:numPr>
          <w:ilvl w:val="0"/>
          <w:numId w:val="1002"/>
        </w:numPr>
        <w:pStyle w:val="Compact"/>
      </w:pPr>
      <w:r>
        <w:t xml:space="preserve">収益性の天井</w:t>
      </w:r>
    </w:p>
    <w:p>
      <w:pPr>
        <w:numPr>
          <w:ilvl w:val="1"/>
          <w:numId w:val="1005"/>
        </w:numPr>
        <w:pStyle w:val="Compact"/>
      </w:pPr>
      <w:r>
        <w:t xml:space="preserve">粗利率は78%が実質的な上限と見られる</w:t>
      </w:r>
    </w:p>
    <w:p>
      <w:pPr>
        <w:numPr>
          <w:ilvl w:val="0"/>
          <w:numId w:val="1002"/>
        </w:numPr>
        <w:pStyle w:val="Compact"/>
      </w:pPr>
      <w:r>
        <w:t xml:space="preserve">資本配分と株主還元</w:t>
      </w:r>
    </w:p>
    <w:p>
      <w:pPr>
        <w:pStyle w:val="Heading5"/>
      </w:pPr>
      <w:bookmarkStart w:id="9005" w:name="_Toc90000004"/>
      <w:r>
        <w:t xml:space="preserve">1.1.1 補足(見出し4)</w:t>
      </w:r>
      <w:bookmarkEnd w:id="9005"/>
    </w:p>
    <w:p>
      <w:pPr>
        <w:pStyle w:val="FirstParagraph"/>
      </w:pPr>
      <w:r>
        <w:t xml:space="preserve">見出し4の見た目を確認するための段落です。見出し1から4までの階層が、色・大きさ・罫線ではっきり区別できることを確認します。</w:t>
      </w:r>
    </w:p>
    <w:p>
      <w:pPr>
        <w:pStyle w:val="Heading3"/>
      </w:pPr>
      <w:bookmarkStart w:id="9006" w:name="_Toc90000005"/>
      <w:r>
        <w:t xml:space="preserve">2. 財務データ(12列×20行の表)</w:t>
      </w:r>
      <w:bookmarkEnd w:id="9006"/>
    </w:p>
    <w:p>
      <w:pPr>
        <w:pStyle w:val="FirstParagraph"/>
      </w:pPr>
      <w:r>
        <w:t xml:space="preserve">次の表は、20期分の主要指標である。8列以上の表は 7pt で組まれ、ヘッダー行は濃紺背景・白文字となり、ページをまたぐ場合は各ページ先頭でヘッダー行が繰り返される。数値列は右寄せ、備考列は左寄せになる。</w:t>
      </w:r>
    </w:p>
    <w:p>
      <w:pPr>
        <w:pStyle w:val="TableCaption"/>
      </w:pPr>
      <w:r>
        <w:t xml:space="preserve">表: 主要財務指標(架空データ、単位は列見出しのとおり)</w:t>
      </w:r>
    </w:p>
    <w:tbl>
      <w:tblPr>
        <w:tblStyle w:val="Table"/>
        <w:tblW w:w="9638" w:type="dxa"/>
        <w:jc w:val="left"/>
        <w:tblInd w:w="0" w:type="dxa"/>
        <w:tblBorders>
          <w:top w:val="single" w:sz="4" w:space="0" w:color="8496B0"/>
          <w:left w:val="single" w:sz="4" w:space="0" w:color="8496B0"/>
          <w:bottom w:val="single" w:sz="4" w:space="0" w:color="8496B0"/>
          <w:right w:val="single" w:sz="4" w:space="0" w:color="8496B0"/>
          <w:insideH w:val="single" w:sz="4" w:space="0" w:color="8496B0"/>
          <w:insideV w:val="single" w:sz="4" w:space="0" w:color="8496B0"/>
        </w:tblBorders>
        <w:tblLayout w:type="fixed"/>
        <w:tblCellMar>
          <w:top w:w="30" w:type="dxa"/>
          <w:left w:w="60" w:type="dxa"/>
          <w:bottom w:w="30" w:type="dxa"/>
          <w:right w:w="60" w:type="dxa"/>
        </w:tblCellMar>
        <w:tblLook w:val="04A0" w:firstRow="1" w:lastRow="0" w:firstColumn="0" w:lastColumn="0" w:noHBand="0" w:noVBand="1"/>
        <w:tblCaption w:val="主要財務指標(架空データ、単位は列見出しのとおり)"/>
      </w:tblPr>
      <w:tblGrid>
        <w:gridCol w:w="635"/>
        <w:gridCol w:w="992"/>
        <w:gridCol w:w="612"/>
        <w:gridCol w:w="583"/>
        <w:gridCol w:w="1148"/>
        <w:gridCol w:w="883"/>
        <w:gridCol w:w="992"/>
        <w:gridCol w:w="631"/>
        <w:gridCol w:w="847"/>
        <w:gridCol w:w="643"/>
        <w:gridCol w:w="697"/>
        <w:gridCol w:w="975"/>
      </w:tblGrid>
      <w:tr>
        <w:trPr>
          <w:cantSplit/>
          <w:tblHeader/>
        </w:trPr>
        <w:tc>
          <w:tcPr>
            <w:tcW w:w="635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1F3864"/>
            <w:vAlign w:val="center"/>
          </w:tcPr>
          <w:p>
            <w:pPr>
              <w:pStyle w:val="TableTextSmall"/>
              <w:keepNext/>
              <w:jc w:val="right"/>
            </w:pPr>
            <w:r>
              <w:rPr>
                <w:b/>
                <w:bCs/>
                <w:color w:val="FFFFFF"/>
              </w:rPr>
              <w:t xml:space="preserve">期</w:t>
            </w:r>
          </w:p>
        </w:tc>
        <w:tc>
          <w:tcPr>
            <w:tcW w:w="992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1F3864"/>
            <w:vAlign w:val="center"/>
          </w:tcPr>
          <w:p>
            <w:pPr>
              <w:pStyle w:val="TableTextSmall"/>
              <w:keepNext/>
              <w:jc w:val="right"/>
            </w:pPr>
            <w:r>
              <w:rPr>
                <w:b/>
                <w:bCs/>
                <w:color w:val="FFFFFF"/>
              </w:rPr>
              <w:t xml:space="preserve">売上高(億円)</w:t>
            </w:r>
          </w:p>
        </w:tc>
        <w:tc>
          <w:tcPr>
            <w:tcW w:w="612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1F3864"/>
            <w:vAlign w:val="center"/>
          </w:tcPr>
          <w:p>
            <w:pPr>
              <w:pStyle w:val="TableTextSmall"/>
              <w:keepNext/>
              <w:jc w:val="right"/>
            </w:pPr>
            <w:r>
              <w:rPr>
                <w:b/>
                <w:bCs/>
                <w:color w:val="FFFFFF"/>
              </w:rPr>
              <w:t xml:space="preserve">前年比</w:t>
            </w:r>
          </w:p>
        </w:tc>
        <w:tc>
          <w:tcPr>
            <w:tcW w:w="583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1F3864"/>
            <w:vAlign w:val="center"/>
          </w:tcPr>
          <w:p>
            <w:pPr>
              <w:pStyle w:val="TableTextSmall"/>
              <w:keepNext/>
              <w:jc w:val="right"/>
            </w:pPr>
            <w:r>
              <w:rPr>
                <w:b/>
                <w:bCs/>
                <w:color w:val="FFFFFF"/>
              </w:rPr>
              <w:t xml:space="preserve">粗利率</w:t>
            </w:r>
          </w:p>
        </w:tc>
        <w:tc>
          <w:tcPr>
            <w:tcW w:w="1148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1F3864"/>
            <w:vAlign w:val="center"/>
          </w:tcPr>
          <w:p>
            <w:pPr>
              <w:pStyle w:val="TableTextSmall"/>
              <w:keepNext/>
              <w:jc w:val="right"/>
            </w:pPr>
            <w:r>
              <w:rPr>
                <w:b/>
                <w:bCs/>
                <w:color w:val="FFFFFF"/>
              </w:rPr>
              <w:t xml:space="preserve">営業利益(億円)</w:t>
            </w:r>
          </w:p>
        </w:tc>
        <w:tc>
          <w:tcPr>
            <w:tcW w:w="883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1F3864"/>
            <w:vAlign w:val="center"/>
          </w:tcPr>
          <w:p>
            <w:pPr>
              <w:pStyle w:val="TableTextSmall"/>
              <w:keepNext/>
              <w:jc w:val="right"/>
            </w:pPr>
            <w:r>
              <w:rPr>
                <w:b/>
                <w:bCs/>
                <w:color w:val="FFFFFF"/>
              </w:rPr>
              <w:t xml:space="preserve">営業利益率</w:t>
            </w:r>
          </w:p>
        </w:tc>
        <w:tc>
          <w:tcPr>
            <w:tcW w:w="992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1F3864"/>
            <w:vAlign w:val="center"/>
          </w:tcPr>
          <w:p>
            <w:pPr>
              <w:pStyle w:val="TableTextSmall"/>
              <w:keepNext/>
              <w:jc w:val="right"/>
            </w:pPr>
            <w:r>
              <w:rPr>
                <w:b/>
                <w:bCs/>
                <w:color w:val="FFFFFF"/>
              </w:rPr>
              <w:t xml:space="preserve">純利益(億円)</w:t>
            </w:r>
          </w:p>
        </w:tc>
        <w:tc>
          <w:tcPr>
            <w:tcW w:w="631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1F3864"/>
            <w:vAlign w:val="center"/>
          </w:tcPr>
          <w:p>
            <w:pPr>
              <w:pStyle w:val="TableTextSmall"/>
              <w:keepNext/>
              <w:jc w:val="right"/>
            </w:pPr>
            <w:r>
              <w:rPr>
                <w:b/>
                <w:bCs/>
                <w:color w:val="FFFFFF"/>
              </w:rPr>
              <w:t xml:space="preserve">EPS($)</w:t>
            </w:r>
          </w:p>
        </w:tc>
        <w:tc>
          <w:tcPr>
            <w:tcW w:w="847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1F3864"/>
            <w:vAlign w:val="center"/>
          </w:tcPr>
          <w:p>
            <w:pPr>
              <w:pStyle w:val="TableTextSmall"/>
              <w:keepNext/>
              <w:jc w:val="right"/>
            </w:pPr>
            <w:r>
              <w:rPr>
                <w:b/>
                <w:bCs/>
                <w:color w:val="FFFFFF"/>
              </w:rPr>
              <w:t xml:space="preserve">FCF(億円)</w:t>
            </w:r>
          </w:p>
        </w:tc>
        <w:tc>
          <w:tcPr>
            <w:tcW w:w="643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1F3864"/>
            <w:vAlign w:val="center"/>
          </w:tcPr>
          <w:p>
            <w:pPr>
              <w:pStyle w:val="TableTextSmall"/>
              <w:keepNext/>
              <w:jc w:val="right"/>
            </w:pPr>
            <w:r>
              <w:rPr>
                <w:b/>
                <w:bCs/>
                <w:color w:val="FFFFFF"/>
              </w:rPr>
              <w:t xml:space="preserve">株価($)</w:t>
            </w:r>
          </w:p>
        </w:tc>
        <w:tc>
          <w:tcPr>
            <w:tcW w:w="697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1F3864"/>
            <w:vAlign w:val="center"/>
          </w:tcPr>
          <w:p>
            <w:pPr>
              <w:pStyle w:val="TableTextSmall"/>
              <w:keepNext/>
              <w:jc w:val="right"/>
            </w:pPr>
            <w:r>
              <w:rPr>
                <w:b/>
                <w:bCs/>
                <w:color w:val="FFFFFF"/>
              </w:rPr>
              <w:t xml:space="preserve">PER(倍)</w:t>
            </w:r>
          </w:p>
        </w:tc>
        <w:tc>
          <w:tcPr>
            <w:tcW w:w="975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1F3864"/>
            <w:vAlign w:val="center"/>
          </w:tcPr>
          <w:p>
            <w:pPr>
              <w:pStyle w:val="TableTextSmall"/>
              <w:keepNext/>
              <w:jc w:val="left"/>
            </w:pPr>
            <w:r>
              <w:rPr>
                <w:b/>
                <w:bCs/>
                <w:color w:val="FFFFFF"/>
              </w:rPr>
              <w:t xml:space="preserve">備考</w:t>
            </w:r>
          </w:p>
        </w:tc>
      </w:tr>
      <w:tr>
        <w:trPr>
          <w:cantSplit/>
        </w:trPr>
        <w:tc>
          <w:tcPr>
            <w:tcW w:w="635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Small"/>
              <w:keepNext/>
              <w:jc w:val="right"/>
            </w:pPr>
            <w:r>
              <w:t xml:space="preserve">FY2007</w:t>
            </w:r>
          </w:p>
        </w:tc>
        <w:tc>
          <w:tcPr>
            <w:tcW w:w="992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Small"/>
              <w:keepNext/>
              <w:jc w:val="right"/>
            </w:pPr>
            <w:r>
              <w:t xml:space="preserve">820</w:t>
            </w:r>
          </w:p>
        </w:tc>
        <w:tc>
          <w:tcPr>
            <w:tcW w:w="612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Small"/>
              <w:keepNext/>
              <w:jc w:val="right"/>
            </w:pPr>
            <w:r>
              <w:t xml:space="preserve">-</w:t>
            </w:r>
          </w:p>
        </w:tc>
        <w:tc>
          <w:tcPr>
            <w:tcW w:w="583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Small"/>
              <w:keepNext/>
              <w:jc w:val="right"/>
            </w:pPr>
            <w:r>
              <w:t xml:space="preserve">66.5%</w:t>
            </w:r>
          </w:p>
        </w:tc>
        <w:tc>
          <w:tcPr>
            <w:tcW w:w="1148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Small"/>
              <w:keepNext/>
              <w:jc w:val="right"/>
            </w:pPr>
            <w:r>
              <w:t xml:space="preserve">94</w:t>
            </w:r>
          </w:p>
        </w:tc>
        <w:tc>
          <w:tcPr>
            <w:tcW w:w="883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Small"/>
              <w:keepNext/>
              <w:jc w:val="right"/>
            </w:pPr>
            <w:r>
              <w:t xml:space="preserve">11.5%</w:t>
            </w:r>
          </w:p>
        </w:tc>
        <w:tc>
          <w:tcPr>
            <w:tcW w:w="992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Small"/>
              <w:keepNext/>
              <w:jc w:val="right"/>
            </w:pPr>
            <w:r>
              <w:t xml:space="preserve">72</w:t>
            </w:r>
          </w:p>
        </w:tc>
        <w:tc>
          <w:tcPr>
            <w:tcW w:w="631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Small"/>
              <w:keepNext/>
              <w:jc w:val="right"/>
            </w:pPr>
            <w:r>
              <w:t xml:space="preserve">$0.75</w:t>
            </w:r>
          </w:p>
        </w:tc>
        <w:tc>
          <w:tcPr>
            <w:tcW w:w="847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Small"/>
              <w:keepNext/>
              <w:jc w:val="right"/>
            </w:pPr>
            <w:r>
              <w:t xml:space="preserve">81</w:t>
            </w:r>
          </w:p>
        </w:tc>
        <w:tc>
          <w:tcPr>
            <w:tcW w:w="643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Small"/>
              <w:keepNext/>
              <w:jc w:val="right"/>
            </w:pPr>
            <w:r>
              <w:t xml:space="preserve">$21.12</w:t>
            </w:r>
          </w:p>
        </w:tc>
        <w:tc>
          <w:tcPr>
            <w:tcW w:w="697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Small"/>
              <w:keepNext/>
              <w:jc w:val="right"/>
            </w:pPr>
            <w:r>
              <w:t xml:space="preserve">28.2</w:t>
            </w:r>
          </w:p>
        </w:tc>
        <w:tc>
          <w:tcPr>
            <w:tcW w:w="975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Small"/>
              <w:keepNext/>
              <w:jc w:val="left"/>
            </w:pPr>
            <w:r>
              <w:t xml:space="preserve">創業期</w:t>
            </w:r>
          </w:p>
        </w:tc>
      </w:tr>
      <w:tr>
        <w:trPr>
          <w:cantSplit/>
        </w:trPr>
        <w:tc>
          <w:tcPr>
            <w:tcW w:w="635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Small"/>
              <w:jc w:val="right"/>
            </w:pPr>
            <w:r>
              <w:t xml:space="preserve">FY2008</w:t>
            </w:r>
          </w:p>
        </w:tc>
        <w:tc>
          <w:tcPr>
            <w:tcW w:w="992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Small"/>
              <w:jc w:val="right"/>
            </w:pPr>
            <w:r>
              <w:t xml:space="preserve">886</w:t>
            </w:r>
          </w:p>
        </w:tc>
        <w:tc>
          <w:tcPr>
            <w:tcW w:w="612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Small"/>
              <w:jc w:val="right"/>
            </w:pPr>
            <w:r>
              <w:t xml:space="preserve">+8.0%</w:t>
            </w:r>
          </w:p>
        </w:tc>
        <w:tc>
          <w:tcPr>
            <w:tcW w:w="583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Small"/>
              <w:jc w:val="right"/>
            </w:pPr>
            <w:r>
              <w:t xml:space="preserve">69.6%</w:t>
            </w:r>
          </w:p>
        </w:tc>
        <w:tc>
          <w:tcPr>
            <w:tcW w:w="1148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Small"/>
              <w:jc w:val="right"/>
            </w:pPr>
            <w:r>
              <w:t xml:space="preserve">79</w:t>
            </w:r>
          </w:p>
        </w:tc>
        <w:tc>
          <w:tcPr>
            <w:tcW w:w="883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Small"/>
              <w:jc w:val="right"/>
            </w:pPr>
            <w:r>
              <w:t xml:space="preserve">8.9%</w:t>
            </w:r>
          </w:p>
        </w:tc>
        <w:tc>
          <w:tcPr>
            <w:tcW w:w="992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Small"/>
              <w:jc w:val="right"/>
            </w:pPr>
            <w:r>
              <w:t xml:space="preserve">57</w:t>
            </w:r>
          </w:p>
        </w:tc>
        <w:tc>
          <w:tcPr>
            <w:tcW w:w="631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Small"/>
              <w:jc w:val="right"/>
            </w:pPr>
            <w:r>
              <w:t xml:space="preserve">$0.58</w:t>
            </w:r>
          </w:p>
        </w:tc>
        <w:tc>
          <w:tcPr>
            <w:tcW w:w="847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Small"/>
              <w:jc w:val="right"/>
            </w:pPr>
            <w:r>
              <w:t xml:space="preserve">48</w:t>
            </w:r>
          </w:p>
        </w:tc>
        <w:tc>
          <w:tcPr>
            <w:tcW w:w="643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Small"/>
              <w:jc w:val="right"/>
            </w:pPr>
            <w:r>
              <w:t xml:space="preserve">$17.46</w:t>
            </w:r>
          </w:p>
        </w:tc>
        <w:tc>
          <w:tcPr>
            <w:tcW w:w="697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Small"/>
              <w:jc w:val="right"/>
            </w:pPr>
            <w:r>
              <w:t xml:space="preserve">29.9</w:t>
            </w:r>
          </w:p>
        </w:tc>
        <w:tc>
          <w:tcPr>
            <w:tcW w:w="975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Small"/>
              <w:jc w:val="left"/>
            </w:pPr>
          </w:p>
        </w:tc>
      </w:tr>
      <w:tr>
        <w:trPr>
          <w:cantSplit/>
        </w:trPr>
        <w:tc>
          <w:tcPr>
            <w:tcW w:w="635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Small"/>
              <w:jc w:val="right"/>
            </w:pPr>
            <w:r>
              <w:t xml:space="preserve">FY2009</w:t>
            </w:r>
          </w:p>
        </w:tc>
        <w:tc>
          <w:tcPr>
            <w:tcW w:w="992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Small"/>
              <w:jc w:val="right"/>
            </w:pPr>
            <w:r>
              <w:t xml:space="preserve">1,080</w:t>
            </w:r>
          </w:p>
        </w:tc>
        <w:tc>
          <w:tcPr>
            <w:tcW w:w="612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Small"/>
              <w:jc w:val="right"/>
            </w:pPr>
            <w:r>
              <w:t xml:space="preserve">+21.9%</w:t>
            </w:r>
          </w:p>
        </w:tc>
        <w:tc>
          <w:tcPr>
            <w:tcW w:w="583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Small"/>
              <w:jc w:val="right"/>
            </w:pPr>
            <w:r>
              <w:t xml:space="preserve">63.1%</w:t>
            </w:r>
          </w:p>
        </w:tc>
        <w:tc>
          <w:tcPr>
            <w:tcW w:w="1148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Small"/>
              <w:jc w:val="right"/>
            </w:pPr>
            <w:r>
              <w:t xml:space="preserve">142</w:t>
            </w:r>
          </w:p>
        </w:tc>
        <w:tc>
          <w:tcPr>
            <w:tcW w:w="883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Small"/>
              <w:jc w:val="right"/>
            </w:pPr>
            <w:r>
              <w:t xml:space="preserve">13.1%</w:t>
            </w:r>
          </w:p>
        </w:tc>
        <w:tc>
          <w:tcPr>
            <w:tcW w:w="992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Small"/>
              <w:jc w:val="right"/>
            </w:pPr>
            <w:r>
              <w:t xml:space="preserve">108</w:t>
            </w:r>
          </w:p>
        </w:tc>
        <w:tc>
          <w:tcPr>
            <w:tcW w:w="631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Small"/>
              <w:jc w:val="right"/>
            </w:pPr>
            <w:r>
              <w:t xml:space="preserve">$0.91</w:t>
            </w:r>
          </w:p>
        </w:tc>
        <w:tc>
          <w:tcPr>
            <w:tcW w:w="847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Small"/>
              <w:jc w:val="right"/>
            </w:pPr>
            <w:r>
              <w:t xml:space="preserve">124</w:t>
            </w:r>
          </w:p>
        </w:tc>
        <w:tc>
          <w:tcPr>
            <w:tcW w:w="643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Small"/>
              <w:jc w:val="right"/>
            </w:pPr>
            <w:r>
              <w:t xml:space="preserve">$26.58</w:t>
            </w:r>
          </w:p>
        </w:tc>
        <w:tc>
          <w:tcPr>
            <w:tcW w:w="697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Small"/>
              <w:jc w:val="right"/>
            </w:pPr>
            <w:r>
              <w:t xml:space="preserve">29.1</w:t>
            </w:r>
          </w:p>
        </w:tc>
        <w:tc>
          <w:tcPr>
            <w:tcW w:w="975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Small"/>
              <w:jc w:val="left"/>
            </w:pPr>
          </w:p>
        </w:tc>
      </w:tr>
      <w:tr>
        <w:trPr>
          <w:cantSplit/>
        </w:trPr>
        <w:tc>
          <w:tcPr>
            <w:tcW w:w="635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Small"/>
              <w:jc w:val="right"/>
            </w:pPr>
            <w:r>
              <w:t xml:space="preserve">FY2010</w:t>
            </w:r>
          </w:p>
        </w:tc>
        <w:tc>
          <w:tcPr>
            <w:tcW w:w="992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Small"/>
              <w:jc w:val="right"/>
            </w:pPr>
            <w:r>
              <w:t xml:space="preserve">1,345</w:t>
            </w:r>
          </w:p>
        </w:tc>
        <w:tc>
          <w:tcPr>
            <w:tcW w:w="612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Small"/>
              <w:jc w:val="right"/>
            </w:pPr>
            <w:r>
              <w:t xml:space="preserve">+24.6%</w:t>
            </w:r>
          </w:p>
        </w:tc>
        <w:tc>
          <w:tcPr>
            <w:tcW w:w="583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Small"/>
              <w:jc w:val="right"/>
            </w:pPr>
            <w:r>
              <w:t xml:space="preserve">61.8%</w:t>
            </w:r>
          </w:p>
        </w:tc>
        <w:tc>
          <w:tcPr>
            <w:tcW w:w="1148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Small"/>
              <w:jc w:val="right"/>
            </w:pPr>
            <w:r>
              <w:t xml:space="preserve">373</w:t>
            </w:r>
          </w:p>
        </w:tc>
        <w:tc>
          <w:tcPr>
            <w:tcW w:w="883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Small"/>
              <w:jc w:val="right"/>
            </w:pPr>
            <w:r>
              <w:t xml:space="preserve">27.7%</w:t>
            </w:r>
          </w:p>
        </w:tc>
        <w:tc>
          <w:tcPr>
            <w:tcW w:w="992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Small"/>
              <w:jc w:val="right"/>
            </w:pPr>
            <w:r>
              <w:t xml:space="preserve">256</w:t>
            </w:r>
          </w:p>
        </w:tc>
        <w:tc>
          <w:tcPr>
            <w:tcW w:w="631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Small"/>
              <w:jc w:val="right"/>
            </w:pPr>
            <w:r>
              <w:t xml:space="preserve">$2.60</w:t>
            </w:r>
          </w:p>
        </w:tc>
        <w:tc>
          <w:tcPr>
            <w:tcW w:w="847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Small"/>
              <w:jc w:val="right"/>
            </w:pPr>
            <w:r>
              <w:t xml:space="preserve">223</w:t>
            </w:r>
          </w:p>
        </w:tc>
        <w:tc>
          <w:tcPr>
            <w:tcW w:w="643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Small"/>
              <w:jc w:val="right"/>
            </w:pPr>
            <w:r>
              <w:t xml:space="preserve">$69.22</w:t>
            </w:r>
          </w:p>
        </w:tc>
        <w:tc>
          <w:tcPr>
            <w:tcW w:w="697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Small"/>
              <w:jc w:val="right"/>
            </w:pPr>
            <w:r>
              <w:t xml:space="preserve">26.6</w:t>
            </w:r>
          </w:p>
        </w:tc>
        <w:tc>
          <w:tcPr>
            <w:tcW w:w="975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Small"/>
              <w:jc w:val="left"/>
            </w:pPr>
          </w:p>
        </w:tc>
      </w:tr>
      <w:tr>
        <w:trPr>
          <w:cantSplit/>
        </w:trPr>
        <w:tc>
          <w:tcPr>
            <w:tcW w:w="635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Small"/>
              <w:jc w:val="right"/>
            </w:pPr>
            <w:r>
              <w:t xml:space="preserve">FY2011</w:t>
            </w:r>
          </w:p>
        </w:tc>
        <w:tc>
          <w:tcPr>
            <w:tcW w:w="992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Small"/>
              <w:jc w:val="right"/>
            </w:pPr>
            <w:r>
              <w:t xml:space="preserve">1,637</w:t>
            </w:r>
          </w:p>
        </w:tc>
        <w:tc>
          <w:tcPr>
            <w:tcW w:w="612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Small"/>
              <w:jc w:val="right"/>
            </w:pPr>
            <w:r>
              <w:t xml:space="preserve">+21.7%</w:t>
            </w:r>
          </w:p>
        </w:tc>
        <w:tc>
          <w:tcPr>
            <w:tcW w:w="583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Small"/>
              <w:jc w:val="right"/>
            </w:pPr>
            <w:r>
              <w:t xml:space="preserve">64.1%</w:t>
            </w:r>
          </w:p>
        </w:tc>
        <w:tc>
          <w:tcPr>
            <w:tcW w:w="1148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Small"/>
              <w:jc w:val="right"/>
            </w:pPr>
            <w:r>
              <w:t xml:space="preserve">350</w:t>
            </w:r>
          </w:p>
        </w:tc>
        <w:tc>
          <w:tcPr>
            <w:tcW w:w="883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Small"/>
              <w:jc w:val="right"/>
            </w:pPr>
            <w:r>
              <w:t xml:space="preserve">21.4%</w:t>
            </w:r>
          </w:p>
        </w:tc>
        <w:tc>
          <w:tcPr>
            <w:tcW w:w="992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Small"/>
              <w:jc w:val="right"/>
            </w:pPr>
            <w:r>
              <w:t xml:space="preserve">268</w:t>
            </w:r>
          </w:p>
        </w:tc>
        <w:tc>
          <w:tcPr>
            <w:tcW w:w="631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Small"/>
              <w:jc w:val="right"/>
            </w:pPr>
            <w:r>
              <w:t xml:space="preserve">$2.57</w:t>
            </w:r>
          </w:p>
        </w:tc>
        <w:tc>
          <w:tcPr>
            <w:tcW w:w="847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Small"/>
              <w:jc w:val="right"/>
            </w:pPr>
            <w:r>
              <w:t xml:space="preserve">303</w:t>
            </w:r>
          </w:p>
        </w:tc>
        <w:tc>
          <w:tcPr>
            <w:tcW w:w="643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Small"/>
              <w:jc w:val="right"/>
            </w:pPr>
            <w:r>
              <w:t xml:space="preserve">$50.84</w:t>
            </w:r>
          </w:p>
        </w:tc>
        <w:tc>
          <w:tcPr>
            <w:tcW w:w="697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Small"/>
              <w:jc w:val="right"/>
            </w:pPr>
            <w:r>
              <w:t xml:space="preserve">19.8</w:t>
            </w:r>
          </w:p>
        </w:tc>
        <w:tc>
          <w:tcPr>
            <w:tcW w:w="975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Small"/>
              <w:jc w:val="left"/>
            </w:pPr>
            <w:r>
              <w:t xml:space="preserve">新製品投入</w:t>
            </w:r>
          </w:p>
        </w:tc>
      </w:tr>
      <w:tr>
        <w:trPr>
          <w:cantSplit/>
        </w:trPr>
        <w:tc>
          <w:tcPr>
            <w:tcW w:w="635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Small"/>
              <w:jc w:val="right"/>
            </w:pPr>
            <w:r>
              <w:t xml:space="preserve">FY2012</w:t>
            </w:r>
          </w:p>
        </w:tc>
        <w:tc>
          <w:tcPr>
            <w:tcW w:w="992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Small"/>
              <w:jc w:val="right"/>
            </w:pPr>
            <w:r>
              <w:t xml:space="preserve">1,769</w:t>
            </w:r>
          </w:p>
        </w:tc>
        <w:tc>
          <w:tcPr>
            <w:tcW w:w="612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Small"/>
              <w:jc w:val="right"/>
            </w:pPr>
            <w:r>
              <w:t xml:space="preserve">+8.1%</w:t>
            </w:r>
          </w:p>
        </w:tc>
        <w:tc>
          <w:tcPr>
            <w:tcW w:w="583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Small"/>
              <w:jc w:val="right"/>
            </w:pPr>
            <w:r>
              <w:t xml:space="preserve">64.5%</w:t>
            </w:r>
          </w:p>
        </w:tc>
        <w:tc>
          <w:tcPr>
            <w:tcW w:w="1148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Small"/>
              <w:jc w:val="right"/>
            </w:pPr>
            <w:r>
              <w:t xml:space="preserve">418</w:t>
            </w:r>
          </w:p>
        </w:tc>
        <w:tc>
          <w:tcPr>
            <w:tcW w:w="883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Small"/>
              <w:jc w:val="right"/>
            </w:pPr>
            <w:r>
              <w:t xml:space="preserve">23.6%</w:t>
            </w:r>
          </w:p>
        </w:tc>
        <w:tc>
          <w:tcPr>
            <w:tcW w:w="992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Small"/>
              <w:jc w:val="right"/>
            </w:pPr>
            <w:r>
              <w:t xml:space="preserve">301</w:t>
            </w:r>
          </w:p>
        </w:tc>
        <w:tc>
          <w:tcPr>
            <w:tcW w:w="631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Small"/>
              <w:jc w:val="right"/>
            </w:pPr>
            <w:r>
              <w:t xml:space="preserve">$2.92</w:t>
            </w:r>
          </w:p>
        </w:tc>
        <w:tc>
          <w:tcPr>
            <w:tcW w:w="847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Small"/>
              <w:jc w:val="right"/>
            </w:pPr>
            <w:r>
              <w:t xml:space="preserve">346</w:t>
            </w:r>
          </w:p>
        </w:tc>
        <w:tc>
          <w:tcPr>
            <w:tcW w:w="643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Small"/>
              <w:jc w:val="right"/>
            </w:pPr>
            <w:r>
              <w:t xml:space="preserve">$89.67</w:t>
            </w:r>
          </w:p>
        </w:tc>
        <w:tc>
          <w:tcPr>
            <w:tcW w:w="697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Small"/>
              <w:jc w:val="right"/>
            </w:pPr>
            <w:r>
              <w:t xml:space="preserve">30.7</w:t>
            </w:r>
          </w:p>
        </w:tc>
        <w:tc>
          <w:tcPr>
            <w:tcW w:w="975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Small"/>
              <w:jc w:val="left"/>
            </w:pPr>
          </w:p>
        </w:tc>
      </w:tr>
      <w:tr>
        <w:trPr>
          <w:cantSplit/>
        </w:trPr>
        <w:tc>
          <w:tcPr>
            <w:tcW w:w="635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Small"/>
              <w:jc w:val="right"/>
            </w:pPr>
            <w:r>
              <w:t xml:space="preserve">FY2013</w:t>
            </w:r>
          </w:p>
        </w:tc>
        <w:tc>
          <w:tcPr>
            <w:tcW w:w="992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Small"/>
              <w:jc w:val="right"/>
            </w:pPr>
            <w:r>
              <w:t xml:space="preserve">1,988</w:t>
            </w:r>
          </w:p>
        </w:tc>
        <w:tc>
          <w:tcPr>
            <w:tcW w:w="612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Small"/>
              <w:jc w:val="right"/>
            </w:pPr>
            <w:r>
              <w:t xml:space="preserve">-3.2%</w:t>
            </w:r>
          </w:p>
        </w:tc>
        <w:tc>
          <w:tcPr>
            <w:tcW w:w="583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Small"/>
              <w:jc w:val="right"/>
            </w:pPr>
            <w:r>
              <w:t xml:space="preserve">74.5%</w:t>
            </w:r>
          </w:p>
        </w:tc>
        <w:tc>
          <w:tcPr>
            <w:tcW w:w="1148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Small"/>
              <w:jc w:val="right"/>
            </w:pPr>
            <w:r>
              <w:t xml:space="preserve">479</w:t>
            </w:r>
          </w:p>
        </w:tc>
        <w:tc>
          <w:tcPr>
            <w:tcW w:w="883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Small"/>
              <w:jc w:val="right"/>
            </w:pPr>
            <w:r>
              <w:t xml:space="preserve">24.1%</w:t>
            </w:r>
          </w:p>
        </w:tc>
        <w:tc>
          <w:tcPr>
            <w:tcW w:w="992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Small"/>
              <w:jc w:val="right"/>
            </w:pPr>
            <w:r>
              <w:t xml:space="preserve">324</w:t>
            </w:r>
          </w:p>
        </w:tc>
        <w:tc>
          <w:tcPr>
            <w:tcW w:w="631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Small"/>
              <w:jc w:val="right"/>
            </w:pPr>
            <w:r>
              <w:t xml:space="preserve">$2.96</w:t>
            </w:r>
          </w:p>
        </w:tc>
        <w:tc>
          <w:tcPr>
            <w:tcW w:w="847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Small"/>
              <w:jc w:val="right"/>
            </w:pPr>
            <w:r>
              <w:t xml:space="preserve">361</w:t>
            </w:r>
          </w:p>
        </w:tc>
        <w:tc>
          <w:tcPr>
            <w:tcW w:w="643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Small"/>
              <w:jc w:val="right"/>
            </w:pPr>
            <w:r>
              <w:t xml:space="preserve">$125.81</w:t>
            </w:r>
          </w:p>
        </w:tc>
        <w:tc>
          <w:tcPr>
            <w:tcW w:w="697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Small"/>
              <w:jc w:val="right"/>
            </w:pPr>
            <w:r>
              <w:t xml:space="preserve">42.5</w:t>
            </w:r>
          </w:p>
        </w:tc>
        <w:tc>
          <w:tcPr>
            <w:tcW w:w="975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Small"/>
              <w:jc w:val="left"/>
            </w:pPr>
          </w:p>
        </w:tc>
      </w:tr>
      <w:tr>
        <w:trPr>
          <w:cantSplit/>
        </w:trPr>
        <w:tc>
          <w:tcPr>
            <w:tcW w:w="635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Small"/>
              <w:jc w:val="right"/>
            </w:pPr>
            <w:r>
              <w:t xml:space="preserve">FY2014</w:t>
            </w:r>
          </w:p>
        </w:tc>
        <w:tc>
          <w:tcPr>
            <w:tcW w:w="992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Small"/>
              <w:jc w:val="right"/>
            </w:pPr>
            <w:r>
              <w:t xml:space="preserve">2,389</w:t>
            </w:r>
          </w:p>
        </w:tc>
        <w:tc>
          <w:tcPr>
            <w:tcW w:w="612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Small"/>
              <w:jc w:val="right"/>
            </w:pPr>
            <w:r>
              <w:t xml:space="preserve">+20.1%</w:t>
            </w:r>
          </w:p>
        </w:tc>
        <w:tc>
          <w:tcPr>
            <w:tcW w:w="583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Small"/>
              <w:jc w:val="right"/>
            </w:pPr>
            <w:r>
              <w:t xml:space="preserve">65.9%</w:t>
            </w:r>
          </w:p>
        </w:tc>
        <w:tc>
          <w:tcPr>
            <w:tcW w:w="1148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Small"/>
              <w:jc w:val="right"/>
            </w:pPr>
            <w:r>
              <w:t xml:space="preserve">730</w:t>
            </w:r>
          </w:p>
        </w:tc>
        <w:tc>
          <w:tcPr>
            <w:tcW w:w="883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Small"/>
              <w:jc w:val="right"/>
            </w:pPr>
            <w:r>
              <w:t xml:space="preserve">30.5%</w:t>
            </w:r>
          </w:p>
        </w:tc>
        <w:tc>
          <w:tcPr>
            <w:tcW w:w="992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Small"/>
              <w:jc w:val="right"/>
            </w:pPr>
            <w:r>
              <w:t xml:space="preserve">472</w:t>
            </w:r>
          </w:p>
        </w:tc>
        <w:tc>
          <w:tcPr>
            <w:tcW w:w="631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Small"/>
              <w:jc w:val="right"/>
            </w:pPr>
            <w:r>
              <w:t xml:space="preserve">$4.48</w:t>
            </w:r>
          </w:p>
        </w:tc>
        <w:tc>
          <w:tcPr>
            <w:tcW w:w="847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Small"/>
              <w:jc w:val="right"/>
            </w:pPr>
            <w:r>
              <w:t xml:space="preserve">592</w:t>
            </w:r>
          </w:p>
        </w:tc>
        <w:tc>
          <w:tcPr>
            <w:tcW w:w="643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Small"/>
              <w:jc w:val="right"/>
            </w:pPr>
            <w:r>
              <w:t xml:space="preserve">$99.65</w:t>
            </w:r>
          </w:p>
        </w:tc>
        <w:tc>
          <w:tcPr>
            <w:tcW w:w="697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Small"/>
              <w:jc w:val="right"/>
            </w:pPr>
            <w:r>
              <w:t xml:space="preserve">22.3</w:t>
            </w:r>
          </w:p>
        </w:tc>
        <w:tc>
          <w:tcPr>
            <w:tcW w:w="975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Small"/>
              <w:jc w:val="left"/>
            </w:pPr>
          </w:p>
        </w:tc>
      </w:tr>
      <w:tr>
        <w:trPr>
          <w:cantSplit/>
        </w:trPr>
        <w:tc>
          <w:tcPr>
            <w:tcW w:w="635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Small"/>
              <w:jc w:val="right"/>
            </w:pPr>
            <w:r>
              <w:t xml:space="preserve">FY2015</w:t>
            </w:r>
          </w:p>
        </w:tc>
        <w:tc>
          <w:tcPr>
            <w:tcW w:w="992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Small"/>
              <w:jc w:val="right"/>
            </w:pPr>
            <w:r>
              <w:t xml:space="preserve">2,766</w:t>
            </w:r>
          </w:p>
        </w:tc>
        <w:tc>
          <w:tcPr>
            <w:tcW w:w="612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Small"/>
              <w:jc w:val="right"/>
            </w:pPr>
            <w:r>
              <w:t xml:space="preserve">+15.8%</w:t>
            </w:r>
          </w:p>
        </w:tc>
        <w:tc>
          <w:tcPr>
            <w:tcW w:w="583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Small"/>
              <w:jc w:val="right"/>
            </w:pPr>
            <w:r>
              <w:t xml:space="preserve">61.7%</w:t>
            </w:r>
          </w:p>
        </w:tc>
        <w:tc>
          <w:tcPr>
            <w:tcW w:w="1148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Small"/>
              <w:jc w:val="right"/>
            </w:pPr>
            <w:r>
              <w:t xml:space="preserve">646</w:t>
            </w:r>
          </w:p>
        </w:tc>
        <w:tc>
          <w:tcPr>
            <w:tcW w:w="883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Small"/>
              <w:jc w:val="right"/>
            </w:pPr>
            <w:r>
              <w:t xml:space="preserve">23.4%</w:t>
            </w:r>
          </w:p>
        </w:tc>
        <w:tc>
          <w:tcPr>
            <w:tcW w:w="992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Small"/>
              <w:jc w:val="right"/>
            </w:pPr>
            <w:r>
              <w:t xml:space="preserve">514</w:t>
            </w:r>
          </w:p>
        </w:tc>
        <w:tc>
          <w:tcPr>
            <w:tcW w:w="631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Small"/>
              <w:jc w:val="right"/>
            </w:pPr>
            <w:r>
              <w:t xml:space="preserve">$4.71</w:t>
            </w:r>
          </w:p>
        </w:tc>
        <w:tc>
          <w:tcPr>
            <w:tcW w:w="847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Small"/>
              <w:jc w:val="right"/>
            </w:pPr>
            <w:r>
              <w:t xml:space="preserve">682</w:t>
            </w:r>
          </w:p>
        </w:tc>
        <w:tc>
          <w:tcPr>
            <w:tcW w:w="643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Small"/>
              <w:jc w:val="right"/>
            </w:pPr>
            <w:r>
              <w:t xml:space="preserve">$126.04</w:t>
            </w:r>
          </w:p>
        </w:tc>
        <w:tc>
          <w:tcPr>
            <w:tcW w:w="697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Small"/>
              <w:jc w:val="right"/>
            </w:pPr>
            <w:r>
              <w:t xml:space="preserve">26.8</w:t>
            </w:r>
          </w:p>
        </w:tc>
        <w:tc>
          <w:tcPr>
            <w:tcW w:w="975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Small"/>
              <w:jc w:val="left"/>
            </w:pPr>
            <w:r>
              <w:t xml:space="preserve">海外拡大</w:t>
            </w:r>
          </w:p>
        </w:tc>
      </w:tr>
      <w:tr>
        <w:trPr>
          <w:cantSplit/>
        </w:trPr>
        <w:tc>
          <w:tcPr>
            <w:tcW w:w="635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Small"/>
              <w:jc w:val="right"/>
            </w:pPr>
            <w:r>
              <w:t xml:space="preserve">FY2016</w:t>
            </w:r>
          </w:p>
        </w:tc>
        <w:tc>
          <w:tcPr>
            <w:tcW w:w="992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Small"/>
              <w:jc w:val="right"/>
            </w:pPr>
            <w:r>
              <w:t xml:space="preserve">3,306</w:t>
            </w:r>
          </w:p>
        </w:tc>
        <w:tc>
          <w:tcPr>
            <w:tcW w:w="612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Small"/>
              <w:jc w:val="right"/>
            </w:pPr>
            <w:r>
              <w:t xml:space="preserve">+19.5%</w:t>
            </w:r>
          </w:p>
        </w:tc>
        <w:tc>
          <w:tcPr>
            <w:tcW w:w="583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Small"/>
              <w:jc w:val="right"/>
            </w:pPr>
            <w:r>
              <w:t xml:space="preserve">71.1%</w:t>
            </w:r>
          </w:p>
        </w:tc>
        <w:tc>
          <w:tcPr>
            <w:tcW w:w="1148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Small"/>
              <w:jc w:val="right"/>
            </w:pPr>
            <w:r>
              <w:t xml:space="preserve">705</w:t>
            </w:r>
          </w:p>
        </w:tc>
        <w:tc>
          <w:tcPr>
            <w:tcW w:w="883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Small"/>
              <w:jc w:val="right"/>
            </w:pPr>
            <w:r>
              <w:t xml:space="preserve">21.3%</w:t>
            </w:r>
          </w:p>
        </w:tc>
        <w:tc>
          <w:tcPr>
            <w:tcW w:w="992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Small"/>
              <w:jc w:val="right"/>
            </w:pPr>
            <w:r>
              <w:t xml:space="preserve">511</w:t>
            </w:r>
          </w:p>
        </w:tc>
        <w:tc>
          <w:tcPr>
            <w:tcW w:w="631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Small"/>
              <w:jc w:val="right"/>
            </w:pPr>
            <w:r>
              <w:t xml:space="preserve">$4.41</w:t>
            </w:r>
          </w:p>
        </w:tc>
        <w:tc>
          <w:tcPr>
            <w:tcW w:w="847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Small"/>
              <w:jc w:val="right"/>
            </w:pPr>
            <w:r>
              <w:t xml:space="preserve">699</w:t>
            </w:r>
          </w:p>
        </w:tc>
        <w:tc>
          <w:tcPr>
            <w:tcW w:w="643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Small"/>
              <w:jc w:val="right"/>
            </w:pPr>
            <w:r>
              <w:t xml:space="preserve">$137.87</w:t>
            </w:r>
          </w:p>
        </w:tc>
        <w:tc>
          <w:tcPr>
            <w:tcW w:w="697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Small"/>
              <w:jc w:val="right"/>
            </w:pPr>
            <w:r>
              <w:t xml:space="preserve">31.3</w:t>
            </w:r>
          </w:p>
        </w:tc>
        <w:tc>
          <w:tcPr>
            <w:tcW w:w="975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Small"/>
              <w:jc w:val="left"/>
            </w:pPr>
          </w:p>
        </w:tc>
      </w:tr>
      <w:tr>
        <w:trPr>
          <w:cantSplit/>
        </w:trPr>
        <w:tc>
          <w:tcPr>
            <w:tcW w:w="635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Small"/>
              <w:jc w:val="right"/>
            </w:pPr>
            <w:r>
              <w:t xml:space="preserve">FY2017</w:t>
            </w:r>
          </w:p>
        </w:tc>
        <w:tc>
          <w:tcPr>
            <w:tcW w:w="992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Small"/>
              <w:jc w:val="right"/>
            </w:pPr>
            <w:r>
              <w:t xml:space="preserve">3,933</w:t>
            </w:r>
          </w:p>
        </w:tc>
        <w:tc>
          <w:tcPr>
            <w:tcW w:w="612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Small"/>
              <w:jc w:val="right"/>
            </w:pPr>
            <w:r>
              <w:t xml:space="preserve">+19.0%</w:t>
            </w:r>
          </w:p>
        </w:tc>
        <w:tc>
          <w:tcPr>
            <w:tcW w:w="583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Small"/>
              <w:jc w:val="right"/>
            </w:pPr>
            <w:r>
              <w:t xml:space="preserve">62.0%</w:t>
            </w:r>
          </w:p>
        </w:tc>
        <w:tc>
          <w:tcPr>
            <w:tcW w:w="1148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Small"/>
              <w:jc w:val="right"/>
            </w:pPr>
            <w:r>
              <w:t xml:space="preserve">949</w:t>
            </w:r>
          </w:p>
        </w:tc>
        <w:tc>
          <w:tcPr>
            <w:tcW w:w="883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Small"/>
              <w:jc w:val="right"/>
            </w:pPr>
            <w:r>
              <w:t xml:space="preserve">24.1%</w:t>
            </w:r>
          </w:p>
        </w:tc>
        <w:tc>
          <w:tcPr>
            <w:tcW w:w="992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Small"/>
              <w:jc w:val="right"/>
            </w:pPr>
            <w:r>
              <w:t xml:space="preserve">730</w:t>
            </w:r>
          </w:p>
        </w:tc>
        <w:tc>
          <w:tcPr>
            <w:tcW w:w="631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Small"/>
              <w:jc w:val="right"/>
            </w:pPr>
            <w:r>
              <w:t xml:space="preserve">$6.09</w:t>
            </w:r>
          </w:p>
        </w:tc>
        <w:tc>
          <w:tcPr>
            <w:tcW w:w="847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Small"/>
              <w:jc w:val="right"/>
            </w:pPr>
            <w:r>
              <w:t xml:space="preserve">944</w:t>
            </w:r>
          </w:p>
        </w:tc>
        <w:tc>
          <w:tcPr>
            <w:tcW w:w="643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Small"/>
              <w:jc w:val="right"/>
            </w:pPr>
            <w:r>
              <w:t xml:space="preserve">$158.14</w:t>
            </w:r>
          </w:p>
        </w:tc>
        <w:tc>
          <w:tcPr>
            <w:tcW w:w="697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Small"/>
              <w:jc w:val="right"/>
            </w:pPr>
            <w:r>
              <w:t xml:space="preserve">26.0</w:t>
            </w:r>
          </w:p>
        </w:tc>
        <w:tc>
          <w:tcPr>
            <w:tcW w:w="975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Small"/>
              <w:jc w:val="left"/>
            </w:pPr>
          </w:p>
        </w:tc>
      </w:tr>
      <w:tr>
        <w:trPr>
          <w:cantSplit/>
        </w:trPr>
        <w:tc>
          <w:tcPr>
            <w:tcW w:w="635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Small"/>
              <w:jc w:val="right"/>
            </w:pPr>
            <w:r>
              <w:t xml:space="preserve">FY2018</w:t>
            </w:r>
          </w:p>
        </w:tc>
        <w:tc>
          <w:tcPr>
            <w:tcW w:w="992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Small"/>
              <w:jc w:val="right"/>
            </w:pPr>
            <w:r>
              <w:t xml:space="preserve">4,481</w:t>
            </w:r>
          </w:p>
        </w:tc>
        <w:tc>
          <w:tcPr>
            <w:tcW w:w="612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Small"/>
              <w:jc w:val="right"/>
            </w:pPr>
            <w:r>
              <w:t xml:space="preserve">+13.9%</w:t>
            </w:r>
          </w:p>
        </w:tc>
        <w:tc>
          <w:tcPr>
            <w:tcW w:w="583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Small"/>
              <w:jc w:val="right"/>
            </w:pPr>
            <w:r>
              <w:t xml:space="preserve">72.4%</w:t>
            </w:r>
          </w:p>
        </w:tc>
        <w:tc>
          <w:tcPr>
            <w:tcW w:w="1148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Small"/>
              <w:jc w:val="right"/>
            </w:pPr>
            <w:r>
              <w:t xml:space="preserve">382</w:t>
            </w:r>
          </w:p>
        </w:tc>
        <w:tc>
          <w:tcPr>
            <w:tcW w:w="883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Small"/>
              <w:jc w:val="right"/>
            </w:pPr>
            <w:r>
              <w:t xml:space="preserve">8.5%</w:t>
            </w:r>
          </w:p>
        </w:tc>
        <w:tc>
          <w:tcPr>
            <w:tcW w:w="992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Small"/>
              <w:jc w:val="right"/>
            </w:pPr>
            <w:r>
              <w:t xml:space="preserve">277</w:t>
            </w:r>
          </w:p>
        </w:tc>
        <w:tc>
          <w:tcPr>
            <w:tcW w:w="631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Small"/>
              <w:jc w:val="right"/>
            </w:pPr>
            <w:r>
              <w:t xml:space="preserve">$2.79</w:t>
            </w:r>
          </w:p>
        </w:tc>
        <w:tc>
          <w:tcPr>
            <w:tcW w:w="847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Small"/>
              <w:jc w:val="right"/>
            </w:pPr>
            <w:r>
              <w:t xml:space="preserve">241</w:t>
            </w:r>
          </w:p>
        </w:tc>
        <w:tc>
          <w:tcPr>
            <w:tcW w:w="643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Small"/>
              <w:jc w:val="right"/>
            </w:pPr>
            <w:r>
              <w:t xml:space="preserve">$54.91</w:t>
            </w:r>
          </w:p>
        </w:tc>
        <w:tc>
          <w:tcPr>
            <w:tcW w:w="697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Small"/>
              <w:jc w:val="right"/>
            </w:pPr>
            <w:r>
              <w:t xml:space="preserve">19.7</w:t>
            </w:r>
          </w:p>
        </w:tc>
        <w:tc>
          <w:tcPr>
            <w:tcW w:w="975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Small"/>
              <w:jc w:val="left"/>
            </w:pPr>
            <w:r>
              <w:t xml:space="preserve">大型買収</w:t>
            </w:r>
          </w:p>
        </w:tc>
      </w:tr>
      <w:tr>
        <w:trPr>
          <w:cantSplit/>
        </w:trPr>
        <w:tc>
          <w:tcPr>
            <w:tcW w:w="635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Small"/>
              <w:jc w:val="right"/>
            </w:pPr>
            <w:r>
              <w:t xml:space="preserve">FY2019</w:t>
            </w:r>
          </w:p>
        </w:tc>
        <w:tc>
          <w:tcPr>
            <w:tcW w:w="992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Small"/>
              <w:jc w:val="right"/>
            </w:pPr>
            <w:r>
              <w:t xml:space="preserve">5,414</w:t>
            </w:r>
          </w:p>
        </w:tc>
        <w:tc>
          <w:tcPr>
            <w:tcW w:w="612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Small"/>
              <w:jc w:val="right"/>
            </w:pPr>
            <w:r>
              <w:t xml:space="preserve">+20.8%</w:t>
            </w:r>
          </w:p>
        </w:tc>
        <w:tc>
          <w:tcPr>
            <w:tcW w:w="583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Small"/>
              <w:jc w:val="right"/>
            </w:pPr>
            <w:r>
              <w:t xml:space="preserve">63.2%</w:t>
            </w:r>
          </w:p>
        </w:tc>
        <w:tc>
          <w:tcPr>
            <w:tcW w:w="1148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Small"/>
              <w:jc w:val="right"/>
            </w:pPr>
            <w:r>
              <w:t xml:space="preserve">741</w:t>
            </w:r>
          </w:p>
        </w:tc>
        <w:tc>
          <w:tcPr>
            <w:tcW w:w="883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Small"/>
              <w:jc w:val="right"/>
            </w:pPr>
            <w:r>
              <w:t xml:space="preserve">13.7%</w:t>
            </w:r>
          </w:p>
        </w:tc>
        <w:tc>
          <w:tcPr>
            <w:tcW w:w="992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Small"/>
              <w:jc w:val="right"/>
            </w:pPr>
            <w:r>
              <w:t xml:space="preserve">526</w:t>
            </w:r>
          </w:p>
        </w:tc>
        <w:tc>
          <w:tcPr>
            <w:tcW w:w="631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Small"/>
              <w:jc w:val="right"/>
            </w:pPr>
            <w:r>
              <w:t xml:space="preserve">$4.51</w:t>
            </w:r>
          </w:p>
        </w:tc>
        <w:tc>
          <w:tcPr>
            <w:tcW w:w="847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Small"/>
              <w:jc w:val="right"/>
            </w:pPr>
            <w:r>
              <w:t xml:space="preserve">447</w:t>
            </w:r>
          </w:p>
        </w:tc>
        <w:tc>
          <w:tcPr>
            <w:tcW w:w="643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Small"/>
              <w:jc w:val="right"/>
            </w:pPr>
            <w:r>
              <w:t xml:space="preserve">$137.82</w:t>
            </w:r>
          </w:p>
        </w:tc>
        <w:tc>
          <w:tcPr>
            <w:tcW w:w="697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Small"/>
              <w:jc w:val="right"/>
            </w:pPr>
            <w:r>
              <w:t xml:space="preserve">30.6</w:t>
            </w:r>
          </w:p>
        </w:tc>
        <w:tc>
          <w:tcPr>
            <w:tcW w:w="975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Small"/>
              <w:jc w:val="left"/>
            </w:pPr>
          </w:p>
        </w:tc>
      </w:tr>
      <w:tr>
        <w:trPr>
          <w:cantSplit/>
        </w:trPr>
        <w:tc>
          <w:tcPr>
            <w:tcW w:w="635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Small"/>
              <w:jc w:val="right"/>
            </w:pPr>
            <w:r>
              <w:t xml:space="preserve">FY2020</w:t>
            </w:r>
          </w:p>
        </w:tc>
        <w:tc>
          <w:tcPr>
            <w:tcW w:w="992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Small"/>
              <w:jc w:val="right"/>
            </w:pPr>
            <w:r>
              <w:t xml:space="preserve">6,329</w:t>
            </w:r>
          </w:p>
        </w:tc>
        <w:tc>
          <w:tcPr>
            <w:tcW w:w="612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Small"/>
              <w:jc w:val="right"/>
            </w:pPr>
            <w:r>
              <w:t xml:space="preserve">+16.9%</w:t>
            </w:r>
          </w:p>
        </w:tc>
        <w:tc>
          <w:tcPr>
            <w:tcW w:w="583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Small"/>
              <w:jc w:val="right"/>
            </w:pPr>
            <w:r>
              <w:t xml:space="preserve">76.0%</w:t>
            </w:r>
          </w:p>
        </w:tc>
        <w:tc>
          <w:tcPr>
            <w:tcW w:w="1148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Small"/>
              <w:jc w:val="right"/>
            </w:pPr>
            <w:r>
              <w:t xml:space="preserve">1,699</w:t>
            </w:r>
          </w:p>
        </w:tc>
        <w:tc>
          <w:tcPr>
            <w:tcW w:w="883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Small"/>
              <w:jc w:val="right"/>
            </w:pPr>
            <w:r>
              <w:t xml:space="preserve">26.8%</w:t>
            </w:r>
          </w:p>
        </w:tc>
        <w:tc>
          <w:tcPr>
            <w:tcW w:w="992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Small"/>
              <w:jc w:val="right"/>
            </w:pPr>
            <w:r>
              <w:t xml:space="preserve">1,391</w:t>
            </w:r>
          </w:p>
        </w:tc>
        <w:tc>
          <w:tcPr>
            <w:tcW w:w="631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Small"/>
              <w:jc w:val="right"/>
            </w:pPr>
            <w:r>
              <w:t xml:space="preserve">$13.64</w:t>
            </w:r>
          </w:p>
        </w:tc>
        <w:tc>
          <w:tcPr>
            <w:tcW w:w="847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Small"/>
              <w:jc w:val="right"/>
            </w:pPr>
            <w:r>
              <w:t xml:space="preserve">1,459</w:t>
            </w:r>
          </w:p>
        </w:tc>
        <w:tc>
          <w:tcPr>
            <w:tcW w:w="643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Small"/>
              <w:jc w:val="right"/>
            </w:pPr>
            <w:r>
              <w:t xml:space="preserve">$382.57</w:t>
            </w:r>
          </w:p>
        </w:tc>
        <w:tc>
          <w:tcPr>
            <w:tcW w:w="697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Small"/>
              <w:jc w:val="right"/>
            </w:pPr>
            <w:r>
              <w:t xml:space="preserve">28.0</w:t>
            </w:r>
          </w:p>
        </w:tc>
        <w:tc>
          <w:tcPr>
            <w:tcW w:w="975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Small"/>
              <w:jc w:val="left"/>
            </w:pPr>
          </w:p>
        </w:tc>
      </w:tr>
      <w:tr>
        <w:trPr>
          <w:cantSplit/>
        </w:trPr>
        <w:tc>
          <w:tcPr>
            <w:tcW w:w="635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Small"/>
              <w:jc w:val="right"/>
            </w:pPr>
            <w:r>
              <w:t xml:space="preserve">FY2021</w:t>
            </w:r>
          </w:p>
        </w:tc>
        <w:tc>
          <w:tcPr>
            <w:tcW w:w="992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Small"/>
              <w:jc w:val="right"/>
            </w:pPr>
            <w:r>
              <w:t xml:space="preserve">7,779</w:t>
            </w:r>
          </w:p>
        </w:tc>
        <w:tc>
          <w:tcPr>
            <w:tcW w:w="612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Small"/>
              <w:jc w:val="right"/>
            </w:pPr>
            <w:r>
              <w:t xml:space="preserve">+22.9%</w:t>
            </w:r>
          </w:p>
        </w:tc>
        <w:tc>
          <w:tcPr>
            <w:tcW w:w="583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Small"/>
              <w:jc w:val="right"/>
            </w:pPr>
            <w:r>
              <w:t xml:space="preserve">77.3%</w:t>
            </w:r>
          </w:p>
        </w:tc>
        <w:tc>
          <w:tcPr>
            <w:tcW w:w="1148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Small"/>
              <w:jc w:val="right"/>
            </w:pPr>
            <w:r>
              <w:t xml:space="preserve">892</w:t>
            </w:r>
          </w:p>
        </w:tc>
        <w:tc>
          <w:tcPr>
            <w:tcW w:w="883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Small"/>
              <w:jc w:val="right"/>
            </w:pPr>
            <w:r>
              <w:t xml:space="preserve">11.5%</w:t>
            </w:r>
          </w:p>
        </w:tc>
        <w:tc>
          <w:tcPr>
            <w:tcW w:w="992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Small"/>
              <w:jc w:val="right"/>
            </w:pPr>
            <w:r>
              <w:t xml:space="preserve">589</w:t>
            </w:r>
          </w:p>
        </w:tc>
        <w:tc>
          <w:tcPr>
            <w:tcW w:w="631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Small"/>
              <w:jc w:val="right"/>
            </w:pPr>
            <w:r>
              <w:t xml:space="preserve">$5.85</w:t>
            </w:r>
          </w:p>
        </w:tc>
        <w:tc>
          <w:tcPr>
            <w:tcW w:w="847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Small"/>
              <w:jc w:val="right"/>
            </w:pPr>
            <w:r>
              <w:t xml:space="preserve">554</w:t>
            </w:r>
          </w:p>
        </w:tc>
        <w:tc>
          <w:tcPr>
            <w:tcW w:w="643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Small"/>
              <w:jc w:val="right"/>
            </w:pPr>
            <w:r>
              <w:t xml:space="preserve">$184.65</w:t>
            </w:r>
          </w:p>
        </w:tc>
        <w:tc>
          <w:tcPr>
            <w:tcW w:w="697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Small"/>
              <w:jc w:val="right"/>
            </w:pPr>
            <w:r>
              <w:t xml:space="preserve">31.6</w:t>
            </w:r>
          </w:p>
        </w:tc>
        <w:tc>
          <w:tcPr>
            <w:tcW w:w="975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Small"/>
              <w:jc w:val="left"/>
            </w:pPr>
          </w:p>
        </w:tc>
      </w:tr>
      <w:tr>
        <w:trPr>
          <w:cantSplit/>
        </w:trPr>
        <w:tc>
          <w:tcPr>
            <w:tcW w:w="635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Small"/>
              <w:jc w:val="right"/>
            </w:pPr>
            <w:r>
              <w:t xml:space="preserve">FY2022</w:t>
            </w:r>
          </w:p>
        </w:tc>
        <w:tc>
          <w:tcPr>
            <w:tcW w:w="992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Small"/>
              <w:jc w:val="right"/>
            </w:pPr>
            <w:r>
              <w:t xml:space="preserve">9,148</w:t>
            </w:r>
          </w:p>
        </w:tc>
        <w:tc>
          <w:tcPr>
            <w:tcW w:w="612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Small"/>
              <w:jc w:val="right"/>
            </w:pPr>
            <w:r>
              <w:t xml:space="preserve">+17.6%</w:t>
            </w:r>
          </w:p>
        </w:tc>
        <w:tc>
          <w:tcPr>
            <w:tcW w:w="583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Small"/>
              <w:jc w:val="right"/>
            </w:pPr>
            <w:r>
              <w:t xml:space="preserve">65.5%</w:t>
            </w:r>
          </w:p>
        </w:tc>
        <w:tc>
          <w:tcPr>
            <w:tcW w:w="1148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Small"/>
              <w:jc w:val="right"/>
            </w:pPr>
            <w:r>
              <w:t xml:space="preserve">740</w:t>
            </w:r>
          </w:p>
        </w:tc>
        <w:tc>
          <w:tcPr>
            <w:tcW w:w="883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Small"/>
              <w:jc w:val="right"/>
            </w:pPr>
            <w:r>
              <w:t xml:space="preserve">8.1%</w:t>
            </w:r>
          </w:p>
        </w:tc>
        <w:tc>
          <w:tcPr>
            <w:tcW w:w="992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Small"/>
              <w:jc w:val="right"/>
            </w:pPr>
            <w:r>
              <w:t xml:space="preserve">530</w:t>
            </w:r>
          </w:p>
        </w:tc>
        <w:tc>
          <w:tcPr>
            <w:tcW w:w="631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Small"/>
              <w:jc w:val="right"/>
            </w:pPr>
            <w:r>
              <w:t xml:space="preserve">$5.09</w:t>
            </w:r>
          </w:p>
        </w:tc>
        <w:tc>
          <w:tcPr>
            <w:tcW w:w="847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Small"/>
              <w:jc w:val="right"/>
            </w:pPr>
            <w:r>
              <w:t xml:space="preserve">605</w:t>
            </w:r>
          </w:p>
        </w:tc>
        <w:tc>
          <w:tcPr>
            <w:tcW w:w="643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Small"/>
              <w:jc w:val="right"/>
            </w:pPr>
            <w:r>
              <w:t xml:space="preserve">$227.42</w:t>
            </w:r>
          </w:p>
        </w:tc>
        <w:tc>
          <w:tcPr>
            <w:tcW w:w="697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Small"/>
              <w:jc w:val="right"/>
            </w:pPr>
            <w:r>
              <w:t xml:space="preserve">44.7</w:t>
            </w:r>
          </w:p>
        </w:tc>
        <w:tc>
          <w:tcPr>
            <w:tcW w:w="975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Small"/>
              <w:jc w:val="left"/>
            </w:pPr>
            <w:r>
              <w:t xml:space="preserve">クラウド移行</w:t>
            </w:r>
          </w:p>
        </w:tc>
      </w:tr>
      <w:tr>
        <w:trPr>
          <w:cantSplit/>
        </w:trPr>
        <w:tc>
          <w:tcPr>
            <w:tcW w:w="635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Small"/>
              <w:jc w:val="right"/>
            </w:pPr>
            <w:r>
              <w:t xml:space="preserve">FY2023</w:t>
            </w:r>
          </w:p>
        </w:tc>
        <w:tc>
          <w:tcPr>
            <w:tcW w:w="992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Small"/>
              <w:jc w:val="right"/>
            </w:pPr>
            <w:r>
              <w:t xml:space="preserve">10,926</w:t>
            </w:r>
          </w:p>
        </w:tc>
        <w:tc>
          <w:tcPr>
            <w:tcW w:w="612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Small"/>
              <w:jc w:val="right"/>
            </w:pPr>
            <w:r>
              <w:t xml:space="preserve">+19.4%</w:t>
            </w:r>
          </w:p>
        </w:tc>
        <w:tc>
          <w:tcPr>
            <w:tcW w:w="583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Small"/>
              <w:jc w:val="right"/>
            </w:pPr>
            <w:r>
              <w:t xml:space="preserve">69.8%</w:t>
            </w:r>
          </w:p>
        </w:tc>
        <w:tc>
          <w:tcPr>
            <w:tcW w:w="1148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Small"/>
              <w:jc w:val="right"/>
            </w:pPr>
            <w:r>
              <w:t xml:space="preserve">2,426</w:t>
            </w:r>
          </w:p>
        </w:tc>
        <w:tc>
          <w:tcPr>
            <w:tcW w:w="883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Small"/>
              <w:jc w:val="right"/>
            </w:pPr>
            <w:r>
              <w:t xml:space="preserve">22.2%</w:t>
            </w:r>
          </w:p>
        </w:tc>
        <w:tc>
          <w:tcPr>
            <w:tcW w:w="992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Small"/>
              <w:jc w:val="right"/>
            </w:pPr>
            <w:r>
              <w:t xml:space="preserve">1,881</w:t>
            </w:r>
          </w:p>
        </w:tc>
        <w:tc>
          <w:tcPr>
            <w:tcW w:w="631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Small"/>
              <w:jc w:val="right"/>
            </w:pPr>
            <w:r>
              <w:t xml:space="preserve">$19.53</w:t>
            </w:r>
          </w:p>
        </w:tc>
        <w:tc>
          <w:tcPr>
            <w:tcW w:w="847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Small"/>
              <w:jc w:val="right"/>
            </w:pPr>
            <w:r>
              <w:t xml:space="preserve">2,521</w:t>
            </w:r>
          </w:p>
        </w:tc>
        <w:tc>
          <w:tcPr>
            <w:tcW w:w="643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Small"/>
              <w:jc w:val="right"/>
            </w:pPr>
            <w:r>
              <w:t xml:space="preserve">$777.95</w:t>
            </w:r>
          </w:p>
        </w:tc>
        <w:tc>
          <w:tcPr>
            <w:tcW w:w="697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Small"/>
              <w:jc w:val="right"/>
            </w:pPr>
            <w:r>
              <w:t xml:space="preserve">39.8</w:t>
            </w:r>
          </w:p>
        </w:tc>
        <w:tc>
          <w:tcPr>
            <w:tcW w:w="975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Small"/>
              <w:jc w:val="left"/>
            </w:pPr>
          </w:p>
        </w:tc>
      </w:tr>
      <w:tr>
        <w:trPr>
          <w:cantSplit/>
        </w:trPr>
        <w:tc>
          <w:tcPr>
            <w:tcW w:w="635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Small"/>
              <w:jc w:val="right"/>
            </w:pPr>
            <w:r>
              <w:t xml:space="preserve">FY2024</w:t>
            </w:r>
          </w:p>
        </w:tc>
        <w:tc>
          <w:tcPr>
            <w:tcW w:w="992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Small"/>
              <w:jc w:val="right"/>
            </w:pPr>
            <w:r>
              <w:t xml:space="preserve">13,410</w:t>
            </w:r>
          </w:p>
        </w:tc>
        <w:tc>
          <w:tcPr>
            <w:tcW w:w="612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Small"/>
              <w:jc w:val="right"/>
            </w:pPr>
            <w:r>
              <w:t xml:space="preserve">+22.7%</w:t>
            </w:r>
          </w:p>
        </w:tc>
        <w:tc>
          <w:tcPr>
            <w:tcW w:w="583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Small"/>
              <w:jc w:val="right"/>
            </w:pPr>
            <w:r>
              <w:t xml:space="preserve">74.6%</w:t>
            </w:r>
          </w:p>
        </w:tc>
        <w:tc>
          <w:tcPr>
            <w:tcW w:w="1148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Small"/>
              <w:jc w:val="right"/>
            </w:pPr>
            <w:r>
              <w:t xml:space="preserve">2,283</w:t>
            </w:r>
          </w:p>
        </w:tc>
        <w:tc>
          <w:tcPr>
            <w:tcW w:w="883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Small"/>
              <w:jc w:val="right"/>
            </w:pPr>
            <w:r>
              <w:t xml:space="preserve">17.0%</w:t>
            </w:r>
          </w:p>
        </w:tc>
        <w:tc>
          <w:tcPr>
            <w:tcW w:w="992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Small"/>
              <w:jc w:val="right"/>
            </w:pPr>
            <w:r>
              <w:t xml:space="preserve">1,625</w:t>
            </w:r>
          </w:p>
        </w:tc>
        <w:tc>
          <w:tcPr>
            <w:tcW w:w="631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Small"/>
              <w:jc w:val="right"/>
            </w:pPr>
            <w:r>
              <w:t xml:space="preserve">$16.65</w:t>
            </w:r>
          </w:p>
        </w:tc>
        <w:tc>
          <w:tcPr>
            <w:tcW w:w="847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Small"/>
              <w:jc w:val="right"/>
            </w:pPr>
            <w:r>
              <w:t xml:space="preserve">1,918</w:t>
            </w:r>
          </w:p>
        </w:tc>
        <w:tc>
          <w:tcPr>
            <w:tcW w:w="643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Small"/>
              <w:jc w:val="right"/>
            </w:pPr>
            <w:r>
              <w:t xml:space="preserve">$328.75</w:t>
            </w:r>
          </w:p>
        </w:tc>
        <w:tc>
          <w:tcPr>
            <w:tcW w:w="697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Small"/>
              <w:jc w:val="right"/>
            </w:pPr>
            <w:r>
              <w:t xml:space="preserve">19.7</w:t>
            </w:r>
          </w:p>
        </w:tc>
        <w:tc>
          <w:tcPr>
            <w:tcW w:w="975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Small"/>
              <w:jc w:val="left"/>
            </w:pPr>
          </w:p>
        </w:tc>
      </w:tr>
      <w:tr>
        <w:trPr>
          <w:cantSplit/>
        </w:trPr>
        <w:tc>
          <w:tcPr>
            <w:tcW w:w="635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Small"/>
              <w:jc w:val="right"/>
            </w:pPr>
            <w:r>
              <w:t xml:space="preserve">FY2025</w:t>
            </w:r>
          </w:p>
        </w:tc>
        <w:tc>
          <w:tcPr>
            <w:tcW w:w="992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Small"/>
              <w:jc w:val="right"/>
            </w:pPr>
            <w:r>
              <w:t xml:space="preserve">14,512</w:t>
            </w:r>
          </w:p>
        </w:tc>
        <w:tc>
          <w:tcPr>
            <w:tcW w:w="612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Small"/>
              <w:jc w:val="right"/>
            </w:pPr>
            <w:r>
              <w:t xml:space="preserve">+8.2%</w:t>
            </w:r>
          </w:p>
        </w:tc>
        <w:tc>
          <w:tcPr>
            <w:tcW w:w="583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Small"/>
              <w:jc w:val="right"/>
            </w:pPr>
            <w:r>
              <w:t xml:space="preserve">64.5%</w:t>
            </w:r>
          </w:p>
        </w:tc>
        <w:tc>
          <w:tcPr>
            <w:tcW w:w="1148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Small"/>
              <w:jc w:val="right"/>
            </w:pPr>
            <w:r>
              <w:t xml:space="preserve">1,703</w:t>
            </w:r>
          </w:p>
        </w:tc>
        <w:tc>
          <w:tcPr>
            <w:tcW w:w="883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Small"/>
              <w:jc w:val="right"/>
            </w:pPr>
            <w:r>
              <w:t xml:space="preserve">11.7%</w:t>
            </w:r>
          </w:p>
        </w:tc>
        <w:tc>
          <w:tcPr>
            <w:tcW w:w="992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Small"/>
              <w:jc w:val="right"/>
            </w:pPr>
            <w:r>
              <w:t xml:space="preserve">1,189</w:t>
            </w:r>
          </w:p>
        </w:tc>
        <w:tc>
          <w:tcPr>
            <w:tcW w:w="631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Small"/>
              <w:jc w:val="right"/>
            </w:pPr>
            <w:r>
              <w:t xml:space="preserve">$12.34</w:t>
            </w:r>
          </w:p>
        </w:tc>
        <w:tc>
          <w:tcPr>
            <w:tcW w:w="847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Small"/>
              <w:jc w:val="right"/>
            </w:pPr>
            <w:r>
              <w:t xml:space="preserve">951</w:t>
            </w:r>
          </w:p>
        </w:tc>
        <w:tc>
          <w:tcPr>
            <w:tcW w:w="643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Small"/>
              <w:jc w:val="right"/>
            </w:pPr>
            <w:r>
              <w:t xml:space="preserve">$274.45</w:t>
            </w:r>
          </w:p>
        </w:tc>
        <w:tc>
          <w:tcPr>
            <w:tcW w:w="697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Small"/>
              <w:jc w:val="right"/>
            </w:pPr>
            <w:r>
              <w:t xml:space="preserve">22.2</w:t>
            </w:r>
          </w:p>
        </w:tc>
        <w:tc>
          <w:tcPr>
            <w:tcW w:w="975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Small"/>
              <w:jc w:val="left"/>
            </w:pPr>
          </w:p>
        </w:tc>
      </w:tr>
      <w:tr>
        <w:trPr>
          <w:cantSplit/>
        </w:trPr>
        <w:tc>
          <w:tcPr>
            <w:tcW w:w="635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Small"/>
              <w:jc w:val="right"/>
            </w:pPr>
            <w:r>
              <w:t xml:space="preserve">FY2026</w:t>
            </w:r>
          </w:p>
        </w:tc>
        <w:tc>
          <w:tcPr>
            <w:tcW w:w="992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Small"/>
              <w:jc w:val="right"/>
            </w:pPr>
            <w:r>
              <w:t xml:space="preserve">15,793</w:t>
            </w:r>
          </w:p>
        </w:tc>
        <w:tc>
          <w:tcPr>
            <w:tcW w:w="612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Small"/>
              <w:jc w:val="right"/>
            </w:pPr>
            <w:r>
              <w:t xml:space="preserve">+8.8%</w:t>
            </w:r>
          </w:p>
        </w:tc>
        <w:tc>
          <w:tcPr>
            <w:tcW w:w="583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Small"/>
              <w:jc w:val="right"/>
            </w:pPr>
            <w:r>
              <w:t xml:space="preserve">67.2%</w:t>
            </w:r>
          </w:p>
        </w:tc>
        <w:tc>
          <w:tcPr>
            <w:tcW w:w="1148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Small"/>
              <w:jc w:val="right"/>
            </w:pPr>
            <w:r>
              <w:t xml:space="preserve">1,356</w:t>
            </w:r>
          </w:p>
        </w:tc>
        <w:tc>
          <w:tcPr>
            <w:tcW w:w="883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Small"/>
              <w:jc w:val="right"/>
            </w:pPr>
            <w:r>
              <w:t xml:space="preserve">8.6%</w:t>
            </w:r>
          </w:p>
        </w:tc>
        <w:tc>
          <w:tcPr>
            <w:tcW w:w="992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Small"/>
              <w:jc w:val="right"/>
            </w:pPr>
            <w:r>
              <w:t xml:space="preserve">1,113</w:t>
            </w:r>
          </w:p>
        </w:tc>
        <w:tc>
          <w:tcPr>
            <w:tcW w:w="631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Small"/>
              <w:jc w:val="right"/>
            </w:pPr>
            <w:r>
              <w:t xml:space="preserve">$10.09</w:t>
            </w:r>
          </w:p>
        </w:tc>
        <w:tc>
          <w:tcPr>
            <w:tcW w:w="847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Small"/>
              <w:jc w:val="right"/>
            </w:pPr>
            <w:r>
              <w:t xml:space="preserve">990</w:t>
            </w:r>
          </w:p>
        </w:tc>
        <w:tc>
          <w:tcPr>
            <w:tcW w:w="643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Small"/>
              <w:jc w:val="right"/>
            </w:pPr>
            <w:r>
              <w:t xml:space="preserve">$252.88</w:t>
            </w:r>
          </w:p>
        </w:tc>
        <w:tc>
          <w:tcPr>
            <w:tcW w:w="697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Small"/>
              <w:jc w:val="right"/>
            </w:pPr>
            <w:r>
              <w:t xml:space="preserve">25.1</w:t>
            </w:r>
          </w:p>
        </w:tc>
        <w:tc>
          <w:tcPr>
            <w:tcW w:w="975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Small"/>
              <w:jc w:val="left"/>
            </w:pPr>
            <w:r>
              <w:t xml:space="preserve">最新期</w:t>
            </w:r>
          </w:p>
        </w:tc>
      </w:tr>
    </w:tbl>
    <w:p>
      <w:pPr>
        <w:pStyle w:val="TableSpacer"/>
      </w:pPr>
    </w:p>
    <w:p>
      <w:pPr>
        <w:pStyle w:val="BodyText"/>
      </w:pPr>
      <w:r>
        <w:t xml:space="preserve">表の直後の段落が詰まらず、適度な余白で続くことを確認する。</w:t>
      </w:r>
    </w:p>
    <w:p>
      <w:pPr>
        <w:pStyle w:val="Heading3"/>
      </w:pPr>
      <w:bookmarkStart w:id="9007" w:name="_Toc90000006"/>
      <w:r>
        <w:t xml:space="preserve">3. グラフ</w:t>
      </w:r>
      <w:bookmarkEnd w:id="9007"/>
    </w:p>
    <w:p>
      <w:pPr>
        <w:pStyle w:val="CaptionedFigure"/>
        <w:jc w:val="center"/>
      </w:pPr>
      <w:r>
        <w:drawing>
          <wp:inline>
            <wp:extent cx="6108700" cy="2901632"/>
            <wp:effectExtent b="0" l="0" r="0" t="0"/>
            <wp:docPr descr="サンプル(株)の売上高と営業利益(架空データ)" title="" id="21" name="Picture"/>
            <a:graphic>
              <a:graphicData uri="http://schemas.openxmlformats.org/drawingml/2006/picture">
                <pic:pic>
                  <pic:nvPicPr>
                    <pic:cNvPr descr="/home/user/AI/reports/security-stocks-2026-10/build/sample/chart_revenue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8700" cy="29016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図: サンプル(株)の売上高と営業利益(架空データ)</w:t>
      </w:r>
    </w:p>
    <w:p>
      <w:pPr>
        <w:pStyle w:val="BodyText"/>
      </w:pPr>
      <w:r>
        <w:t xml:space="preserve">グラフはページ幅に収まるよう縮小され、中央揃えで、下に「図: ...」のキャプションが付く。</w:t>
      </w:r>
    </w:p>
    <w:p>
      <w:pPr>
        <w:pStyle w:val="Heading3"/>
      </w:pPr>
      <w:bookmarkStart w:id="9008" w:name="_Toc90000007"/>
      <w:r>
        <w:t xml:space="preserve">4. 引用・コード・罫線</w:t>
      </w:r>
      <w:bookmarkEnd w:id="9008"/>
    </w:p>
    <w:p>
      <w:pPr>
        <w:pStyle w:val="BlockText"/>
      </w:pPr>
      <w:r>
        <w:rPr>
          <w:bCs/>
          <w:b/>
        </w:rPr>
        <w:t xml:space="preserve">注意</w:t>
      </w:r>
      <w:r>
        <w:t xml:space="preserve">: 本書の数値は組版テスト用の架空データであり、投資判断の根拠にはならない。引用ブロックは左罫線つきの灰色背景で組まれる。</w:t>
      </w:r>
    </w:p>
    <w:p>
      <w:pPr>
        <w:pStyle w:val="BlockText"/>
      </w:pPr>
      <w:r>
        <w:t xml:space="preserve">二つ目の段落も同じブロックとして連結される。</w:t>
      </w:r>
    </w:p>
    <w:p>
      <w:pPr>
        <w:pStyle w:val="FirstParagraph"/>
      </w:pPr>
      <w:r>
        <w:t xml:space="preserve">妥当株価の算定式(コードブロック):</w:t>
      </w:r>
    </w:p>
    <w:p>
      <w:pPr>
        <w:pStyle w:val="SourceCode"/>
      </w:pPr>
      <w:r>
        <w:rPr>
          <w:rStyle w:val="VerbatimChar"/>
        </w:rPr>
        <w:t xml:space="preserve">妥当PER = 妥当PEG × 予想EPS成長率(%)</w:t>
      </w:r>
      <w:r>
        <w:br/>
      </w:r>
      <w:r>
        <w:rPr>
          <w:rStyle w:val="VerbatimChar"/>
        </w:rPr>
        <w:t xml:space="preserve">妥当株価 = 事業実態EPS × 妥当PER</w:t>
      </w:r>
      <w:r>
        <w:br/>
      </w:r>
      <w:r>
        <w:rPr>
          <w:rStyle w:val="VerbatimChar"/>
        </w:rPr>
        <w:t xml:space="preserve">        = $4.80 × (1.2 × 15)</w:t>
      </w:r>
      <w:r>
        <w:br/>
      </w:r>
      <w:r>
        <w:rPr>
          <w:rStyle w:val="VerbatimChar"/>
        </w:rPr>
        <w:t xml:space="preserve">        = $86.40</w:t>
      </w:r>
    </w:p>
    <w:p>
      <w:pPr>
        <w:pStyle w:val="FirstParagraph"/>
      </w:pPr>
      <w:r>
        <w:t xml:space="preserve">インラインコードは</w:t>
      </w:r>
      <w:r>
        <w:t xml:space="preserve"> </w:t>
      </w:r>
      <w:r>
        <w:rPr>
          <w:rStyle w:val="VerbatimChar"/>
        </w:rPr>
        <w:t xml:space="preserve">PEG = PER ÷ EPS成長率</w:t>
      </w:r>
      <w:r>
        <w:t xml:space="preserve"> </w:t>
      </w:r>
      <w:r>
        <w:t xml:space="preserve">のように等幅で表示される。</w:t>
      </w:r>
    </w:p>
    <w:p>
      <w:pPr>
        <w:pStyle w:val="HorizontalRule"/>
      </w:pPr>
    </w:p>
    <w:p>
      <w:pPr>
        <w:pStyle w:val="BodyText"/>
      </w:pPr>
      <w:r>
        <w:t xml:space="preserve">水平線の後の段落。ここまでで主要な要素(見出し・段落・太字・斜体・箇条書き・表・図・引用・コード)が一通り登場した。</w:t>
      </w:r>
      <w:hyperlink r:id="rId23">
        <w:r>
          <w:rPr>
            <w:rStyle w:val="Hyperlink"/>
          </w:rPr>
          <w:t xml:space="preserve">外部リンクの例</w:t>
        </w:r>
      </w:hyperlink>
      <w:r>
        <w:t xml:space="preserve"> </w:t>
      </w:r>
      <w:r>
        <w:t xml:space="preserve">と脚注の例</w:t>
      </w:r>
      <w:r>
        <w:rPr>
          <w:rStyle w:val="FootnoteReference"/>
        </w:rPr>
        <w:footnoteReference w:id="24"/>
      </w:r>
      <w:r>
        <w:t xml:space="preserve">も含める。</w:t>
      </w:r>
    </w:p>
    <w:p>
      <w:pPr>
        <w:pStyle w:val="Heading1"/>
      </w:pPr>
      <w:bookmarkStart w:id="9009" w:name="_Toc90000008"/>
      <w:r>
        <w:t xml:space="preserve">第II部 銘柄別報告書</w:t>
      </w:r>
      <w:bookmarkEnd w:id="9009"/>
    </w:p>
    <w:p>
      <w:pPr>
        <w:pStyle w:val="Heading2"/>
      </w:pPr>
      <w:bookmarkStart w:id="9010" w:name="_Toc90000009"/>
      <w:r>
        <w:t xml:space="preserve">サンプルB社 報告書</w:t>
      </w:r>
      <w:bookmarkEnd w:id="9010"/>
    </w:p>
    <w:p>
      <w:pPr>
        <w:pStyle w:val="Heading3"/>
      </w:pPr>
      <w:bookmarkStart w:id="9011" w:name="_Toc90000010"/>
      <w:r>
        <w:t xml:space="preserve">1. 事業の概要</w:t>
      </w:r>
      <w:bookmarkEnd w:id="9011"/>
    </w:p>
    <w:p>
      <w:pPr>
        <w:pStyle w:val="FirstParagraph"/>
      </w:pPr>
      <w:r>
        <w:t xml:space="preserve">サンプルB社は、仮想のネットワークセキュリティ企業である。事業の最小単位(原子単位)は「保護されるエンドポイント1台あたりの年間契約」であり、売上は「保護対象数 × 1台あたり単価 × 更新率」の積として分解できる。1台あたり単価は製品の追加(クロスセル)によって上昇し、更新率は解約率の低下によって改善する。</w:t>
      </w:r>
    </w:p>
    <w:p>
      <w:pPr>
        <w:pStyle w:val="BodyText"/>
      </w:pPr>
      <w:r>
        <w:t xml:space="preserve">事業の経済性は次の式で捉える。</w:t>
      </w:r>
    </w:p>
    <w:p>
      <w:pPr>
        <w:pStyle w:val="SourceCode"/>
      </w:pPr>
      <w:r>
        <w:rPr>
          <w:rStyle w:val="VerbatimChar"/>
        </w:rPr>
        <w:t xml:space="preserve">売上 = 保護対象数 × 単価 × 更新率</w:t>
      </w:r>
      <w:r>
        <w:br/>
      </w:r>
      <w:r>
        <w:rPr>
          <w:rStyle w:val="VerbatimChar"/>
        </w:rPr>
        <w:t xml:space="preserve">営業利益 = 売上 × (粗利率 − 販管費率)</w:t>
      </w:r>
    </w:p>
    <w:p>
      <w:pPr>
        <w:pStyle w:val="Heading4"/>
      </w:pPr>
      <w:bookmarkStart w:id="9012" w:name="_Toc90000011"/>
      <w:r>
        <w:t xml:space="preserve">1.1 増収の源泉と制約</w:t>
      </w:r>
      <w:bookmarkEnd w:id="9012"/>
    </w:p>
    <w:p>
      <w:pPr>
        <w:pStyle w:val="FirstParagraph"/>
      </w:pPr>
      <w:r>
        <w:t xml:space="preserve">増収の源泉は三つある。第一に新規顧客の獲得であり、これは営業人員の増加と市場の成長に依存する。第二に既存顧客内でのアップセルであり、製品群が増えるほど効果が高まる。第三に価格改定であり、競争環境により余地は限られる。</w:t>
      </w:r>
    </w:p>
    <w:p>
      <w:pPr>
        <w:pStyle w:val="BodyText"/>
      </w:pPr>
      <w:r>
        <w:t xml:space="preserve">制約としては、次の三点が重要である。</w:t>
      </w:r>
    </w:p>
    <w:p>
      <w:pPr>
        <w:numPr>
          <w:ilvl w:val="0"/>
          <w:numId w:val="1006"/>
        </w:numPr>
        <w:pStyle w:val="Compact"/>
      </w:pPr>
      <w:r>
        <w:t xml:space="preserve">営業人員の採用・育成速度(新人の戦力化に平均3四半期)</w:t>
      </w:r>
    </w:p>
    <w:p>
      <w:pPr>
        <w:numPr>
          <w:ilvl w:val="0"/>
          <w:numId w:val="1006"/>
        </w:numPr>
        <w:pStyle w:val="Compact"/>
      </w:pPr>
      <w:r>
        <w:t xml:space="preserve">大型顧客での導入サイクルの長さ(6~18か月)</w:t>
      </w:r>
    </w:p>
    <w:p>
      <w:pPr>
        <w:numPr>
          <w:ilvl w:val="0"/>
          <w:numId w:val="1006"/>
        </w:numPr>
        <w:pStyle w:val="Compact"/>
      </w:pPr>
      <w:r>
        <w:t xml:space="preserve">競合の無償バンドル攻勢</w:t>
      </w:r>
    </w:p>
    <w:p>
      <w:pPr>
        <w:pStyle w:val="Heading5"/>
      </w:pPr>
      <w:bookmarkStart w:id="9013" w:name="_Toc90000012"/>
      <w:r>
        <w:t xml:space="preserve">自己強化ループ</w:t>
      </w:r>
      <w:bookmarkEnd w:id="9013"/>
    </w:p>
    <w:p>
      <w:pPr>
        <w:pStyle w:val="FirstParagraph"/>
      </w:pPr>
      <w:r>
        <w:t xml:space="preserve">製品が増える → 1社あたりの支出が増える → 統合の価値が高まる → 解約が減る → 開発投資の原資が増える → 製品が増える、というループが働く。このループは、顧客の予算上限に達した時点で飽和する。</w:t>
      </w:r>
    </w:p>
    <w:p>
      <w:pPr>
        <w:pStyle w:val="Heading3"/>
      </w:pPr>
      <w:bookmarkStart w:id="9014" w:name="_Toc90000013"/>
      <w:r>
        <w:t xml:space="preserve">2. リスクの整理(文章量の多い表)</w:t>
      </w:r>
      <w:bookmarkEnd w:id="9014"/>
    </w:p>
    <w:tbl>
      <w:tblPr>
        <w:tblStyle w:val="Table"/>
        <w:tblW w:w="9638" w:type="dxa"/>
        <w:jc w:val="left"/>
        <w:tblInd w:w="0" w:type="dxa"/>
        <w:tblBorders>
          <w:top w:val="single" w:sz="4" w:space="0" w:color="8496B0"/>
          <w:left w:val="single" w:sz="4" w:space="0" w:color="8496B0"/>
          <w:bottom w:val="single" w:sz="4" w:space="0" w:color="8496B0"/>
          <w:right w:val="single" w:sz="4" w:space="0" w:color="8496B0"/>
          <w:insideH w:val="single" w:sz="4" w:space="0" w:color="8496B0"/>
          <w:insideV w:val="single" w:sz="4" w:space="0" w:color="8496B0"/>
        </w:tblBorders>
        <w:tblLayout w:type="fixed"/>
        <w:tblCellMar>
          <w:top w:w="30" w:type="dxa"/>
          <w:left w:w="60" w:type="dxa"/>
          <w:bottom w:w="30" w:type="dxa"/>
          <w:right w:w="60" w:type="dxa"/>
        </w:tblCellMar>
        <w:tblLook w:val="04A0" w:firstRow="1" w:lastRow="0" w:firstColumn="0" w:lastColumn="0" w:noHBand="0" w:noVBand="1"/>
      </w:tblPr>
      <w:tblGrid>
        <w:gridCol w:w="844"/>
        <w:gridCol w:w="5062"/>
        <w:gridCol w:w="816"/>
        <w:gridCol w:w="645"/>
        <w:gridCol w:w="2271"/>
      </w:tblGrid>
      <w:tr>
        <w:trPr>
          <w:cantSplit/>
          <w:tblHeader/>
        </w:trPr>
        <w:tc>
          <w:tcPr>
            <w:tcW w:w="844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1F386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b/>
                <w:bCs/>
                <w:color w:val="FFFFFF"/>
              </w:rPr>
              <w:t xml:space="preserve">リスク</w:t>
            </w:r>
          </w:p>
        </w:tc>
        <w:tc>
          <w:tcPr>
            <w:tcW w:w="5062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1F386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b/>
                <w:bCs/>
                <w:color w:val="FFFFFF"/>
              </w:rPr>
              <w:t xml:space="preserve">内容</w:t>
            </w:r>
          </w:p>
        </w:tc>
        <w:tc>
          <w:tcPr>
            <w:tcW w:w="816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1F3864"/>
            <w:vAlign w:val="center"/>
          </w:tcPr>
          <w:p>
            <w:pPr>
              <w:pStyle w:val="TableText"/>
              <w:keepNext/>
              <w:jc w:val="right"/>
            </w:pPr>
            <w:r>
              <w:rPr>
                <w:b/>
                <w:bCs/>
                <w:color w:val="FFFFFF"/>
              </w:rPr>
              <w:t xml:space="preserve">発生確率</w:t>
            </w:r>
          </w:p>
        </w:tc>
        <w:tc>
          <w:tcPr>
            <w:tcW w:w="645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1F386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b/>
                <w:bCs/>
                <w:color w:val="FFFFFF"/>
              </w:rPr>
              <w:t xml:space="preserve">時間軸</w:t>
            </w:r>
          </w:p>
        </w:tc>
        <w:tc>
          <w:tcPr>
            <w:tcW w:w="2271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1F386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b/>
                <w:bCs/>
                <w:color w:val="FFFFFF"/>
              </w:rPr>
              <w:t xml:space="preserve">対応</w:t>
            </w:r>
          </w:p>
        </w:tc>
      </w:tr>
      <w:tr>
        <w:trPr>
          <w:cantSplit/>
        </w:trPr>
        <w:tc>
          <w:tcPr>
            <w:tcW w:w="844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"/>
              <w:keepNext/>
              <w:jc w:val="left"/>
            </w:pPr>
            <w:r>
              <w:t xml:space="preserve">技術変化</w:t>
            </w:r>
          </w:p>
        </w:tc>
        <w:tc>
          <w:tcPr>
            <w:tcW w:w="5062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"/>
              <w:keepNext/>
              <w:jc w:val="left"/>
            </w:pPr>
            <w:r>
              <w:t xml:space="preserve">新方式の台頭により既存製品の需要が置き換わる可能性。特に生成AIを用いた自動化が、運用負荷の大きい従来型ツールの価値を毀損しうる</w:t>
            </w:r>
          </w:p>
        </w:tc>
        <w:tc>
          <w:tcPr>
            <w:tcW w:w="816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"/>
              <w:keepNext/>
              <w:jc w:val="right"/>
            </w:pPr>
            <w:r>
              <w:t xml:space="preserve">高</w:t>
            </w:r>
          </w:p>
        </w:tc>
        <w:tc>
          <w:tcPr>
            <w:tcW w:w="645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"/>
              <w:keepNext/>
              <w:jc w:val="left"/>
            </w:pPr>
            <w:r>
              <w:t xml:space="preserve">中期</w:t>
            </w:r>
          </w:p>
        </w:tc>
        <w:tc>
          <w:tcPr>
            <w:tcW w:w="2271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"/>
              <w:keepNext/>
              <w:jc w:val="left"/>
            </w:pPr>
            <w:r>
              <w:t xml:space="preserve">研究開発費を売上の20%以上に維持し、買収で補完する</w:t>
            </w:r>
          </w:p>
        </w:tc>
      </w:tr>
      <w:tr>
        <w:trPr>
          <w:cantSplit/>
        </w:trPr>
        <w:tc>
          <w:tcPr>
            <w:tcW w:w="844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"/>
              <w:keepNext/>
              <w:jc w:val="left"/>
            </w:pPr>
            <w:r>
              <w:t xml:space="preserve">競争激化</w:t>
            </w:r>
          </w:p>
        </w:tc>
        <w:tc>
          <w:tcPr>
            <w:tcW w:w="5062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"/>
              <w:keepNext/>
              <w:jc w:val="left"/>
            </w:pPr>
            <w:r>
              <w:t xml:space="preserve">大手プラットフォーマーによる無償バンドルが価格決定力を弱める。10-K に記載の主要競合は6社</w:t>
            </w:r>
          </w:p>
        </w:tc>
        <w:tc>
          <w:tcPr>
            <w:tcW w:w="816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"/>
              <w:keepNext/>
              <w:jc w:val="right"/>
            </w:pPr>
            <w:r>
              <w:t xml:space="preserve">中</w:t>
            </w:r>
          </w:p>
        </w:tc>
        <w:tc>
          <w:tcPr>
            <w:tcW w:w="645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"/>
              <w:keepNext/>
              <w:jc w:val="left"/>
            </w:pPr>
            <w:r>
              <w:t xml:space="preserve">短期</w:t>
            </w:r>
          </w:p>
        </w:tc>
        <w:tc>
          <w:tcPr>
            <w:tcW w:w="2271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"/>
              <w:keepNext/>
              <w:jc w:val="left"/>
            </w:pPr>
            <w:r>
              <w:t xml:space="preserve">統合製品の優位性を訴求し、契約更新時の値引きを抑制する</w:t>
            </w:r>
          </w:p>
        </w:tc>
      </w:tr>
      <w:tr>
        <w:trPr>
          <w:cantSplit/>
        </w:trPr>
        <w:tc>
          <w:tcPr>
            <w:tcW w:w="844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"/>
              <w:keepNext/>
              <w:jc w:val="left"/>
            </w:pPr>
            <w:r>
              <w:t xml:space="preserve">為替</w:t>
            </w:r>
          </w:p>
        </w:tc>
        <w:tc>
          <w:tcPr>
            <w:tcW w:w="5062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"/>
              <w:keepNext/>
              <w:jc w:val="left"/>
            </w:pPr>
            <w:r>
              <w:t xml:space="preserve">売上の約4割が海外であり、ドル高局面では円換算の売上が目減りする。$1=¥150 を前提とした感応度を別表に示す</w:t>
            </w:r>
          </w:p>
        </w:tc>
        <w:tc>
          <w:tcPr>
            <w:tcW w:w="816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"/>
              <w:keepNext/>
              <w:jc w:val="right"/>
            </w:pPr>
            <w:r>
              <w:t xml:space="preserve">中</w:t>
            </w:r>
          </w:p>
        </w:tc>
        <w:tc>
          <w:tcPr>
            <w:tcW w:w="645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"/>
              <w:keepNext/>
              <w:jc w:val="left"/>
            </w:pPr>
            <w:r>
              <w:t xml:space="preserve">短期</w:t>
            </w:r>
          </w:p>
        </w:tc>
        <w:tc>
          <w:tcPr>
            <w:tcW w:w="2271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"/>
              <w:keepNext/>
              <w:jc w:val="left"/>
            </w:pPr>
            <w:r>
              <w:t xml:space="preserve">ヘッジ比率の引き上げ</w:t>
            </w:r>
          </w:p>
        </w:tc>
      </w:tr>
      <w:tr>
        <w:trPr>
          <w:cantSplit/>
        </w:trPr>
        <w:tc>
          <w:tcPr>
            <w:tcW w:w="844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"/>
              <w:jc w:val="left"/>
            </w:pPr>
            <w:r>
              <w:t xml:space="preserve">規制・訴訟</w:t>
            </w:r>
          </w:p>
        </w:tc>
        <w:tc>
          <w:tcPr>
            <w:tcW w:w="5062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"/>
              <w:jc w:val="left"/>
            </w:pPr>
            <w:r>
              <w:t xml:space="preserve">データ保護規制の強化と、セキュリティ事故発生時の損害賠償請求のリスク</w:t>
            </w:r>
          </w:p>
        </w:tc>
        <w:tc>
          <w:tcPr>
            <w:tcW w:w="816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"/>
              <w:jc w:val="right"/>
            </w:pPr>
            <w:r>
              <w:t xml:space="preserve">低</w:t>
            </w:r>
          </w:p>
        </w:tc>
        <w:tc>
          <w:tcPr>
            <w:tcW w:w="645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"/>
              <w:jc w:val="left"/>
            </w:pPr>
            <w:r>
              <w:t xml:space="preserve">長期</w:t>
            </w:r>
          </w:p>
        </w:tc>
        <w:tc>
          <w:tcPr>
            <w:tcW w:w="2271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"/>
              <w:jc w:val="left"/>
            </w:pPr>
            <w:r>
              <w:t xml:space="preserve">保険・内部統制の強化</w:t>
            </w:r>
          </w:p>
        </w:tc>
      </w:tr>
    </w:tbl>
    <w:p>
      <w:pPr>
        <w:pStyle w:val="TableSpacer"/>
      </w:pPr>
    </w:p>
    <w:p>
      <w:pPr>
        <w:pStyle w:val="BodyText"/>
      </w:pPr>
      <w:r>
        <w:t xml:space="preserve">上の表は、セル内の日本語が長い場合に列幅が自動配分され、行がページをまたいで分断されないことを確認するためのものである。</w:t>
      </w:r>
    </w:p>
    <w:p>
      <w:pPr>
        <w:pStyle w:val="Heading3"/>
      </w:pPr>
      <w:bookmarkStart w:id="9015" w:name="_Toc90000014"/>
      <w:r>
        <w:t xml:space="preserve">3. 業績予想(9列・7pt)</w:t>
      </w:r>
      <w:bookmarkEnd w:id="9015"/>
    </w:p>
    <w:p>
      <w:pPr>
        <w:pStyle w:val="TableCaption"/>
      </w:pPr>
      <w:r>
        <w:t xml:space="preserve">表: 業績予想の推移(架空データ。会社ガイダンスとコンセンサスの混在)</w:t>
      </w:r>
    </w:p>
    <w:tbl>
      <w:tblPr>
        <w:tblStyle w:val="Table"/>
        <w:tblW w:w="9638" w:type="dxa"/>
        <w:jc w:val="left"/>
        <w:tblInd w:w="0" w:type="dxa"/>
        <w:tblBorders>
          <w:top w:val="single" w:sz="4" w:space="0" w:color="8496B0"/>
          <w:left w:val="single" w:sz="4" w:space="0" w:color="8496B0"/>
          <w:bottom w:val="single" w:sz="4" w:space="0" w:color="8496B0"/>
          <w:right w:val="single" w:sz="4" w:space="0" w:color="8496B0"/>
          <w:insideH w:val="single" w:sz="4" w:space="0" w:color="8496B0"/>
          <w:insideV w:val="single" w:sz="4" w:space="0" w:color="8496B0"/>
        </w:tblBorders>
        <w:tblLayout w:type="fixed"/>
        <w:tblCellMar>
          <w:top w:w="30" w:type="dxa"/>
          <w:left w:w="60" w:type="dxa"/>
          <w:bottom w:w="30" w:type="dxa"/>
          <w:right w:w="60" w:type="dxa"/>
        </w:tblCellMar>
        <w:tblLook w:val="04A0" w:firstRow="1" w:lastRow="0" w:firstColumn="0" w:lastColumn="0" w:noHBand="0" w:noVBand="1"/>
        <w:tblCaption w:val="業績予想の推移(架空データ。会社ガイダンスとコンセンサスの混在)"/>
      </w:tblPr>
      <w:tblGrid>
        <w:gridCol w:w="1336"/>
        <w:gridCol w:w="914"/>
        <w:gridCol w:w="914"/>
        <w:gridCol w:w="914"/>
        <w:gridCol w:w="1053"/>
        <w:gridCol w:w="1053"/>
        <w:gridCol w:w="1053"/>
        <w:gridCol w:w="863"/>
        <w:gridCol w:w="1538"/>
      </w:tblGrid>
      <w:tr>
        <w:trPr>
          <w:cantSplit/>
          <w:tblHeader/>
        </w:trPr>
        <w:tc>
          <w:tcPr>
            <w:tcW w:w="1336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1F3864"/>
            <w:vAlign w:val="center"/>
          </w:tcPr>
          <w:p>
            <w:pPr>
              <w:pStyle w:val="TableTextSmall"/>
              <w:keepNext/>
              <w:jc w:val="left"/>
            </w:pPr>
            <w:r>
              <w:rPr>
                <w:b/>
                <w:bCs/>
                <w:color w:val="FFFFFF"/>
              </w:rPr>
              <w:t xml:space="preserve">指標</w:t>
            </w:r>
          </w:p>
        </w:tc>
        <w:tc>
          <w:tcPr>
            <w:tcW w:w="914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1F3864"/>
            <w:vAlign w:val="center"/>
          </w:tcPr>
          <w:p>
            <w:pPr>
              <w:pStyle w:val="TableTextSmall"/>
              <w:keepNext/>
              <w:jc w:val="right"/>
            </w:pPr>
            <w:r>
              <w:rPr>
                <w:b/>
                <w:bCs/>
                <w:color w:val="FFFFFF"/>
              </w:rPr>
              <w:t xml:space="preserve">FY2023</w:t>
            </w:r>
          </w:p>
        </w:tc>
        <w:tc>
          <w:tcPr>
            <w:tcW w:w="914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1F3864"/>
            <w:vAlign w:val="center"/>
          </w:tcPr>
          <w:p>
            <w:pPr>
              <w:pStyle w:val="TableTextSmall"/>
              <w:keepNext/>
              <w:jc w:val="right"/>
            </w:pPr>
            <w:r>
              <w:rPr>
                <w:b/>
                <w:bCs/>
                <w:color w:val="FFFFFF"/>
              </w:rPr>
              <w:t xml:space="preserve">FY2024</w:t>
            </w:r>
          </w:p>
        </w:tc>
        <w:tc>
          <w:tcPr>
            <w:tcW w:w="914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1F3864"/>
            <w:vAlign w:val="center"/>
          </w:tcPr>
          <w:p>
            <w:pPr>
              <w:pStyle w:val="TableTextSmall"/>
              <w:keepNext/>
              <w:jc w:val="right"/>
            </w:pPr>
            <w:r>
              <w:rPr>
                <w:b/>
                <w:bCs/>
                <w:color w:val="FFFFFF"/>
              </w:rPr>
              <w:t xml:space="preserve">FY2025</w:t>
            </w:r>
          </w:p>
        </w:tc>
        <w:tc>
          <w:tcPr>
            <w:tcW w:w="1053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1F3864"/>
            <w:vAlign w:val="center"/>
          </w:tcPr>
          <w:p>
            <w:pPr>
              <w:pStyle w:val="TableTextSmall"/>
              <w:keepNext/>
              <w:jc w:val="right"/>
            </w:pPr>
            <w:r>
              <w:rPr>
                <w:b/>
                <w:bCs/>
                <w:color w:val="FFFFFF"/>
              </w:rPr>
              <w:t xml:space="preserve">FY2026E</w:t>
            </w:r>
          </w:p>
        </w:tc>
        <w:tc>
          <w:tcPr>
            <w:tcW w:w="1053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1F3864"/>
            <w:vAlign w:val="center"/>
          </w:tcPr>
          <w:p>
            <w:pPr>
              <w:pStyle w:val="TableTextSmall"/>
              <w:keepNext/>
              <w:jc w:val="right"/>
            </w:pPr>
            <w:r>
              <w:rPr>
                <w:b/>
                <w:bCs/>
                <w:color w:val="FFFFFF"/>
              </w:rPr>
              <w:t xml:space="preserve">FY2027E</w:t>
            </w:r>
          </w:p>
        </w:tc>
        <w:tc>
          <w:tcPr>
            <w:tcW w:w="1053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1F3864"/>
            <w:vAlign w:val="center"/>
          </w:tcPr>
          <w:p>
            <w:pPr>
              <w:pStyle w:val="TableTextSmall"/>
              <w:keepNext/>
              <w:jc w:val="right"/>
            </w:pPr>
            <w:r>
              <w:rPr>
                <w:b/>
                <w:bCs/>
                <w:color w:val="FFFFFF"/>
              </w:rPr>
              <w:t xml:space="preserve">FY2028E</w:t>
            </w:r>
          </w:p>
        </w:tc>
        <w:tc>
          <w:tcPr>
            <w:tcW w:w="863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1F3864"/>
            <w:vAlign w:val="center"/>
          </w:tcPr>
          <w:p>
            <w:pPr>
              <w:pStyle w:val="TableTextSmall"/>
              <w:keepNext/>
              <w:jc w:val="right"/>
            </w:pPr>
            <w:r>
              <w:rPr>
                <w:b/>
                <w:bCs/>
                <w:color w:val="FFFFFF"/>
              </w:rPr>
              <w:t xml:space="preserve">CAGR</w:t>
            </w:r>
          </w:p>
        </w:tc>
        <w:tc>
          <w:tcPr>
            <w:tcW w:w="1538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1F3864"/>
            <w:vAlign w:val="center"/>
          </w:tcPr>
          <w:p>
            <w:pPr>
              <w:pStyle w:val="TableTextSmall"/>
              <w:keepNext/>
              <w:jc w:val="left"/>
            </w:pPr>
            <w:r>
              <w:rPr>
                <w:b/>
                <w:bCs/>
                <w:color w:val="FFFFFF"/>
              </w:rPr>
              <w:t xml:space="preserve">備考</w:t>
            </w:r>
          </w:p>
        </w:tc>
      </w:tr>
      <w:tr>
        <w:trPr>
          <w:cantSplit/>
        </w:trPr>
        <w:tc>
          <w:tcPr>
            <w:tcW w:w="1336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Small"/>
              <w:keepNext/>
              <w:jc w:val="left"/>
            </w:pPr>
            <w:r>
              <w:t xml:space="preserve">売上高($B)</w:t>
            </w:r>
          </w:p>
        </w:tc>
        <w:tc>
          <w:tcPr>
            <w:tcW w:w="914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Small"/>
              <w:keepNext/>
              <w:jc w:val="right"/>
            </w:pPr>
            <w:r>
              <w:t xml:space="preserve">2.15</w:t>
            </w:r>
          </w:p>
        </w:tc>
        <w:tc>
          <w:tcPr>
            <w:tcW w:w="914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Small"/>
              <w:keepNext/>
              <w:jc w:val="right"/>
            </w:pPr>
            <w:r>
              <w:t xml:space="preserve">2.58</w:t>
            </w:r>
          </w:p>
        </w:tc>
        <w:tc>
          <w:tcPr>
            <w:tcW w:w="914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Small"/>
              <w:keepNext/>
              <w:jc w:val="right"/>
            </w:pPr>
            <w:r>
              <w:t xml:space="preserve">3.12</w:t>
            </w:r>
          </w:p>
        </w:tc>
        <w:tc>
          <w:tcPr>
            <w:tcW w:w="1053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Small"/>
              <w:keepNext/>
              <w:jc w:val="right"/>
            </w:pPr>
            <w:r>
              <w:t xml:space="preserve">3.74</w:t>
            </w:r>
          </w:p>
        </w:tc>
        <w:tc>
          <w:tcPr>
            <w:tcW w:w="1053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Small"/>
              <w:keepNext/>
              <w:jc w:val="right"/>
            </w:pPr>
            <w:r>
              <w:t xml:space="preserve">4.40</w:t>
            </w:r>
          </w:p>
        </w:tc>
        <w:tc>
          <w:tcPr>
            <w:tcW w:w="1053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Small"/>
              <w:keepNext/>
              <w:jc w:val="right"/>
            </w:pPr>
            <w:r>
              <w:t xml:space="preserve">5.10</w:t>
            </w:r>
          </w:p>
        </w:tc>
        <w:tc>
          <w:tcPr>
            <w:tcW w:w="863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Small"/>
              <w:keepNext/>
              <w:jc w:val="right"/>
            </w:pPr>
            <w:r>
              <w:t xml:space="preserve">+18.9%</w:t>
            </w:r>
          </w:p>
        </w:tc>
        <w:tc>
          <w:tcPr>
            <w:tcW w:w="1538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Small"/>
              <w:keepNext/>
              <w:jc w:val="left"/>
            </w:pPr>
            <w:r>
              <w:t xml:space="preserve">会社ガイダンス</w:t>
            </w:r>
          </w:p>
        </w:tc>
      </w:tr>
      <w:tr>
        <w:trPr>
          <w:cantSplit/>
        </w:trPr>
        <w:tc>
          <w:tcPr>
            <w:tcW w:w="1336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Small"/>
              <w:keepNext/>
              <w:jc w:val="left"/>
            </w:pPr>
            <w:r>
              <w:t xml:space="preserve">営業利益($B)</w:t>
            </w:r>
          </w:p>
        </w:tc>
        <w:tc>
          <w:tcPr>
            <w:tcW w:w="914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Small"/>
              <w:keepNext/>
              <w:jc w:val="right"/>
            </w:pPr>
            <w:r>
              <w:t xml:space="preserve">0.31</w:t>
            </w:r>
          </w:p>
        </w:tc>
        <w:tc>
          <w:tcPr>
            <w:tcW w:w="914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Small"/>
              <w:keepNext/>
              <w:jc w:val="right"/>
            </w:pPr>
            <w:r>
              <w:t xml:space="preserve">0.44</w:t>
            </w:r>
          </w:p>
        </w:tc>
        <w:tc>
          <w:tcPr>
            <w:tcW w:w="914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Small"/>
              <w:keepNext/>
              <w:jc w:val="right"/>
            </w:pPr>
            <w:r>
              <w:t xml:space="preserve">0.61</w:t>
            </w:r>
          </w:p>
        </w:tc>
        <w:tc>
          <w:tcPr>
            <w:tcW w:w="1053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Small"/>
              <w:keepNext/>
              <w:jc w:val="right"/>
            </w:pPr>
            <w:r>
              <w:t xml:space="preserve">0.80</w:t>
            </w:r>
          </w:p>
        </w:tc>
        <w:tc>
          <w:tcPr>
            <w:tcW w:w="1053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Small"/>
              <w:keepNext/>
              <w:jc w:val="right"/>
            </w:pPr>
            <w:r>
              <w:t xml:space="preserve">1.02</w:t>
            </w:r>
          </w:p>
        </w:tc>
        <w:tc>
          <w:tcPr>
            <w:tcW w:w="1053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Small"/>
              <w:keepNext/>
              <w:jc w:val="right"/>
            </w:pPr>
            <w:r>
              <w:t xml:space="preserve">1.28</w:t>
            </w:r>
          </w:p>
        </w:tc>
        <w:tc>
          <w:tcPr>
            <w:tcW w:w="863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Small"/>
              <w:keepNext/>
              <w:jc w:val="right"/>
            </w:pPr>
            <w:r>
              <w:t xml:space="preserve">+32.8%</w:t>
            </w:r>
          </w:p>
        </w:tc>
        <w:tc>
          <w:tcPr>
            <w:tcW w:w="1538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Small"/>
              <w:keepNext/>
              <w:jc w:val="left"/>
            </w:pPr>
            <w:r>
              <w:t xml:space="preserve">—</w:t>
            </w:r>
          </w:p>
        </w:tc>
      </w:tr>
      <w:tr>
        <w:trPr>
          <w:cantSplit/>
        </w:trPr>
        <w:tc>
          <w:tcPr>
            <w:tcW w:w="1336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Small"/>
              <w:keepNext/>
              <w:jc w:val="left"/>
            </w:pPr>
            <w:r>
              <w:t xml:space="preserve">営業利益率</w:t>
            </w:r>
          </w:p>
        </w:tc>
        <w:tc>
          <w:tcPr>
            <w:tcW w:w="914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Small"/>
              <w:keepNext/>
              <w:jc w:val="right"/>
            </w:pPr>
            <w:r>
              <w:t xml:space="preserve">14.4%</w:t>
            </w:r>
          </w:p>
        </w:tc>
        <w:tc>
          <w:tcPr>
            <w:tcW w:w="914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Small"/>
              <w:keepNext/>
              <w:jc w:val="right"/>
            </w:pPr>
            <w:r>
              <w:t xml:space="preserve">17.1%</w:t>
            </w:r>
          </w:p>
        </w:tc>
        <w:tc>
          <w:tcPr>
            <w:tcW w:w="914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Small"/>
              <w:keepNext/>
              <w:jc w:val="right"/>
            </w:pPr>
            <w:r>
              <w:t xml:space="preserve">19.6%</w:t>
            </w:r>
          </w:p>
        </w:tc>
        <w:tc>
          <w:tcPr>
            <w:tcW w:w="1053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Small"/>
              <w:keepNext/>
              <w:jc w:val="right"/>
            </w:pPr>
            <w:r>
              <w:t xml:space="preserve">21.4%</w:t>
            </w:r>
          </w:p>
        </w:tc>
        <w:tc>
          <w:tcPr>
            <w:tcW w:w="1053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Small"/>
              <w:keepNext/>
              <w:jc w:val="right"/>
            </w:pPr>
            <w:r>
              <w:t xml:space="preserve">23.2%</w:t>
            </w:r>
          </w:p>
        </w:tc>
        <w:tc>
          <w:tcPr>
            <w:tcW w:w="1053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Small"/>
              <w:keepNext/>
              <w:jc w:val="right"/>
            </w:pPr>
            <w:r>
              <w:t xml:space="preserve">25.1%</w:t>
            </w:r>
          </w:p>
        </w:tc>
        <w:tc>
          <w:tcPr>
            <w:tcW w:w="863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Small"/>
              <w:keepNext/>
              <w:jc w:val="right"/>
            </w:pPr>
            <w:r>
              <w:t xml:space="preserve">+10.7pt</w:t>
            </w:r>
          </w:p>
        </w:tc>
        <w:tc>
          <w:tcPr>
            <w:tcW w:w="1538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Small"/>
              <w:keepNext/>
              <w:jc w:val="left"/>
            </w:pPr>
            <w:r>
              <w:t xml:space="preserve">(実績+予想)</w:t>
            </w:r>
          </w:p>
        </w:tc>
      </w:tr>
      <w:tr>
        <w:trPr>
          <w:cantSplit/>
        </w:trPr>
        <w:tc>
          <w:tcPr>
            <w:tcW w:w="1336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Small"/>
              <w:keepNext/>
              <w:jc w:val="left"/>
            </w:pPr>
            <w:r>
              <w:t xml:space="preserve">EPS($)</w:t>
            </w:r>
          </w:p>
        </w:tc>
        <w:tc>
          <w:tcPr>
            <w:tcW w:w="914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Small"/>
              <w:keepNext/>
              <w:jc w:val="right"/>
            </w:pPr>
            <w:r>
              <w:t xml:space="preserve">2.10</w:t>
            </w:r>
          </w:p>
        </w:tc>
        <w:tc>
          <w:tcPr>
            <w:tcW w:w="914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Small"/>
              <w:keepNext/>
              <w:jc w:val="right"/>
            </w:pPr>
            <w:r>
              <w:t xml:space="preserve">2.95</w:t>
            </w:r>
          </w:p>
        </w:tc>
        <w:tc>
          <w:tcPr>
            <w:tcW w:w="914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Small"/>
              <w:keepNext/>
              <w:jc w:val="right"/>
            </w:pPr>
            <w:r>
              <w:t xml:space="preserve">3.80</w:t>
            </w:r>
          </w:p>
        </w:tc>
        <w:tc>
          <w:tcPr>
            <w:tcW w:w="1053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Small"/>
              <w:keepNext/>
              <w:jc w:val="right"/>
            </w:pPr>
            <w:r>
              <w:t xml:space="preserve">4.62</w:t>
            </w:r>
          </w:p>
        </w:tc>
        <w:tc>
          <w:tcPr>
            <w:tcW w:w="1053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Small"/>
              <w:keepNext/>
              <w:jc w:val="right"/>
            </w:pPr>
            <w:r>
              <w:t xml:space="preserve">5.55</w:t>
            </w:r>
          </w:p>
        </w:tc>
        <w:tc>
          <w:tcPr>
            <w:tcW w:w="1053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Small"/>
              <w:keepNext/>
              <w:jc w:val="right"/>
            </w:pPr>
            <w:r>
              <w:t xml:space="preserve">6.60</w:t>
            </w:r>
          </w:p>
        </w:tc>
        <w:tc>
          <w:tcPr>
            <w:tcW w:w="863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Small"/>
              <w:keepNext/>
              <w:jc w:val="right"/>
            </w:pPr>
            <w:r>
              <w:t xml:space="preserve">+25.7%</w:t>
            </w:r>
          </w:p>
        </w:tc>
        <w:tc>
          <w:tcPr>
            <w:tcW w:w="1538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Small"/>
              <w:keepNext/>
              <w:jc w:val="left"/>
            </w:pPr>
            <w:r>
              <w:t xml:space="preserve">コンセンサス</w:t>
            </w:r>
          </w:p>
        </w:tc>
      </w:tr>
      <w:tr>
        <w:trPr>
          <w:cantSplit/>
        </w:trPr>
        <w:tc>
          <w:tcPr>
            <w:tcW w:w="1336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Small"/>
              <w:keepNext/>
              <w:jc w:val="left"/>
            </w:pPr>
            <w:r>
              <w:t xml:space="preserve">FCFマージン</w:t>
            </w:r>
          </w:p>
        </w:tc>
        <w:tc>
          <w:tcPr>
            <w:tcW w:w="914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Small"/>
              <w:keepNext/>
              <w:jc w:val="right"/>
            </w:pPr>
            <w:r>
              <w:t xml:space="preserve">22.0%</w:t>
            </w:r>
          </w:p>
        </w:tc>
        <w:tc>
          <w:tcPr>
            <w:tcW w:w="914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Small"/>
              <w:keepNext/>
              <w:jc w:val="right"/>
            </w:pPr>
            <w:r>
              <w:t xml:space="preserve">24.5%</w:t>
            </w:r>
          </w:p>
        </w:tc>
        <w:tc>
          <w:tcPr>
            <w:tcW w:w="914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Small"/>
              <w:keepNext/>
              <w:jc w:val="right"/>
            </w:pPr>
            <w:r>
              <w:t xml:space="preserve">26.1%</w:t>
            </w:r>
          </w:p>
        </w:tc>
        <w:tc>
          <w:tcPr>
            <w:tcW w:w="1053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Small"/>
              <w:keepNext/>
              <w:jc w:val="right"/>
            </w:pPr>
            <w:r>
              <w:t xml:space="preserve">27.0%</w:t>
            </w:r>
          </w:p>
        </w:tc>
        <w:tc>
          <w:tcPr>
            <w:tcW w:w="1053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Small"/>
              <w:keepNext/>
              <w:jc w:val="right"/>
            </w:pPr>
            <w:r>
              <w:t xml:space="preserve">27.5%</w:t>
            </w:r>
          </w:p>
        </w:tc>
        <w:tc>
          <w:tcPr>
            <w:tcW w:w="1053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Small"/>
              <w:keepNext/>
              <w:jc w:val="right"/>
            </w:pPr>
            <w:r>
              <w:t xml:space="preserve">28.0%</w:t>
            </w:r>
          </w:p>
        </w:tc>
        <w:tc>
          <w:tcPr>
            <w:tcW w:w="863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Small"/>
              <w:keepNext/>
              <w:jc w:val="right"/>
            </w:pPr>
            <w:r>
              <w:t xml:space="preserve">n/a</w:t>
            </w:r>
          </w:p>
        </w:tc>
        <w:tc>
          <w:tcPr>
            <w:tcW w:w="1538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Small"/>
              <w:keepNext/>
              <w:jc w:val="left"/>
            </w:pPr>
            <w:r>
              <w:t xml:space="preserve">単独出典</w:t>
            </w:r>
          </w:p>
        </w:tc>
      </w:tr>
      <w:tr>
        <w:trPr>
          <w:cantSplit/>
        </w:trPr>
        <w:tc>
          <w:tcPr>
            <w:tcW w:w="1336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Small"/>
              <w:jc w:val="left"/>
            </w:pPr>
            <w:r>
              <w:t xml:space="preserve">PER(倍)</w:t>
            </w:r>
          </w:p>
        </w:tc>
        <w:tc>
          <w:tcPr>
            <w:tcW w:w="914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Small"/>
              <w:jc w:val="right"/>
            </w:pPr>
            <w:r>
              <w:t xml:space="preserve">46.0</w:t>
            </w:r>
          </w:p>
        </w:tc>
        <w:tc>
          <w:tcPr>
            <w:tcW w:w="914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Small"/>
              <w:jc w:val="right"/>
            </w:pPr>
            <w:r>
              <w:t xml:space="preserve">38.5</w:t>
            </w:r>
          </w:p>
        </w:tc>
        <w:tc>
          <w:tcPr>
            <w:tcW w:w="914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Small"/>
              <w:jc w:val="right"/>
            </w:pPr>
            <w:r>
              <w:t xml:space="preserve">31.2</w:t>
            </w:r>
          </w:p>
        </w:tc>
        <w:tc>
          <w:tcPr>
            <w:tcW w:w="1053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Small"/>
              <w:jc w:val="right"/>
            </w:pPr>
            <w:r>
              <w:t xml:space="preserve">25.4</w:t>
            </w:r>
          </w:p>
        </w:tc>
        <w:tc>
          <w:tcPr>
            <w:tcW w:w="1053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Small"/>
              <w:jc w:val="right"/>
            </w:pPr>
            <w:r>
              <w:t xml:space="preserve">21.1</w:t>
            </w:r>
          </w:p>
        </w:tc>
        <w:tc>
          <w:tcPr>
            <w:tcW w:w="1053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Small"/>
              <w:jc w:val="right"/>
            </w:pPr>
            <w:r>
              <w:t xml:space="preserve">17.8</w:t>
            </w:r>
          </w:p>
        </w:tc>
        <w:tc>
          <w:tcPr>
            <w:tcW w:w="863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Small"/>
              <w:jc w:val="right"/>
            </w:pPr>
            <w:r>
              <w:t xml:space="preserve">-17.2%</w:t>
            </w:r>
          </w:p>
        </w:tc>
        <w:tc>
          <w:tcPr>
            <w:tcW w:w="1538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Small"/>
              <w:jc w:val="left"/>
            </w:pPr>
            <w:r>
              <w:t xml:space="preserve">株価$118.5固定</w:t>
            </w:r>
          </w:p>
        </w:tc>
      </w:tr>
    </w:tbl>
    <w:p>
      <w:pPr>
        <w:pStyle w:val="TableSpacer"/>
      </w:pPr>
    </w:p>
    <w:p>
      <w:pPr>
        <w:pStyle w:val="BodyText"/>
      </w:pPr>
      <w:r>
        <w:t xml:space="preserve">下の表は</w:t>
      </w:r>
      <w:r>
        <w:t xml:space="preserve"> </w:t>
      </w:r>
      <w:r>
        <w:rPr>
          <w:bCs/>
          <w:b/>
        </w:rPr>
        <w:t xml:space="preserve">セル内改行</w:t>
      </w:r>
      <w:r>
        <w:t xml:space="preserve"> </w:t>
      </w:r>
      <w:r>
        <w:t xml:space="preserve">を含む:</w:t>
      </w:r>
    </w:p>
    <w:tbl>
      <w:tblPr>
        <w:tblStyle w:val="Table"/>
        <w:tblW w:w="9638" w:type="dxa"/>
        <w:jc w:val="left"/>
        <w:tblInd w:w="0" w:type="dxa"/>
        <w:tblBorders>
          <w:top w:val="single" w:sz="4" w:space="0" w:color="8496B0"/>
          <w:left w:val="single" w:sz="4" w:space="0" w:color="8496B0"/>
          <w:bottom w:val="single" w:sz="4" w:space="0" w:color="8496B0"/>
          <w:right w:val="single" w:sz="4" w:space="0" w:color="8496B0"/>
          <w:insideH w:val="single" w:sz="4" w:space="0" w:color="8496B0"/>
          <w:insideV w:val="single" w:sz="4" w:space="0" w:color="8496B0"/>
        </w:tblBorders>
        <w:tblLayout w:type="fixed"/>
        <w:tblCellMar>
          <w:top w:w="30" w:type="dxa"/>
          <w:left w:w="60" w:type="dxa"/>
          <w:bottom w:w="30" w:type="dxa"/>
          <w:right w:w="60" w:type="dxa"/>
        </w:tblCellMar>
        <w:tblLook w:val="04A0" w:firstRow="1" w:lastRow="0" w:firstColumn="0" w:lastColumn="0" w:noHBand="0" w:noVBand="1"/>
      </w:tblPr>
      <w:tblGrid>
        <w:gridCol w:w="3089"/>
        <w:gridCol w:w="6549"/>
      </w:tblGrid>
      <w:tr>
        <w:trPr>
          <w:cantSplit/>
          <w:tblHeader/>
        </w:trPr>
        <w:tc>
          <w:tcPr>
            <w:tcW w:w="3089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1F386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b/>
                <w:bCs/>
                <w:color w:val="FFFFFF"/>
              </w:rPr>
              <w:t xml:space="preserve">項目</w:t>
            </w:r>
          </w:p>
        </w:tc>
        <w:tc>
          <w:tcPr>
            <w:tcW w:w="6549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1F386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b/>
                <w:bCs/>
                <w:color w:val="FFFFFF"/>
              </w:rPr>
              <w:t xml:space="preserve">内容</w:t>
            </w:r>
          </w:p>
        </w:tc>
      </w:tr>
      <w:tr>
        <w:trPr>
          <w:cantSplit/>
        </w:trPr>
        <w:tc>
          <w:tcPr>
            <w:tcW w:w="3089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"/>
              <w:keepNext/>
              <w:jc w:val="left"/>
            </w:pPr>
            <w:r>
              <w:t xml:space="preserve">前提</w:t>
            </w:r>
            <w:r>
              <w:br/>
            </w:r>
            <w:r>
              <w:t xml:space="preserve">(会社)</w:t>
            </w:r>
          </w:p>
        </w:tc>
        <w:tc>
          <w:tcPr>
            <w:tcW w:w="6549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"/>
              <w:keepNext/>
              <w:jc w:val="left"/>
            </w:pPr>
            <w:r>
              <w:t xml:space="preserve">売上成長率 18%</w:t>
            </w:r>
            <w:r>
              <w:br/>
            </w:r>
            <w:r>
              <w:t xml:space="preserve">営業利益率 21%</w:t>
            </w:r>
          </w:p>
        </w:tc>
      </w:tr>
      <w:tr>
        <w:trPr>
          <w:cantSplit/>
        </w:trPr>
        <w:tc>
          <w:tcPr>
            <w:tcW w:w="3089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"/>
              <w:jc w:val="left"/>
            </w:pPr>
            <w:r>
              <w:t xml:space="preserve">前提</w:t>
            </w:r>
            <w:r>
              <w:br/>
            </w:r>
            <w:r>
              <w:t xml:space="preserve">(当社)</w:t>
            </w:r>
          </w:p>
        </w:tc>
        <w:tc>
          <w:tcPr>
            <w:tcW w:w="6549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"/>
              <w:jc w:val="left"/>
            </w:pPr>
            <w:r>
              <w:t xml:space="preserve">売上成長率 15%</w:t>
            </w:r>
            <w:r>
              <w:br/>
            </w:r>
            <w:r>
              <w:t xml:space="preserve">営業利益率 19%</w:t>
            </w:r>
          </w:p>
        </w:tc>
      </w:tr>
    </w:tbl>
    <w:p>
      <w:pPr>
        <w:pStyle w:val="TableSpacer"/>
      </w:pPr>
    </w:p>
    <w:p>
      <w:pPr>
        <w:pStyle w:val="Heading3"/>
      </w:pPr>
      <w:bookmarkStart w:id="9016" w:name="_Toc90000015"/>
      <w:r>
        <w:t xml:space="preserve">4. 長い表(ヘッダー行の繰り返しの確認)</w:t>
      </w:r>
      <w:bookmarkEnd w:id="9016"/>
    </w:p>
    <w:p>
      <w:pPr>
        <w:pStyle w:val="FirstParagraph"/>
      </w:pPr>
      <w:r>
        <w:t xml:space="preserve">四半期ごとの指標(架空データ)を48行並べる。表は複数ページにわたり、各ページの先頭にヘッダー行が繰り返し表示される。また、行の途中でページが分断されないことを確認する。</w:t>
      </w:r>
    </w:p>
    <w:tbl>
      <w:tblPr>
        <w:tblStyle w:val="Table"/>
        <w:tblW w:w="9638" w:type="dxa"/>
        <w:jc w:val="left"/>
        <w:tblInd w:w="0" w:type="dxa"/>
        <w:tblBorders>
          <w:top w:val="single" w:sz="4" w:space="0" w:color="8496B0"/>
          <w:left w:val="single" w:sz="4" w:space="0" w:color="8496B0"/>
          <w:bottom w:val="single" w:sz="4" w:space="0" w:color="8496B0"/>
          <w:right w:val="single" w:sz="4" w:space="0" w:color="8496B0"/>
          <w:insideH w:val="single" w:sz="4" w:space="0" w:color="8496B0"/>
          <w:insideV w:val="single" w:sz="4" w:space="0" w:color="8496B0"/>
        </w:tblBorders>
        <w:tblLayout w:type="fixed"/>
        <w:tblCellMar>
          <w:top w:w="30" w:type="dxa"/>
          <w:left w:w="60" w:type="dxa"/>
          <w:bottom w:w="30" w:type="dxa"/>
          <w:right w:w="60" w:type="dxa"/>
        </w:tblCellMar>
        <w:tblLook w:val="04A0" w:firstRow="1" w:lastRow="0" w:firstColumn="0" w:lastColumn="0" w:noHBand="0" w:noVBand="1"/>
      </w:tblPr>
      <w:tblGrid>
        <w:gridCol w:w="1452"/>
        <w:gridCol w:w="1367"/>
        <w:gridCol w:w="2094"/>
        <w:gridCol w:w="1367"/>
        <w:gridCol w:w="1367"/>
        <w:gridCol w:w="1991"/>
      </w:tblGrid>
      <w:tr>
        <w:trPr>
          <w:cantSplit/>
          <w:tblHeader/>
        </w:trPr>
        <w:tc>
          <w:tcPr>
            <w:tcW w:w="1452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1F3864"/>
            <w:vAlign w:val="center"/>
          </w:tcPr>
          <w:p>
            <w:pPr>
              <w:pStyle w:val="TableText"/>
              <w:keepNext/>
              <w:jc w:val="right"/>
            </w:pPr>
            <w:r>
              <w:rPr>
                <w:b/>
                <w:bCs/>
                <w:color w:val="FFFFFF"/>
              </w:rPr>
              <w:t xml:space="preserve">四半期</w:t>
            </w:r>
          </w:p>
        </w:tc>
        <w:tc>
          <w:tcPr>
            <w:tcW w:w="1367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1F3864"/>
            <w:vAlign w:val="center"/>
          </w:tcPr>
          <w:p>
            <w:pPr>
              <w:pStyle w:val="TableText"/>
              <w:keepNext/>
              <w:jc w:val="right"/>
            </w:pPr>
            <w:r>
              <w:rPr>
                <w:b/>
                <w:bCs/>
                <w:color w:val="FFFFFF"/>
              </w:rPr>
              <w:t xml:space="preserve">売上高</w:t>
            </w:r>
          </w:p>
        </w:tc>
        <w:tc>
          <w:tcPr>
            <w:tcW w:w="2094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1F3864"/>
            <w:vAlign w:val="center"/>
          </w:tcPr>
          <w:p>
            <w:pPr>
              <w:pStyle w:val="TableText"/>
              <w:keepNext/>
              <w:jc w:val="right"/>
            </w:pPr>
            <w:r>
              <w:rPr>
                <w:b/>
                <w:bCs/>
                <w:color w:val="FFFFFF"/>
              </w:rPr>
              <w:t xml:space="preserve">前年同期比</w:t>
            </w:r>
          </w:p>
        </w:tc>
        <w:tc>
          <w:tcPr>
            <w:tcW w:w="1367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1F3864"/>
            <w:vAlign w:val="center"/>
          </w:tcPr>
          <w:p>
            <w:pPr>
              <w:pStyle w:val="TableText"/>
              <w:keepNext/>
              <w:jc w:val="right"/>
            </w:pPr>
            <w:r>
              <w:rPr>
                <w:b/>
                <w:bCs/>
                <w:color w:val="FFFFFF"/>
              </w:rPr>
              <w:t xml:space="preserve">顧客数</w:t>
            </w:r>
          </w:p>
        </w:tc>
        <w:tc>
          <w:tcPr>
            <w:tcW w:w="1367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1F3864"/>
            <w:vAlign w:val="center"/>
          </w:tcPr>
          <w:p>
            <w:pPr>
              <w:pStyle w:val="TableText"/>
              <w:keepNext/>
              <w:jc w:val="right"/>
            </w:pPr>
            <w:r>
              <w:rPr>
                <w:b/>
                <w:bCs/>
                <w:color w:val="FFFFFF"/>
              </w:rPr>
              <w:t xml:space="preserve">更新率</w:t>
            </w:r>
          </w:p>
        </w:tc>
        <w:tc>
          <w:tcPr>
            <w:tcW w:w="1991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1F3864"/>
            <w:vAlign w:val="center"/>
          </w:tcPr>
          <w:p>
            <w:pPr>
              <w:pStyle w:val="TableText"/>
              <w:keepNext/>
              <w:jc w:val="right"/>
            </w:pPr>
            <w:r>
              <w:rPr>
                <w:b/>
                <w:bCs/>
                <w:color w:val="FFFFFF"/>
              </w:rPr>
              <w:t xml:space="preserve">EV/売上高</w:t>
            </w:r>
          </w:p>
        </w:tc>
      </w:tr>
      <w:tr>
        <w:trPr>
          <w:cantSplit/>
        </w:trPr>
        <w:tc>
          <w:tcPr>
            <w:tcW w:w="1452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"/>
              <w:keepNext/>
              <w:jc w:val="right"/>
            </w:pPr>
            <w:r>
              <w:t xml:space="preserve">2014Q1</w:t>
            </w:r>
          </w:p>
        </w:tc>
        <w:tc>
          <w:tcPr>
            <w:tcW w:w="1367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"/>
              <w:keepNext/>
              <w:jc w:val="right"/>
            </w:pPr>
            <w:r>
              <w:t xml:space="preserve">$2.29B</w:t>
            </w:r>
          </w:p>
        </w:tc>
        <w:tc>
          <w:tcPr>
            <w:tcW w:w="2094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"/>
              <w:keepNext/>
              <w:jc w:val="right"/>
            </w:pPr>
            <w:r>
              <w:t xml:space="preserve">+16.0%</w:t>
            </w:r>
          </w:p>
        </w:tc>
        <w:tc>
          <w:tcPr>
            <w:tcW w:w="1367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"/>
              <w:keepNext/>
              <w:jc w:val="right"/>
            </w:pPr>
            <w:r>
              <w:t xml:space="preserve">3,212</w:t>
            </w:r>
          </w:p>
        </w:tc>
        <w:tc>
          <w:tcPr>
            <w:tcW w:w="1367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"/>
              <w:keepNext/>
              <w:jc w:val="right"/>
            </w:pPr>
            <w:r>
              <w:t xml:space="preserve">98%</w:t>
            </w:r>
          </w:p>
        </w:tc>
        <w:tc>
          <w:tcPr>
            <w:tcW w:w="1991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"/>
              <w:keepNext/>
              <w:jc w:val="right"/>
            </w:pPr>
            <w:r>
              <w:t xml:space="preserve">n/a</w:t>
            </w:r>
          </w:p>
        </w:tc>
      </w:tr>
      <w:tr>
        <w:trPr>
          <w:cantSplit/>
        </w:trPr>
        <w:tc>
          <w:tcPr>
            <w:tcW w:w="1452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"/>
              <w:jc w:val="right"/>
            </w:pPr>
            <w:r>
              <w:t xml:space="preserve">2014Q2</w:t>
            </w:r>
          </w:p>
        </w:tc>
        <w:tc>
          <w:tcPr>
            <w:tcW w:w="1367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"/>
              <w:jc w:val="right"/>
            </w:pPr>
            <w:r>
              <w:t xml:space="preserve">$2.85B</w:t>
            </w:r>
          </w:p>
        </w:tc>
        <w:tc>
          <w:tcPr>
            <w:tcW w:w="2094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"/>
              <w:jc w:val="right"/>
            </w:pPr>
            <w:r>
              <w:t xml:space="preserve">+29.5%</w:t>
            </w:r>
          </w:p>
        </w:tc>
        <w:tc>
          <w:tcPr>
            <w:tcW w:w="1367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"/>
              <w:jc w:val="right"/>
            </w:pPr>
            <w:r>
              <w:t xml:space="preserve">9,070</w:t>
            </w:r>
          </w:p>
        </w:tc>
        <w:tc>
          <w:tcPr>
            <w:tcW w:w="1367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"/>
              <w:jc w:val="right"/>
            </w:pPr>
            <w:r>
              <w:t xml:space="preserve">110%</w:t>
            </w:r>
          </w:p>
        </w:tc>
        <w:tc>
          <w:tcPr>
            <w:tcW w:w="1991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"/>
              <w:jc w:val="right"/>
            </w:pPr>
            <w:r>
              <w:t xml:space="preserve">0.7x</w:t>
            </w:r>
          </w:p>
        </w:tc>
      </w:tr>
      <w:tr>
        <w:trPr>
          <w:cantSplit/>
        </w:trPr>
        <w:tc>
          <w:tcPr>
            <w:tcW w:w="1452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"/>
              <w:jc w:val="right"/>
            </w:pPr>
            <w:r>
              <w:t xml:space="preserve">2014Q3</w:t>
            </w:r>
          </w:p>
        </w:tc>
        <w:tc>
          <w:tcPr>
            <w:tcW w:w="1367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"/>
              <w:jc w:val="right"/>
            </w:pPr>
            <w:r>
              <w:t xml:space="preserve">$1.31B</w:t>
            </w:r>
          </w:p>
        </w:tc>
        <w:tc>
          <w:tcPr>
            <w:tcW w:w="2094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"/>
              <w:jc w:val="right"/>
            </w:pPr>
            <w:r>
              <w:t xml:space="preserve">+15.5%</w:t>
            </w:r>
          </w:p>
        </w:tc>
        <w:tc>
          <w:tcPr>
            <w:tcW w:w="1367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"/>
              <w:jc w:val="right"/>
            </w:pPr>
            <w:r>
              <w:t xml:space="preserve">5,537</w:t>
            </w:r>
          </w:p>
        </w:tc>
        <w:tc>
          <w:tcPr>
            <w:tcW w:w="1367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"/>
              <w:jc w:val="right"/>
            </w:pPr>
            <w:r>
              <w:t xml:space="preserve">109%</w:t>
            </w:r>
          </w:p>
        </w:tc>
        <w:tc>
          <w:tcPr>
            <w:tcW w:w="1991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"/>
              <w:jc w:val="right"/>
            </w:pPr>
            <w:r>
              <w:t xml:space="preserve">2.4x</w:t>
            </w:r>
          </w:p>
        </w:tc>
      </w:tr>
      <w:tr>
        <w:trPr>
          <w:cantSplit/>
        </w:trPr>
        <w:tc>
          <w:tcPr>
            <w:tcW w:w="1452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"/>
              <w:jc w:val="right"/>
            </w:pPr>
            <w:r>
              <w:t xml:space="preserve">2014Q4</w:t>
            </w:r>
          </w:p>
        </w:tc>
        <w:tc>
          <w:tcPr>
            <w:tcW w:w="1367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"/>
              <w:jc w:val="right"/>
            </w:pPr>
            <w:r>
              <w:t xml:space="preserve">$2.97B</w:t>
            </w:r>
          </w:p>
        </w:tc>
        <w:tc>
          <w:tcPr>
            <w:tcW w:w="2094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"/>
              <w:jc w:val="right"/>
            </w:pPr>
            <w:r>
              <w:t xml:space="preserve">+12.5%</w:t>
            </w:r>
          </w:p>
        </w:tc>
        <w:tc>
          <w:tcPr>
            <w:tcW w:w="1367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"/>
              <w:jc w:val="right"/>
            </w:pPr>
            <w:r>
              <w:t xml:space="preserve">7,126</w:t>
            </w:r>
          </w:p>
        </w:tc>
        <w:tc>
          <w:tcPr>
            <w:tcW w:w="1367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"/>
              <w:jc w:val="right"/>
            </w:pPr>
            <w:r>
              <w:t xml:space="preserve">99%</w:t>
            </w:r>
          </w:p>
        </w:tc>
        <w:tc>
          <w:tcPr>
            <w:tcW w:w="1991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"/>
              <w:jc w:val="right"/>
            </w:pPr>
            <w:r>
              <w:t xml:space="preserve">2.0x</w:t>
            </w:r>
          </w:p>
        </w:tc>
      </w:tr>
      <w:tr>
        <w:trPr>
          <w:cantSplit/>
        </w:trPr>
        <w:tc>
          <w:tcPr>
            <w:tcW w:w="1452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"/>
              <w:jc w:val="right"/>
            </w:pPr>
            <w:r>
              <w:t xml:space="preserve">2015Q1</w:t>
            </w:r>
          </w:p>
        </w:tc>
        <w:tc>
          <w:tcPr>
            <w:tcW w:w="1367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"/>
              <w:jc w:val="right"/>
            </w:pPr>
            <w:r>
              <w:t xml:space="preserve">$1.01B</w:t>
            </w:r>
          </w:p>
        </w:tc>
        <w:tc>
          <w:tcPr>
            <w:tcW w:w="2094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"/>
              <w:jc w:val="right"/>
            </w:pPr>
            <w:r>
              <w:t xml:space="preserve">+19.6%</w:t>
            </w:r>
          </w:p>
        </w:tc>
        <w:tc>
          <w:tcPr>
            <w:tcW w:w="1367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"/>
              <w:jc w:val="right"/>
            </w:pPr>
            <w:r>
              <w:t xml:space="preserve">2,691</w:t>
            </w:r>
          </w:p>
        </w:tc>
        <w:tc>
          <w:tcPr>
            <w:tcW w:w="1367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"/>
              <w:jc w:val="right"/>
            </w:pPr>
            <w:r>
              <w:t xml:space="preserve">116%</w:t>
            </w:r>
          </w:p>
        </w:tc>
        <w:tc>
          <w:tcPr>
            <w:tcW w:w="1991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"/>
              <w:jc w:val="right"/>
            </w:pPr>
            <w:r>
              <w:t xml:space="preserve">1.2x</w:t>
            </w:r>
          </w:p>
        </w:tc>
      </w:tr>
      <w:tr>
        <w:trPr>
          <w:cantSplit/>
        </w:trPr>
        <w:tc>
          <w:tcPr>
            <w:tcW w:w="1452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"/>
              <w:jc w:val="right"/>
            </w:pPr>
            <w:r>
              <w:t xml:space="preserve">2015Q2</w:t>
            </w:r>
          </w:p>
        </w:tc>
        <w:tc>
          <w:tcPr>
            <w:tcW w:w="1367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"/>
              <w:jc w:val="right"/>
            </w:pPr>
            <w:r>
              <w:t xml:space="preserve">$2.37B</w:t>
            </w:r>
          </w:p>
        </w:tc>
        <w:tc>
          <w:tcPr>
            <w:tcW w:w="2094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"/>
              <w:jc w:val="right"/>
            </w:pPr>
            <w:r>
              <w:t xml:space="preserve">+11.7%</w:t>
            </w:r>
          </w:p>
        </w:tc>
        <w:tc>
          <w:tcPr>
            <w:tcW w:w="1367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"/>
              <w:jc w:val="right"/>
            </w:pPr>
            <w:r>
              <w:t xml:space="preserve">4,850</w:t>
            </w:r>
          </w:p>
        </w:tc>
        <w:tc>
          <w:tcPr>
            <w:tcW w:w="1367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"/>
              <w:jc w:val="right"/>
            </w:pPr>
            <w:r>
              <w:t xml:space="preserve">111%</w:t>
            </w:r>
          </w:p>
        </w:tc>
        <w:tc>
          <w:tcPr>
            <w:tcW w:w="1991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"/>
              <w:jc w:val="right"/>
            </w:pPr>
            <w:r>
              <w:t xml:space="preserve">2.6x</w:t>
            </w:r>
          </w:p>
        </w:tc>
      </w:tr>
      <w:tr>
        <w:trPr>
          <w:cantSplit/>
        </w:trPr>
        <w:tc>
          <w:tcPr>
            <w:tcW w:w="1452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"/>
              <w:jc w:val="right"/>
            </w:pPr>
            <w:r>
              <w:t xml:space="preserve">2015Q3</w:t>
            </w:r>
          </w:p>
        </w:tc>
        <w:tc>
          <w:tcPr>
            <w:tcW w:w="1367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"/>
              <w:jc w:val="right"/>
            </w:pPr>
            <w:r>
              <w:t xml:space="preserve">$2.22B</w:t>
            </w:r>
          </w:p>
        </w:tc>
        <w:tc>
          <w:tcPr>
            <w:tcW w:w="2094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"/>
              <w:jc w:val="right"/>
            </w:pPr>
            <w:r>
              <w:t xml:space="preserve">+12.9%</w:t>
            </w:r>
          </w:p>
        </w:tc>
        <w:tc>
          <w:tcPr>
            <w:tcW w:w="1367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"/>
              <w:jc w:val="right"/>
            </w:pPr>
            <w:r>
              <w:t xml:space="preserve">4,397</w:t>
            </w:r>
          </w:p>
        </w:tc>
        <w:tc>
          <w:tcPr>
            <w:tcW w:w="1367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"/>
              <w:jc w:val="right"/>
            </w:pPr>
            <w:r>
              <w:t xml:space="preserve">119%</w:t>
            </w:r>
          </w:p>
        </w:tc>
        <w:tc>
          <w:tcPr>
            <w:tcW w:w="1991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"/>
              <w:jc w:val="right"/>
            </w:pPr>
            <w:r>
              <w:t xml:space="preserve">2.7x</w:t>
            </w:r>
          </w:p>
        </w:tc>
      </w:tr>
      <w:tr>
        <w:trPr>
          <w:cantSplit/>
        </w:trPr>
        <w:tc>
          <w:tcPr>
            <w:tcW w:w="1452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"/>
              <w:jc w:val="right"/>
            </w:pPr>
            <w:r>
              <w:t xml:space="preserve">2015Q4</w:t>
            </w:r>
          </w:p>
        </w:tc>
        <w:tc>
          <w:tcPr>
            <w:tcW w:w="1367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"/>
              <w:jc w:val="right"/>
            </w:pPr>
            <w:r>
              <w:t xml:space="preserve">$3.86B</w:t>
            </w:r>
          </w:p>
        </w:tc>
        <w:tc>
          <w:tcPr>
            <w:tcW w:w="2094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"/>
              <w:jc w:val="right"/>
            </w:pPr>
            <w:r>
              <w:t xml:space="preserve">+13.0%</w:t>
            </w:r>
          </w:p>
        </w:tc>
        <w:tc>
          <w:tcPr>
            <w:tcW w:w="1367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"/>
              <w:jc w:val="right"/>
            </w:pPr>
            <w:r>
              <w:t xml:space="preserve">9,680</w:t>
            </w:r>
          </w:p>
        </w:tc>
        <w:tc>
          <w:tcPr>
            <w:tcW w:w="1367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"/>
              <w:jc w:val="right"/>
            </w:pPr>
            <w:r>
              <w:t xml:space="preserve">110%</w:t>
            </w:r>
          </w:p>
        </w:tc>
        <w:tc>
          <w:tcPr>
            <w:tcW w:w="1991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"/>
              <w:jc w:val="right"/>
            </w:pPr>
            <w:r>
              <w:t xml:space="preserve">2.5x</w:t>
            </w:r>
          </w:p>
        </w:tc>
      </w:tr>
      <w:tr>
        <w:trPr>
          <w:cantSplit/>
        </w:trPr>
        <w:tc>
          <w:tcPr>
            <w:tcW w:w="1452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"/>
              <w:jc w:val="right"/>
            </w:pPr>
            <w:r>
              <w:t xml:space="preserve">2016Q1</w:t>
            </w:r>
          </w:p>
        </w:tc>
        <w:tc>
          <w:tcPr>
            <w:tcW w:w="1367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"/>
              <w:jc w:val="right"/>
            </w:pPr>
            <w:r>
              <w:t xml:space="preserve">$4.86B</w:t>
            </w:r>
          </w:p>
        </w:tc>
        <w:tc>
          <w:tcPr>
            <w:tcW w:w="2094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"/>
              <w:jc w:val="right"/>
            </w:pPr>
            <w:r>
              <w:t xml:space="preserve">+25.4%</w:t>
            </w:r>
          </w:p>
        </w:tc>
        <w:tc>
          <w:tcPr>
            <w:tcW w:w="1367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"/>
              <w:jc w:val="right"/>
            </w:pPr>
            <w:r>
              <w:t xml:space="preserve">8,937</w:t>
            </w:r>
          </w:p>
        </w:tc>
        <w:tc>
          <w:tcPr>
            <w:tcW w:w="1367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"/>
              <w:jc w:val="right"/>
            </w:pPr>
            <w:r>
              <w:t xml:space="preserve">103%</w:t>
            </w:r>
          </w:p>
        </w:tc>
        <w:tc>
          <w:tcPr>
            <w:tcW w:w="1991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"/>
              <w:jc w:val="right"/>
            </w:pPr>
            <w:r>
              <w:t xml:space="preserve">2.4x</w:t>
            </w:r>
          </w:p>
        </w:tc>
      </w:tr>
      <w:tr>
        <w:trPr>
          <w:cantSplit/>
        </w:trPr>
        <w:tc>
          <w:tcPr>
            <w:tcW w:w="1452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"/>
              <w:jc w:val="right"/>
            </w:pPr>
            <w:r>
              <w:t xml:space="preserve">2016Q2</w:t>
            </w:r>
          </w:p>
        </w:tc>
        <w:tc>
          <w:tcPr>
            <w:tcW w:w="1367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"/>
              <w:jc w:val="right"/>
            </w:pPr>
            <w:r>
              <w:t xml:space="preserve">$4.73B</w:t>
            </w:r>
          </w:p>
        </w:tc>
        <w:tc>
          <w:tcPr>
            <w:tcW w:w="2094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"/>
              <w:jc w:val="right"/>
            </w:pPr>
            <w:r>
              <w:t xml:space="preserve">+17.8%</w:t>
            </w:r>
          </w:p>
        </w:tc>
        <w:tc>
          <w:tcPr>
            <w:tcW w:w="1367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"/>
              <w:jc w:val="right"/>
            </w:pPr>
            <w:r>
              <w:t xml:space="preserve">6,926</w:t>
            </w:r>
          </w:p>
        </w:tc>
        <w:tc>
          <w:tcPr>
            <w:tcW w:w="1367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"/>
              <w:jc w:val="right"/>
            </w:pPr>
            <w:r>
              <w:t xml:space="preserve">124%</w:t>
            </w:r>
          </w:p>
        </w:tc>
        <w:tc>
          <w:tcPr>
            <w:tcW w:w="1991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"/>
              <w:jc w:val="right"/>
            </w:pPr>
            <w:r>
              <w:t xml:space="preserve">1.5x</w:t>
            </w:r>
          </w:p>
        </w:tc>
      </w:tr>
      <w:tr>
        <w:trPr>
          <w:cantSplit/>
        </w:trPr>
        <w:tc>
          <w:tcPr>
            <w:tcW w:w="1452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"/>
              <w:jc w:val="right"/>
            </w:pPr>
            <w:r>
              <w:t xml:space="preserve">2016Q3</w:t>
            </w:r>
          </w:p>
        </w:tc>
        <w:tc>
          <w:tcPr>
            <w:tcW w:w="1367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"/>
              <w:jc w:val="right"/>
            </w:pPr>
            <w:r>
              <w:t xml:space="preserve">$1.78B</w:t>
            </w:r>
          </w:p>
        </w:tc>
        <w:tc>
          <w:tcPr>
            <w:tcW w:w="2094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"/>
              <w:jc w:val="right"/>
            </w:pPr>
            <w:r>
              <w:t xml:space="preserve">+13.0%</w:t>
            </w:r>
          </w:p>
        </w:tc>
        <w:tc>
          <w:tcPr>
            <w:tcW w:w="1367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"/>
              <w:jc w:val="right"/>
            </w:pPr>
            <w:r>
              <w:t xml:space="preserve">4,422</w:t>
            </w:r>
          </w:p>
        </w:tc>
        <w:tc>
          <w:tcPr>
            <w:tcW w:w="1367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"/>
              <w:jc w:val="right"/>
            </w:pPr>
            <w:r>
              <w:t xml:space="preserve">105%</w:t>
            </w:r>
          </w:p>
        </w:tc>
        <w:tc>
          <w:tcPr>
            <w:tcW w:w="1991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"/>
              <w:jc w:val="right"/>
            </w:pPr>
            <w:r>
              <w:t xml:space="preserve">1.8x</w:t>
            </w:r>
          </w:p>
        </w:tc>
      </w:tr>
      <w:tr>
        <w:trPr>
          <w:cantSplit/>
        </w:trPr>
        <w:tc>
          <w:tcPr>
            <w:tcW w:w="1452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"/>
              <w:jc w:val="right"/>
            </w:pPr>
            <w:r>
              <w:t xml:space="preserve">2016Q4</w:t>
            </w:r>
          </w:p>
        </w:tc>
        <w:tc>
          <w:tcPr>
            <w:tcW w:w="1367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"/>
              <w:jc w:val="right"/>
            </w:pPr>
            <w:r>
              <w:t xml:space="preserve">$4.84B</w:t>
            </w:r>
          </w:p>
        </w:tc>
        <w:tc>
          <w:tcPr>
            <w:tcW w:w="2094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"/>
              <w:jc w:val="right"/>
            </w:pPr>
            <w:r>
              <w:t xml:space="preserve">+21.4%</w:t>
            </w:r>
          </w:p>
        </w:tc>
        <w:tc>
          <w:tcPr>
            <w:tcW w:w="1367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"/>
              <w:jc w:val="right"/>
            </w:pPr>
            <w:r>
              <w:t xml:space="preserve">1,231</w:t>
            </w:r>
          </w:p>
        </w:tc>
        <w:tc>
          <w:tcPr>
            <w:tcW w:w="1367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"/>
              <w:jc w:val="right"/>
            </w:pPr>
            <w:r>
              <w:t xml:space="preserve">109%</w:t>
            </w:r>
          </w:p>
        </w:tc>
        <w:tc>
          <w:tcPr>
            <w:tcW w:w="1991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"/>
              <w:jc w:val="right"/>
            </w:pPr>
            <w:r>
              <w:t xml:space="preserve">n/a</w:t>
            </w:r>
          </w:p>
        </w:tc>
      </w:tr>
      <w:tr>
        <w:trPr>
          <w:cantSplit/>
        </w:trPr>
        <w:tc>
          <w:tcPr>
            <w:tcW w:w="1452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"/>
              <w:jc w:val="right"/>
            </w:pPr>
            <w:r>
              <w:t xml:space="preserve">2017Q1</w:t>
            </w:r>
          </w:p>
        </w:tc>
        <w:tc>
          <w:tcPr>
            <w:tcW w:w="1367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"/>
              <w:jc w:val="right"/>
            </w:pPr>
            <w:r>
              <w:t xml:space="preserve">$3.51B</w:t>
            </w:r>
          </w:p>
        </w:tc>
        <w:tc>
          <w:tcPr>
            <w:tcW w:w="2094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"/>
              <w:jc w:val="right"/>
            </w:pPr>
            <w:r>
              <w:t xml:space="preserve">+25.6%</w:t>
            </w:r>
          </w:p>
        </w:tc>
        <w:tc>
          <w:tcPr>
            <w:tcW w:w="1367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"/>
              <w:jc w:val="right"/>
            </w:pPr>
            <w:r>
              <w:t xml:space="preserve">2,589</w:t>
            </w:r>
          </w:p>
        </w:tc>
        <w:tc>
          <w:tcPr>
            <w:tcW w:w="1367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"/>
              <w:jc w:val="right"/>
            </w:pPr>
            <w:r>
              <w:t xml:space="preserve">120%</w:t>
            </w:r>
          </w:p>
        </w:tc>
        <w:tc>
          <w:tcPr>
            <w:tcW w:w="1991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"/>
              <w:jc w:val="right"/>
            </w:pPr>
            <w:r>
              <w:t xml:space="preserve">0.8x</w:t>
            </w:r>
          </w:p>
        </w:tc>
      </w:tr>
      <w:tr>
        <w:trPr>
          <w:cantSplit/>
        </w:trPr>
        <w:tc>
          <w:tcPr>
            <w:tcW w:w="1452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"/>
              <w:jc w:val="right"/>
            </w:pPr>
            <w:r>
              <w:t xml:space="preserve">2017Q2</w:t>
            </w:r>
          </w:p>
        </w:tc>
        <w:tc>
          <w:tcPr>
            <w:tcW w:w="1367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"/>
              <w:jc w:val="right"/>
            </w:pPr>
            <w:r>
              <w:t xml:space="preserve">$2.45B</w:t>
            </w:r>
          </w:p>
        </w:tc>
        <w:tc>
          <w:tcPr>
            <w:tcW w:w="2094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"/>
              <w:jc w:val="right"/>
            </w:pPr>
            <w:r>
              <w:t xml:space="preserve">+23.7%</w:t>
            </w:r>
          </w:p>
        </w:tc>
        <w:tc>
          <w:tcPr>
            <w:tcW w:w="1367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"/>
              <w:jc w:val="right"/>
            </w:pPr>
            <w:r>
              <w:t xml:space="preserve">4,465</w:t>
            </w:r>
          </w:p>
        </w:tc>
        <w:tc>
          <w:tcPr>
            <w:tcW w:w="1367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"/>
              <w:jc w:val="right"/>
            </w:pPr>
            <w:r>
              <w:t xml:space="preserve">109%</w:t>
            </w:r>
          </w:p>
        </w:tc>
        <w:tc>
          <w:tcPr>
            <w:tcW w:w="1991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"/>
              <w:jc w:val="right"/>
            </w:pPr>
            <w:r>
              <w:t xml:space="preserve">1.0x</w:t>
            </w:r>
          </w:p>
        </w:tc>
      </w:tr>
      <w:tr>
        <w:trPr>
          <w:cantSplit/>
        </w:trPr>
        <w:tc>
          <w:tcPr>
            <w:tcW w:w="1452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"/>
              <w:jc w:val="right"/>
            </w:pPr>
            <w:r>
              <w:t xml:space="preserve">2017Q3</w:t>
            </w:r>
          </w:p>
        </w:tc>
        <w:tc>
          <w:tcPr>
            <w:tcW w:w="1367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"/>
              <w:jc w:val="right"/>
            </w:pPr>
            <w:r>
              <w:t xml:space="preserve">$4.06B</w:t>
            </w:r>
          </w:p>
        </w:tc>
        <w:tc>
          <w:tcPr>
            <w:tcW w:w="2094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"/>
              <w:jc w:val="right"/>
            </w:pPr>
            <w:r>
              <w:t xml:space="preserve">+15.3%</w:t>
            </w:r>
          </w:p>
        </w:tc>
        <w:tc>
          <w:tcPr>
            <w:tcW w:w="1367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"/>
              <w:jc w:val="right"/>
            </w:pPr>
            <w:r>
              <w:t xml:space="preserve">7,685</w:t>
            </w:r>
          </w:p>
        </w:tc>
        <w:tc>
          <w:tcPr>
            <w:tcW w:w="1367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"/>
              <w:jc w:val="right"/>
            </w:pPr>
            <w:r>
              <w:t xml:space="preserve">109%</w:t>
            </w:r>
          </w:p>
        </w:tc>
        <w:tc>
          <w:tcPr>
            <w:tcW w:w="1991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"/>
              <w:jc w:val="right"/>
            </w:pPr>
            <w:r>
              <w:t xml:space="preserve">2.5x</w:t>
            </w:r>
          </w:p>
        </w:tc>
      </w:tr>
      <w:tr>
        <w:trPr>
          <w:cantSplit/>
        </w:trPr>
        <w:tc>
          <w:tcPr>
            <w:tcW w:w="1452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"/>
              <w:jc w:val="right"/>
            </w:pPr>
            <w:r>
              <w:t xml:space="preserve">2017Q4</w:t>
            </w:r>
          </w:p>
        </w:tc>
        <w:tc>
          <w:tcPr>
            <w:tcW w:w="1367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"/>
              <w:jc w:val="right"/>
            </w:pPr>
            <w:r>
              <w:t xml:space="preserve">$1.24B</w:t>
            </w:r>
          </w:p>
        </w:tc>
        <w:tc>
          <w:tcPr>
            <w:tcW w:w="2094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"/>
              <w:jc w:val="right"/>
            </w:pPr>
            <w:r>
              <w:t xml:space="preserve">+11.5%</w:t>
            </w:r>
          </w:p>
        </w:tc>
        <w:tc>
          <w:tcPr>
            <w:tcW w:w="1367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"/>
              <w:jc w:val="right"/>
            </w:pPr>
            <w:r>
              <w:t xml:space="preserve">3,281</w:t>
            </w:r>
          </w:p>
        </w:tc>
        <w:tc>
          <w:tcPr>
            <w:tcW w:w="1367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"/>
              <w:jc w:val="right"/>
            </w:pPr>
            <w:r>
              <w:t xml:space="preserve">96%</w:t>
            </w:r>
          </w:p>
        </w:tc>
        <w:tc>
          <w:tcPr>
            <w:tcW w:w="1991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"/>
              <w:jc w:val="right"/>
            </w:pPr>
            <w:r>
              <w:t xml:space="preserve">2.1x</w:t>
            </w:r>
          </w:p>
        </w:tc>
      </w:tr>
      <w:tr>
        <w:trPr>
          <w:cantSplit/>
        </w:trPr>
        <w:tc>
          <w:tcPr>
            <w:tcW w:w="1452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"/>
              <w:jc w:val="right"/>
            </w:pPr>
            <w:r>
              <w:t xml:space="preserve">2018Q1</w:t>
            </w:r>
          </w:p>
        </w:tc>
        <w:tc>
          <w:tcPr>
            <w:tcW w:w="1367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"/>
              <w:jc w:val="right"/>
            </w:pPr>
            <w:r>
              <w:t xml:space="preserve">$2.76B</w:t>
            </w:r>
          </w:p>
        </w:tc>
        <w:tc>
          <w:tcPr>
            <w:tcW w:w="2094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"/>
              <w:jc w:val="right"/>
            </w:pPr>
            <w:r>
              <w:t xml:space="preserve">+22.4%</w:t>
            </w:r>
          </w:p>
        </w:tc>
        <w:tc>
          <w:tcPr>
            <w:tcW w:w="1367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"/>
              <w:jc w:val="right"/>
            </w:pPr>
            <w:r>
              <w:t xml:space="preserve">8,971</w:t>
            </w:r>
          </w:p>
        </w:tc>
        <w:tc>
          <w:tcPr>
            <w:tcW w:w="1367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"/>
              <w:jc w:val="right"/>
            </w:pPr>
            <w:r>
              <w:t xml:space="preserve">115%</w:t>
            </w:r>
          </w:p>
        </w:tc>
        <w:tc>
          <w:tcPr>
            <w:tcW w:w="1991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"/>
              <w:jc w:val="right"/>
            </w:pPr>
            <w:r>
              <w:t xml:space="preserve">1.4x</w:t>
            </w:r>
          </w:p>
        </w:tc>
      </w:tr>
      <w:tr>
        <w:trPr>
          <w:cantSplit/>
        </w:trPr>
        <w:tc>
          <w:tcPr>
            <w:tcW w:w="1452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"/>
              <w:jc w:val="right"/>
            </w:pPr>
            <w:r>
              <w:t xml:space="preserve">2018Q2</w:t>
            </w:r>
          </w:p>
        </w:tc>
        <w:tc>
          <w:tcPr>
            <w:tcW w:w="1367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"/>
              <w:jc w:val="right"/>
            </w:pPr>
            <w:r>
              <w:t xml:space="preserve">$3.09B</w:t>
            </w:r>
          </w:p>
        </w:tc>
        <w:tc>
          <w:tcPr>
            <w:tcW w:w="2094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"/>
              <w:jc w:val="right"/>
            </w:pPr>
            <w:r>
              <w:t xml:space="preserve">+10.9%</w:t>
            </w:r>
          </w:p>
        </w:tc>
        <w:tc>
          <w:tcPr>
            <w:tcW w:w="1367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"/>
              <w:jc w:val="right"/>
            </w:pPr>
            <w:r>
              <w:t xml:space="preserve">1,433</w:t>
            </w:r>
          </w:p>
        </w:tc>
        <w:tc>
          <w:tcPr>
            <w:tcW w:w="1367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"/>
              <w:jc w:val="right"/>
            </w:pPr>
            <w:r>
              <w:t xml:space="preserve">119%</w:t>
            </w:r>
          </w:p>
        </w:tc>
        <w:tc>
          <w:tcPr>
            <w:tcW w:w="1991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"/>
              <w:jc w:val="right"/>
            </w:pPr>
            <w:r>
              <w:t xml:space="preserve">2.5x</w:t>
            </w:r>
          </w:p>
        </w:tc>
      </w:tr>
      <w:tr>
        <w:trPr>
          <w:cantSplit/>
        </w:trPr>
        <w:tc>
          <w:tcPr>
            <w:tcW w:w="1452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"/>
              <w:jc w:val="right"/>
            </w:pPr>
            <w:r>
              <w:t xml:space="preserve">2018Q3</w:t>
            </w:r>
          </w:p>
        </w:tc>
        <w:tc>
          <w:tcPr>
            <w:tcW w:w="1367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"/>
              <w:jc w:val="right"/>
            </w:pPr>
            <w:r>
              <w:t xml:space="preserve">$1.31B</w:t>
            </w:r>
          </w:p>
        </w:tc>
        <w:tc>
          <w:tcPr>
            <w:tcW w:w="2094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"/>
              <w:jc w:val="right"/>
            </w:pPr>
            <w:r>
              <w:t xml:space="preserve">+24.5%</w:t>
            </w:r>
          </w:p>
        </w:tc>
        <w:tc>
          <w:tcPr>
            <w:tcW w:w="1367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"/>
              <w:jc w:val="right"/>
            </w:pPr>
            <w:r>
              <w:t xml:space="preserve">3,481</w:t>
            </w:r>
          </w:p>
        </w:tc>
        <w:tc>
          <w:tcPr>
            <w:tcW w:w="1367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"/>
              <w:jc w:val="right"/>
            </w:pPr>
            <w:r>
              <w:t xml:space="preserve">108%</w:t>
            </w:r>
          </w:p>
        </w:tc>
        <w:tc>
          <w:tcPr>
            <w:tcW w:w="1991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"/>
              <w:jc w:val="right"/>
            </w:pPr>
            <w:r>
              <w:t xml:space="preserve">2.9x</w:t>
            </w:r>
          </w:p>
        </w:tc>
      </w:tr>
      <w:tr>
        <w:trPr>
          <w:cantSplit/>
        </w:trPr>
        <w:tc>
          <w:tcPr>
            <w:tcW w:w="1452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"/>
              <w:jc w:val="right"/>
            </w:pPr>
            <w:r>
              <w:t xml:space="preserve">2018Q4</w:t>
            </w:r>
          </w:p>
        </w:tc>
        <w:tc>
          <w:tcPr>
            <w:tcW w:w="1367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"/>
              <w:jc w:val="right"/>
            </w:pPr>
            <w:r>
              <w:t xml:space="preserve">$4.20B</w:t>
            </w:r>
          </w:p>
        </w:tc>
        <w:tc>
          <w:tcPr>
            <w:tcW w:w="2094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"/>
              <w:jc w:val="right"/>
            </w:pPr>
            <w:r>
              <w:t xml:space="preserve">+12.6%</w:t>
            </w:r>
          </w:p>
        </w:tc>
        <w:tc>
          <w:tcPr>
            <w:tcW w:w="1367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"/>
              <w:jc w:val="right"/>
            </w:pPr>
            <w:r>
              <w:t xml:space="preserve">5,326</w:t>
            </w:r>
          </w:p>
        </w:tc>
        <w:tc>
          <w:tcPr>
            <w:tcW w:w="1367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"/>
              <w:jc w:val="right"/>
            </w:pPr>
            <w:r>
              <w:t xml:space="preserve">101%</w:t>
            </w:r>
          </w:p>
        </w:tc>
        <w:tc>
          <w:tcPr>
            <w:tcW w:w="1991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"/>
              <w:jc w:val="right"/>
            </w:pPr>
            <w:r>
              <w:t xml:space="preserve">1.9x</w:t>
            </w:r>
          </w:p>
        </w:tc>
      </w:tr>
      <w:tr>
        <w:trPr>
          <w:cantSplit/>
        </w:trPr>
        <w:tc>
          <w:tcPr>
            <w:tcW w:w="1452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"/>
              <w:jc w:val="right"/>
            </w:pPr>
            <w:r>
              <w:t xml:space="preserve">2019Q1</w:t>
            </w:r>
          </w:p>
        </w:tc>
        <w:tc>
          <w:tcPr>
            <w:tcW w:w="1367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"/>
              <w:jc w:val="right"/>
            </w:pPr>
            <w:r>
              <w:t xml:space="preserve">$3.95B</w:t>
            </w:r>
          </w:p>
        </w:tc>
        <w:tc>
          <w:tcPr>
            <w:tcW w:w="2094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"/>
              <w:jc w:val="right"/>
            </w:pPr>
            <w:r>
              <w:t xml:space="preserve">+15.2%</w:t>
            </w:r>
          </w:p>
        </w:tc>
        <w:tc>
          <w:tcPr>
            <w:tcW w:w="1367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"/>
              <w:jc w:val="right"/>
            </w:pPr>
            <w:r>
              <w:t xml:space="preserve">8,065</w:t>
            </w:r>
          </w:p>
        </w:tc>
        <w:tc>
          <w:tcPr>
            <w:tcW w:w="1367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"/>
              <w:jc w:val="right"/>
            </w:pPr>
            <w:r>
              <w:t xml:space="preserve">120%</w:t>
            </w:r>
          </w:p>
        </w:tc>
        <w:tc>
          <w:tcPr>
            <w:tcW w:w="1991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"/>
              <w:jc w:val="right"/>
            </w:pPr>
            <w:r>
              <w:t xml:space="preserve">0.7x</w:t>
            </w:r>
          </w:p>
        </w:tc>
      </w:tr>
      <w:tr>
        <w:trPr>
          <w:cantSplit/>
        </w:trPr>
        <w:tc>
          <w:tcPr>
            <w:tcW w:w="1452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"/>
              <w:jc w:val="right"/>
            </w:pPr>
            <w:r>
              <w:t xml:space="preserve">2019Q2</w:t>
            </w:r>
          </w:p>
        </w:tc>
        <w:tc>
          <w:tcPr>
            <w:tcW w:w="1367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"/>
              <w:jc w:val="right"/>
            </w:pPr>
            <w:r>
              <w:t xml:space="preserve">$3.86B</w:t>
            </w:r>
          </w:p>
        </w:tc>
        <w:tc>
          <w:tcPr>
            <w:tcW w:w="2094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"/>
              <w:jc w:val="right"/>
            </w:pPr>
            <w:r>
              <w:t xml:space="preserve">+27.7%</w:t>
            </w:r>
          </w:p>
        </w:tc>
        <w:tc>
          <w:tcPr>
            <w:tcW w:w="1367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"/>
              <w:jc w:val="right"/>
            </w:pPr>
            <w:r>
              <w:t xml:space="preserve">9,666</w:t>
            </w:r>
          </w:p>
        </w:tc>
        <w:tc>
          <w:tcPr>
            <w:tcW w:w="1367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"/>
              <w:jc w:val="right"/>
            </w:pPr>
            <w:r>
              <w:t xml:space="preserve">108%</w:t>
            </w:r>
          </w:p>
        </w:tc>
        <w:tc>
          <w:tcPr>
            <w:tcW w:w="1991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"/>
              <w:jc w:val="right"/>
            </w:pPr>
            <w:r>
              <w:t xml:space="preserve">3.0x</w:t>
            </w:r>
          </w:p>
        </w:tc>
      </w:tr>
      <w:tr>
        <w:trPr>
          <w:cantSplit/>
        </w:trPr>
        <w:tc>
          <w:tcPr>
            <w:tcW w:w="1452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"/>
              <w:jc w:val="right"/>
            </w:pPr>
            <w:r>
              <w:t xml:space="preserve">2019Q3</w:t>
            </w:r>
          </w:p>
        </w:tc>
        <w:tc>
          <w:tcPr>
            <w:tcW w:w="1367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"/>
              <w:jc w:val="right"/>
            </w:pPr>
            <w:r>
              <w:t xml:space="preserve">$2.91B</w:t>
            </w:r>
          </w:p>
        </w:tc>
        <w:tc>
          <w:tcPr>
            <w:tcW w:w="2094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"/>
              <w:jc w:val="right"/>
            </w:pPr>
            <w:r>
              <w:t xml:space="preserve">+19.7%</w:t>
            </w:r>
          </w:p>
        </w:tc>
        <w:tc>
          <w:tcPr>
            <w:tcW w:w="1367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"/>
              <w:jc w:val="right"/>
            </w:pPr>
            <w:r>
              <w:t xml:space="preserve">9,777</w:t>
            </w:r>
          </w:p>
        </w:tc>
        <w:tc>
          <w:tcPr>
            <w:tcW w:w="1367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"/>
              <w:jc w:val="right"/>
            </w:pPr>
            <w:r>
              <w:t xml:space="preserve">110%</w:t>
            </w:r>
          </w:p>
        </w:tc>
        <w:tc>
          <w:tcPr>
            <w:tcW w:w="1991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"/>
              <w:jc w:val="right"/>
            </w:pPr>
            <w:r>
              <w:t xml:space="preserve">n/a</w:t>
            </w:r>
          </w:p>
        </w:tc>
      </w:tr>
      <w:tr>
        <w:trPr>
          <w:cantSplit/>
        </w:trPr>
        <w:tc>
          <w:tcPr>
            <w:tcW w:w="1452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"/>
              <w:jc w:val="right"/>
            </w:pPr>
            <w:r>
              <w:t xml:space="preserve">2019Q4</w:t>
            </w:r>
          </w:p>
        </w:tc>
        <w:tc>
          <w:tcPr>
            <w:tcW w:w="1367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"/>
              <w:jc w:val="right"/>
            </w:pPr>
            <w:r>
              <w:t xml:space="preserve">$4.39B</w:t>
            </w:r>
          </w:p>
        </w:tc>
        <w:tc>
          <w:tcPr>
            <w:tcW w:w="2094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"/>
              <w:jc w:val="right"/>
            </w:pPr>
            <w:r>
              <w:t xml:space="preserve">+25.1%</w:t>
            </w:r>
          </w:p>
        </w:tc>
        <w:tc>
          <w:tcPr>
            <w:tcW w:w="1367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"/>
              <w:jc w:val="right"/>
            </w:pPr>
            <w:r>
              <w:t xml:space="preserve">1,264</w:t>
            </w:r>
          </w:p>
        </w:tc>
        <w:tc>
          <w:tcPr>
            <w:tcW w:w="1367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"/>
              <w:jc w:val="right"/>
            </w:pPr>
            <w:r>
              <w:t xml:space="preserve">118%</w:t>
            </w:r>
          </w:p>
        </w:tc>
        <w:tc>
          <w:tcPr>
            <w:tcW w:w="1991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"/>
              <w:jc w:val="right"/>
            </w:pPr>
            <w:r>
              <w:t xml:space="preserve">0.9x</w:t>
            </w:r>
          </w:p>
        </w:tc>
      </w:tr>
      <w:tr>
        <w:trPr>
          <w:cantSplit/>
        </w:trPr>
        <w:tc>
          <w:tcPr>
            <w:tcW w:w="1452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"/>
              <w:jc w:val="right"/>
            </w:pPr>
            <w:r>
              <w:t xml:space="preserve">2020Q1</w:t>
            </w:r>
          </w:p>
        </w:tc>
        <w:tc>
          <w:tcPr>
            <w:tcW w:w="1367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"/>
              <w:jc w:val="right"/>
            </w:pPr>
            <w:r>
              <w:t xml:space="preserve">$1.47B</w:t>
            </w:r>
          </w:p>
        </w:tc>
        <w:tc>
          <w:tcPr>
            <w:tcW w:w="2094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"/>
              <w:jc w:val="right"/>
            </w:pPr>
            <w:r>
              <w:t xml:space="preserve">+21.6%</w:t>
            </w:r>
          </w:p>
        </w:tc>
        <w:tc>
          <w:tcPr>
            <w:tcW w:w="1367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"/>
              <w:jc w:val="right"/>
            </w:pPr>
            <w:r>
              <w:t xml:space="preserve">3,171</w:t>
            </w:r>
          </w:p>
        </w:tc>
        <w:tc>
          <w:tcPr>
            <w:tcW w:w="1367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"/>
              <w:jc w:val="right"/>
            </w:pPr>
            <w:r>
              <w:t xml:space="preserve">112%</w:t>
            </w:r>
          </w:p>
        </w:tc>
        <w:tc>
          <w:tcPr>
            <w:tcW w:w="1991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"/>
              <w:jc w:val="right"/>
            </w:pPr>
            <w:r>
              <w:t xml:space="preserve">1.4x</w:t>
            </w:r>
          </w:p>
        </w:tc>
      </w:tr>
      <w:tr>
        <w:trPr>
          <w:cantSplit/>
        </w:trPr>
        <w:tc>
          <w:tcPr>
            <w:tcW w:w="1452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"/>
              <w:jc w:val="right"/>
            </w:pPr>
            <w:r>
              <w:t xml:space="preserve">2020Q2</w:t>
            </w:r>
          </w:p>
        </w:tc>
        <w:tc>
          <w:tcPr>
            <w:tcW w:w="1367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"/>
              <w:jc w:val="right"/>
            </w:pPr>
            <w:r>
              <w:t xml:space="preserve">$2.97B</w:t>
            </w:r>
          </w:p>
        </w:tc>
        <w:tc>
          <w:tcPr>
            <w:tcW w:w="2094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"/>
              <w:jc w:val="right"/>
            </w:pPr>
            <w:r>
              <w:t xml:space="preserve">+20.2%</w:t>
            </w:r>
          </w:p>
        </w:tc>
        <w:tc>
          <w:tcPr>
            <w:tcW w:w="1367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"/>
              <w:jc w:val="right"/>
            </w:pPr>
            <w:r>
              <w:t xml:space="preserve">2,938</w:t>
            </w:r>
          </w:p>
        </w:tc>
        <w:tc>
          <w:tcPr>
            <w:tcW w:w="1367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"/>
              <w:jc w:val="right"/>
            </w:pPr>
            <w:r>
              <w:t xml:space="preserve">121%</w:t>
            </w:r>
          </w:p>
        </w:tc>
        <w:tc>
          <w:tcPr>
            <w:tcW w:w="1991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"/>
              <w:jc w:val="right"/>
            </w:pPr>
            <w:r>
              <w:t xml:space="preserve">0.7x</w:t>
            </w:r>
          </w:p>
        </w:tc>
      </w:tr>
      <w:tr>
        <w:trPr>
          <w:cantSplit/>
        </w:trPr>
        <w:tc>
          <w:tcPr>
            <w:tcW w:w="1452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"/>
              <w:jc w:val="right"/>
            </w:pPr>
            <w:r>
              <w:t xml:space="preserve">2020Q3</w:t>
            </w:r>
          </w:p>
        </w:tc>
        <w:tc>
          <w:tcPr>
            <w:tcW w:w="1367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"/>
              <w:jc w:val="right"/>
            </w:pPr>
            <w:r>
              <w:t xml:space="preserve">$1.67B</w:t>
            </w:r>
          </w:p>
        </w:tc>
        <w:tc>
          <w:tcPr>
            <w:tcW w:w="2094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"/>
              <w:jc w:val="right"/>
            </w:pPr>
            <w:r>
              <w:t xml:space="preserve">+8.9%</w:t>
            </w:r>
          </w:p>
        </w:tc>
        <w:tc>
          <w:tcPr>
            <w:tcW w:w="1367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"/>
              <w:jc w:val="right"/>
            </w:pPr>
            <w:r>
              <w:t xml:space="preserve">2,801</w:t>
            </w:r>
          </w:p>
        </w:tc>
        <w:tc>
          <w:tcPr>
            <w:tcW w:w="1367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"/>
              <w:jc w:val="right"/>
            </w:pPr>
            <w:r>
              <w:t xml:space="preserve">110%</w:t>
            </w:r>
          </w:p>
        </w:tc>
        <w:tc>
          <w:tcPr>
            <w:tcW w:w="1991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"/>
              <w:jc w:val="right"/>
            </w:pPr>
            <w:r>
              <w:t xml:space="preserve">2.0x</w:t>
            </w:r>
          </w:p>
        </w:tc>
      </w:tr>
      <w:tr>
        <w:trPr>
          <w:cantSplit/>
        </w:trPr>
        <w:tc>
          <w:tcPr>
            <w:tcW w:w="1452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"/>
              <w:jc w:val="right"/>
            </w:pPr>
            <w:r>
              <w:t xml:space="preserve">2020Q4</w:t>
            </w:r>
          </w:p>
        </w:tc>
        <w:tc>
          <w:tcPr>
            <w:tcW w:w="1367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"/>
              <w:jc w:val="right"/>
            </w:pPr>
            <w:r>
              <w:t xml:space="preserve">$3.94B</w:t>
            </w:r>
          </w:p>
        </w:tc>
        <w:tc>
          <w:tcPr>
            <w:tcW w:w="2094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"/>
              <w:jc w:val="right"/>
            </w:pPr>
            <w:r>
              <w:t xml:space="preserve">+28.1%</w:t>
            </w:r>
          </w:p>
        </w:tc>
        <w:tc>
          <w:tcPr>
            <w:tcW w:w="1367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"/>
              <w:jc w:val="right"/>
            </w:pPr>
            <w:r>
              <w:t xml:space="preserve">8,462</w:t>
            </w:r>
          </w:p>
        </w:tc>
        <w:tc>
          <w:tcPr>
            <w:tcW w:w="1367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"/>
              <w:jc w:val="right"/>
            </w:pPr>
            <w:r>
              <w:t xml:space="preserve">105%</w:t>
            </w:r>
          </w:p>
        </w:tc>
        <w:tc>
          <w:tcPr>
            <w:tcW w:w="1991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"/>
              <w:jc w:val="right"/>
            </w:pPr>
            <w:r>
              <w:t xml:space="preserve">3.1x</w:t>
            </w:r>
          </w:p>
        </w:tc>
      </w:tr>
      <w:tr>
        <w:trPr>
          <w:cantSplit/>
        </w:trPr>
        <w:tc>
          <w:tcPr>
            <w:tcW w:w="1452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"/>
              <w:jc w:val="right"/>
            </w:pPr>
            <w:r>
              <w:t xml:space="preserve">2021Q1</w:t>
            </w:r>
          </w:p>
        </w:tc>
        <w:tc>
          <w:tcPr>
            <w:tcW w:w="1367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"/>
              <w:jc w:val="right"/>
            </w:pPr>
            <w:r>
              <w:t xml:space="preserve">$3.32B</w:t>
            </w:r>
          </w:p>
        </w:tc>
        <w:tc>
          <w:tcPr>
            <w:tcW w:w="2094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"/>
              <w:jc w:val="right"/>
            </w:pPr>
            <w:r>
              <w:t xml:space="preserve">+12.4%</w:t>
            </w:r>
          </w:p>
        </w:tc>
        <w:tc>
          <w:tcPr>
            <w:tcW w:w="1367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"/>
              <w:jc w:val="right"/>
            </w:pPr>
            <w:r>
              <w:t xml:space="preserve">5,741</w:t>
            </w:r>
          </w:p>
        </w:tc>
        <w:tc>
          <w:tcPr>
            <w:tcW w:w="1367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"/>
              <w:jc w:val="right"/>
            </w:pPr>
            <w:r>
              <w:t xml:space="preserve">109%</w:t>
            </w:r>
          </w:p>
        </w:tc>
        <w:tc>
          <w:tcPr>
            <w:tcW w:w="1991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"/>
              <w:jc w:val="right"/>
            </w:pPr>
            <w:r>
              <w:t xml:space="preserve">1.9x</w:t>
            </w:r>
          </w:p>
        </w:tc>
      </w:tr>
      <w:tr>
        <w:trPr>
          <w:cantSplit/>
        </w:trPr>
        <w:tc>
          <w:tcPr>
            <w:tcW w:w="1452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"/>
              <w:jc w:val="right"/>
            </w:pPr>
            <w:r>
              <w:t xml:space="preserve">2021Q2</w:t>
            </w:r>
          </w:p>
        </w:tc>
        <w:tc>
          <w:tcPr>
            <w:tcW w:w="1367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"/>
              <w:jc w:val="right"/>
            </w:pPr>
            <w:r>
              <w:t xml:space="preserve">$2.81B</w:t>
            </w:r>
          </w:p>
        </w:tc>
        <w:tc>
          <w:tcPr>
            <w:tcW w:w="2094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"/>
              <w:jc w:val="right"/>
            </w:pPr>
            <w:r>
              <w:t xml:space="preserve">+28.7%</w:t>
            </w:r>
          </w:p>
        </w:tc>
        <w:tc>
          <w:tcPr>
            <w:tcW w:w="1367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"/>
              <w:jc w:val="right"/>
            </w:pPr>
            <w:r>
              <w:t xml:space="preserve">9,772</w:t>
            </w:r>
          </w:p>
        </w:tc>
        <w:tc>
          <w:tcPr>
            <w:tcW w:w="1367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"/>
              <w:jc w:val="right"/>
            </w:pPr>
            <w:r>
              <w:t xml:space="preserve">121%</w:t>
            </w:r>
          </w:p>
        </w:tc>
        <w:tc>
          <w:tcPr>
            <w:tcW w:w="1991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"/>
              <w:jc w:val="right"/>
            </w:pPr>
            <w:r>
              <w:t xml:space="preserve">3.0x</w:t>
            </w:r>
          </w:p>
        </w:tc>
      </w:tr>
      <w:tr>
        <w:trPr>
          <w:cantSplit/>
        </w:trPr>
        <w:tc>
          <w:tcPr>
            <w:tcW w:w="1452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"/>
              <w:jc w:val="right"/>
            </w:pPr>
            <w:r>
              <w:t xml:space="preserve">2021Q3</w:t>
            </w:r>
          </w:p>
        </w:tc>
        <w:tc>
          <w:tcPr>
            <w:tcW w:w="1367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"/>
              <w:jc w:val="right"/>
            </w:pPr>
            <w:r>
              <w:t xml:space="preserve">$1.94B</w:t>
            </w:r>
          </w:p>
        </w:tc>
        <w:tc>
          <w:tcPr>
            <w:tcW w:w="2094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"/>
              <w:jc w:val="right"/>
            </w:pPr>
            <w:r>
              <w:t xml:space="preserve">+20.3%</w:t>
            </w:r>
          </w:p>
        </w:tc>
        <w:tc>
          <w:tcPr>
            <w:tcW w:w="1367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"/>
              <w:jc w:val="right"/>
            </w:pPr>
            <w:r>
              <w:t xml:space="preserve">4,519</w:t>
            </w:r>
          </w:p>
        </w:tc>
        <w:tc>
          <w:tcPr>
            <w:tcW w:w="1367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"/>
              <w:jc w:val="right"/>
            </w:pPr>
            <w:r>
              <w:t xml:space="preserve">120%</w:t>
            </w:r>
          </w:p>
        </w:tc>
        <w:tc>
          <w:tcPr>
            <w:tcW w:w="1991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"/>
              <w:jc w:val="right"/>
            </w:pPr>
            <w:r>
              <w:t xml:space="preserve">0.9x</w:t>
            </w:r>
          </w:p>
        </w:tc>
      </w:tr>
      <w:tr>
        <w:trPr>
          <w:cantSplit/>
        </w:trPr>
        <w:tc>
          <w:tcPr>
            <w:tcW w:w="1452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"/>
              <w:jc w:val="right"/>
            </w:pPr>
            <w:r>
              <w:t xml:space="preserve">2021Q4</w:t>
            </w:r>
          </w:p>
        </w:tc>
        <w:tc>
          <w:tcPr>
            <w:tcW w:w="1367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"/>
              <w:jc w:val="right"/>
            </w:pPr>
            <w:r>
              <w:t xml:space="preserve">$1.39B</w:t>
            </w:r>
          </w:p>
        </w:tc>
        <w:tc>
          <w:tcPr>
            <w:tcW w:w="2094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"/>
              <w:jc w:val="right"/>
            </w:pPr>
            <w:r>
              <w:t xml:space="preserve">+17.7%</w:t>
            </w:r>
          </w:p>
        </w:tc>
        <w:tc>
          <w:tcPr>
            <w:tcW w:w="1367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"/>
              <w:jc w:val="right"/>
            </w:pPr>
            <w:r>
              <w:t xml:space="preserve">2,388</w:t>
            </w:r>
          </w:p>
        </w:tc>
        <w:tc>
          <w:tcPr>
            <w:tcW w:w="1367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"/>
              <w:jc w:val="right"/>
            </w:pPr>
            <w:r>
              <w:t xml:space="preserve">115%</w:t>
            </w:r>
          </w:p>
        </w:tc>
        <w:tc>
          <w:tcPr>
            <w:tcW w:w="1991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"/>
              <w:jc w:val="right"/>
            </w:pPr>
            <w:r>
              <w:t xml:space="preserve">1.7x</w:t>
            </w:r>
          </w:p>
        </w:tc>
      </w:tr>
      <w:tr>
        <w:trPr>
          <w:cantSplit/>
        </w:trPr>
        <w:tc>
          <w:tcPr>
            <w:tcW w:w="1452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"/>
              <w:jc w:val="right"/>
            </w:pPr>
            <w:r>
              <w:t xml:space="preserve">2022Q1</w:t>
            </w:r>
          </w:p>
        </w:tc>
        <w:tc>
          <w:tcPr>
            <w:tcW w:w="1367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"/>
              <w:jc w:val="right"/>
            </w:pPr>
            <w:r>
              <w:t xml:space="preserve">$1.75B</w:t>
            </w:r>
          </w:p>
        </w:tc>
        <w:tc>
          <w:tcPr>
            <w:tcW w:w="2094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"/>
              <w:jc w:val="right"/>
            </w:pPr>
            <w:r>
              <w:t xml:space="preserve">+14.7%</w:t>
            </w:r>
          </w:p>
        </w:tc>
        <w:tc>
          <w:tcPr>
            <w:tcW w:w="1367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"/>
              <w:jc w:val="right"/>
            </w:pPr>
            <w:r>
              <w:t xml:space="preserve">3,204</w:t>
            </w:r>
          </w:p>
        </w:tc>
        <w:tc>
          <w:tcPr>
            <w:tcW w:w="1367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"/>
              <w:jc w:val="right"/>
            </w:pPr>
            <w:r>
              <w:t xml:space="preserve">122%</w:t>
            </w:r>
          </w:p>
        </w:tc>
        <w:tc>
          <w:tcPr>
            <w:tcW w:w="1991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"/>
              <w:jc w:val="right"/>
            </w:pPr>
            <w:r>
              <w:t xml:space="preserve">0.9x</w:t>
            </w:r>
          </w:p>
        </w:tc>
      </w:tr>
      <w:tr>
        <w:trPr>
          <w:cantSplit/>
        </w:trPr>
        <w:tc>
          <w:tcPr>
            <w:tcW w:w="1452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"/>
              <w:jc w:val="right"/>
            </w:pPr>
            <w:r>
              <w:t xml:space="preserve">2022Q2</w:t>
            </w:r>
          </w:p>
        </w:tc>
        <w:tc>
          <w:tcPr>
            <w:tcW w:w="1367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"/>
              <w:jc w:val="right"/>
            </w:pPr>
            <w:r>
              <w:t xml:space="preserve">$3.76B</w:t>
            </w:r>
          </w:p>
        </w:tc>
        <w:tc>
          <w:tcPr>
            <w:tcW w:w="2094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"/>
              <w:jc w:val="right"/>
            </w:pPr>
            <w:r>
              <w:t xml:space="preserve">+22.5%</w:t>
            </w:r>
          </w:p>
        </w:tc>
        <w:tc>
          <w:tcPr>
            <w:tcW w:w="1367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"/>
              <w:jc w:val="right"/>
            </w:pPr>
            <w:r>
              <w:t xml:space="preserve">3,542</w:t>
            </w:r>
          </w:p>
        </w:tc>
        <w:tc>
          <w:tcPr>
            <w:tcW w:w="1367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"/>
              <w:jc w:val="right"/>
            </w:pPr>
            <w:r>
              <w:t xml:space="preserve">103%</w:t>
            </w:r>
          </w:p>
        </w:tc>
        <w:tc>
          <w:tcPr>
            <w:tcW w:w="1991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"/>
              <w:jc w:val="right"/>
            </w:pPr>
            <w:r>
              <w:t xml:space="preserve">n/a</w:t>
            </w:r>
          </w:p>
        </w:tc>
      </w:tr>
      <w:tr>
        <w:trPr>
          <w:cantSplit/>
        </w:trPr>
        <w:tc>
          <w:tcPr>
            <w:tcW w:w="1452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"/>
              <w:jc w:val="right"/>
            </w:pPr>
            <w:r>
              <w:t xml:space="preserve">2022Q3</w:t>
            </w:r>
          </w:p>
        </w:tc>
        <w:tc>
          <w:tcPr>
            <w:tcW w:w="1367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"/>
              <w:jc w:val="right"/>
            </w:pPr>
            <w:r>
              <w:t xml:space="preserve">$1.45B</w:t>
            </w:r>
          </w:p>
        </w:tc>
        <w:tc>
          <w:tcPr>
            <w:tcW w:w="2094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"/>
              <w:jc w:val="right"/>
            </w:pPr>
            <w:r>
              <w:t xml:space="preserve">+18.3%</w:t>
            </w:r>
          </w:p>
        </w:tc>
        <w:tc>
          <w:tcPr>
            <w:tcW w:w="1367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"/>
              <w:jc w:val="right"/>
            </w:pPr>
            <w:r>
              <w:t xml:space="preserve">2,742</w:t>
            </w:r>
          </w:p>
        </w:tc>
        <w:tc>
          <w:tcPr>
            <w:tcW w:w="1367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"/>
              <w:jc w:val="right"/>
            </w:pPr>
            <w:r>
              <w:t xml:space="preserve">107%</w:t>
            </w:r>
          </w:p>
        </w:tc>
        <w:tc>
          <w:tcPr>
            <w:tcW w:w="1991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"/>
              <w:jc w:val="right"/>
            </w:pPr>
            <w:r>
              <w:t xml:space="preserve">1.8x</w:t>
            </w:r>
          </w:p>
        </w:tc>
      </w:tr>
      <w:tr>
        <w:trPr>
          <w:cantSplit/>
        </w:trPr>
        <w:tc>
          <w:tcPr>
            <w:tcW w:w="1452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"/>
              <w:jc w:val="right"/>
            </w:pPr>
            <w:r>
              <w:t xml:space="preserve">2022Q4</w:t>
            </w:r>
          </w:p>
        </w:tc>
        <w:tc>
          <w:tcPr>
            <w:tcW w:w="1367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"/>
              <w:jc w:val="right"/>
            </w:pPr>
            <w:r>
              <w:t xml:space="preserve">$4.86B</w:t>
            </w:r>
          </w:p>
        </w:tc>
        <w:tc>
          <w:tcPr>
            <w:tcW w:w="2094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"/>
              <w:jc w:val="right"/>
            </w:pPr>
            <w:r>
              <w:t xml:space="preserve">+26.3%</w:t>
            </w:r>
          </w:p>
        </w:tc>
        <w:tc>
          <w:tcPr>
            <w:tcW w:w="1367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"/>
              <w:jc w:val="right"/>
            </w:pPr>
            <w:r>
              <w:t xml:space="preserve">3,845</w:t>
            </w:r>
          </w:p>
        </w:tc>
        <w:tc>
          <w:tcPr>
            <w:tcW w:w="1367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"/>
              <w:jc w:val="right"/>
            </w:pPr>
            <w:r>
              <w:t xml:space="preserve">116%</w:t>
            </w:r>
          </w:p>
        </w:tc>
        <w:tc>
          <w:tcPr>
            <w:tcW w:w="1991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"/>
              <w:jc w:val="right"/>
            </w:pPr>
            <w:r>
              <w:t xml:space="preserve">3.2x</w:t>
            </w:r>
          </w:p>
        </w:tc>
      </w:tr>
      <w:tr>
        <w:trPr>
          <w:cantSplit/>
        </w:trPr>
        <w:tc>
          <w:tcPr>
            <w:tcW w:w="1452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"/>
              <w:jc w:val="right"/>
            </w:pPr>
            <w:r>
              <w:t xml:space="preserve">2023Q1</w:t>
            </w:r>
          </w:p>
        </w:tc>
        <w:tc>
          <w:tcPr>
            <w:tcW w:w="1367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"/>
              <w:jc w:val="right"/>
            </w:pPr>
            <w:r>
              <w:t xml:space="preserve">$2.52B</w:t>
            </w:r>
          </w:p>
        </w:tc>
        <w:tc>
          <w:tcPr>
            <w:tcW w:w="2094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"/>
              <w:jc w:val="right"/>
            </w:pPr>
            <w:r>
              <w:t xml:space="preserve">+17.3%</w:t>
            </w:r>
          </w:p>
        </w:tc>
        <w:tc>
          <w:tcPr>
            <w:tcW w:w="1367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"/>
              <w:jc w:val="right"/>
            </w:pPr>
            <w:r>
              <w:t xml:space="preserve">7,042</w:t>
            </w:r>
          </w:p>
        </w:tc>
        <w:tc>
          <w:tcPr>
            <w:tcW w:w="1367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"/>
              <w:jc w:val="right"/>
            </w:pPr>
            <w:r>
              <w:t xml:space="preserve">105%</w:t>
            </w:r>
          </w:p>
        </w:tc>
        <w:tc>
          <w:tcPr>
            <w:tcW w:w="1991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"/>
              <w:jc w:val="right"/>
            </w:pPr>
            <w:r>
              <w:t xml:space="preserve">2.4x</w:t>
            </w:r>
          </w:p>
        </w:tc>
      </w:tr>
      <w:tr>
        <w:trPr>
          <w:cantSplit/>
        </w:trPr>
        <w:tc>
          <w:tcPr>
            <w:tcW w:w="1452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"/>
              <w:jc w:val="right"/>
            </w:pPr>
            <w:r>
              <w:t xml:space="preserve">2023Q2</w:t>
            </w:r>
          </w:p>
        </w:tc>
        <w:tc>
          <w:tcPr>
            <w:tcW w:w="1367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"/>
              <w:jc w:val="right"/>
            </w:pPr>
            <w:r>
              <w:t xml:space="preserve">$0.98B</w:t>
            </w:r>
          </w:p>
        </w:tc>
        <w:tc>
          <w:tcPr>
            <w:tcW w:w="2094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"/>
              <w:jc w:val="right"/>
            </w:pPr>
            <w:r>
              <w:t xml:space="preserve">+20.2%</w:t>
            </w:r>
          </w:p>
        </w:tc>
        <w:tc>
          <w:tcPr>
            <w:tcW w:w="1367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"/>
              <w:jc w:val="right"/>
            </w:pPr>
            <w:r>
              <w:t xml:space="preserve">8,416</w:t>
            </w:r>
          </w:p>
        </w:tc>
        <w:tc>
          <w:tcPr>
            <w:tcW w:w="1367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"/>
              <w:jc w:val="right"/>
            </w:pPr>
            <w:r>
              <w:t xml:space="preserve">116%</w:t>
            </w:r>
          </w:p>
        </w:tc>
        <w:tc>
          <w:tcPr>
            <w:tcW w:w="1991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"/>
              <w:jc w:val="right"/>
            </w:pPr>
            <w:r>
              <w:t xml:space="preserve">1.5x</w:t>
            </w:r>
          </w:p>
        </w:tc>
      </w:tr>
      <w:tr>
        <w:trPr>
          <w:cantSplit/>
        </w:trPr>
        <w:tc>
          <w:tcPr>
            <w:tcW w:w="1452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"/>
              <w:jc w:val="right"/>
            </w:pPr>
            <w:r>
              <w:t xml:space="preserve">2023Q3</w:t>
            </w:r>
          </w:p>
        </w:tc>
        <w:tc>
          <w:tcPr>
            <w:tcW w:w="1367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"/>
              <w:jc w:val="right"/>
            </w:pPr>
            <w:r>
              <w:t xml:space="preserve">$2.97B</w:t>
            </w:r>
          </w:p>
        </w:tc>
        <w:tc>
          <w:tcPr>
            <w:tcW w:w="2094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"/>
              <w:jc w:val="right"/>
            </w:pPr>
            <w:r>
              <w:t xml:space="preserve">+14.5%</w:t>
            </w:r>
          </w:p>
        </w:tc>
        <w:tc>
          <w:tcPr>
            <w:tcW w:w="1367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"/>
              <w:jc w:val="right"/>
            </w:pPr>
            <w:r>
              <w:t xml:space="preserve">2,253</w:t>
            </w:r>
          </w:p>
        </w:tc>
        <w:tc>
          <w:tcPr>
            <w:tcW w:w="1367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"/>
              <w:jc w:val="right"/>
            </w:pPr>
            <w:r>
              <w:t xml:space="preserve">98%</w:t>
            </w:r>
          </w:p>
        </w:tc>
        <w:tc>
          <w:tcPr>
            <w:tcW w:w="1991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"/>
              <w:jc w:val="right"/>
            </w:pPr>
            <w:r>
              <w:t xml:space="preserve">3.0x</w:t>
            </w:r>
          </w:p>
        </w:tc>
      </w:tr>
      <w:tr>
        <w:trPr>
          <w:cantSplit/>
        </w:trPr>
        <w:tc>
          <w:tcPr>
            <w:tcW w:w="1452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"/>
              <w:jc w:val="right"/>
            </w:pPr>
            <w:r>
              <w:t xml:space="preserve">2023Q4</w:t>
            </w:r>
          </w:p>
        </w:tc>
        <w:tc>
          <w:tcPr>
            <w:tcW w:w="1367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"/>
              <w:jc w:val="right"/>
            </w:pPr>
            <w:r>
              <w:t xml:space="preserve">$1.81B</w:t>
            </w:r>
          </w:p>
        </w:tc>
        <w:tc>
          <w:tcPr>
            <w:tcW w:w="2094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"/>
              <w:jc w:val="right"/>
            </w:pPr>
            <w:r>
              <w:t xml:space="preserve">+27.3%</w:t>
            </w:r>
          </w:p>
        </w:tc>
        <w:tc>
          <w:tcPr>
            <w:tcW w:w="1367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"/>
              <w:jc w:val="right"/>
            </w:pPr>
            <w:r>
              <w:t xml:space="preserve">2,577</w:t>
            </w:r>
          </w:p>
        </w:tc>
        <w:tc>
          <w:tcPr>
            <w:tcW w:w="1367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"/>
              <w:jc w:val="right"/>
            </w:pPr>
            <w:r>
              <w:t xml:space="preserve">103%</w:t>
            </w:r>
          </w:p>
        </w:tc>
        <w:tc>
          <w:tcPr>
            <w:tcW w:w="1991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"/>
              <w:jc w:val="right"/>
            </w:pPr>
            <w:r>
              <w:t xml:space="preserve">0.6x</w:t>
            </w:r>
          </w:p>
        </w:tc>
      </w:tr>
      <w:tr>
        <w:trPr>
          <w:cantSplit/>
        </w:trPr>
        <w:tc>
          <w:tcPr>
            <w:tcW w:w="1452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"/>
              <w:jc w:val="right"/>
            </w:pPr>
            <w:r>
              <w:t xml:space="preserve">2024Q1</w:t>
            </w:r>
          </w:p>
        </w:tc>
        <w:tc>
          <w:tcPr>
            <w:tcW w:w="1367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"/>
              <w:jc w:val="right"/>
            </w:pPr>
            <w:r>
              <w:t xml:space="preserve">$4.02B</w:t>
            </w:r>
          </w:p>
        </w:tc>
        <w:tc>
          <w:tcPr>
            <w:tcW w:w="2094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"/>
              <w:jc w:val="right"/>
            </w:pPr>
            <w:r>
              <w:t xml:space="preserve">+13.9%</w:t>
            </w:r>
          </w:p>
        </w:tc>
        <w:tc>
          <w:tcPr>
            <w:tcW w:w="1367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"/>
              <w:jc w:val="right"/>
            </w:pPr>
            <w:r>
              <w:t xml:space="preserve">3,322</w:t>
            </w:r>
          </w:p>
        </w:tc>
        <w:tc>
          <w:tcPr>
            <w:tcW w:w="1367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"/>
              <w:jc w:val="right"/>
            </w:pPr>
            <w:r>
              <w:t xml:space="preserve">120%</w:t>
            </w:r>
          </w:p>
        </w:tc>
        <w:tc>
          <w:tcPr>
            <w:tcW w:w="1991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"/>
              <w:jc w:val="right"/>
            </w:pPr>
            <w:r>
              <w:t xml:space="preserve">2.8x</w:t>
            </w:r>
          </w:p>
        </w:tc>
      </w:tr>
      <w:tr>
        <w:trPr>
          <w:cantSplit/>
        </w:trPr>
        <w:tc>
          <w:tcPr>
            <w:tcW w:w="1452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"/>
              <w:jc w:val="right"/>
            </w:pPr>
            <w:r>
              <w:t xml:space="preserve">2024Q2</w:t>
            </w:r>
          </w:p>
        </w:tc>
        <w:tc>
          <w:tcPr>
            <w:tcW w:w="1367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"/>
              <w:jc w:val="right"/>
            </w:pPr>
            <w:r>
              <w:t xml:space="preserve">$3.60B</w:t>
            </w:r>
          </w:p>
        </w:tc>
        <w:tc>
          <w:tcPr>
            <w:tcW w:w="2094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"/>
              <w:jc w:val="right"/>
            </w:pPr>
            <w:r>
              <w:t xml:space="preserve">+28.8%</w:t>
            </w:r>
          </w:p>
        </w:tc>
        <w:tc>
          <w:tcPr>
            <w:tcW w:w="1367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"/>
              <w:jc w:val="right"/>
            </w:pPr>
            <w:r>
              <w:t xml:space="preserve">7,851</w:t>
            </w:r>
          </w:p>
        </w:tc>
        <w:tc>
          <w:tcPr>
            <w:tcW w:w="1367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"/>
              <w:jc w:val="right"/>
            </w:pPr>
            <w:r>
              <w:t xml:space="preserve">99%</w:t>
            </w:r>
          </w:p>
        </w:tc>
        <w:tc>
          <w:tcPr>
            <w:tcW w:w="1991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"/>
              <w:jc w:val="right"/>
            </w:pPr>
            <w:r>
              <w:t xml:space="preserve">3.0x</w:t>
            </w:r>
          </w:p>
        </w:tc>
      </w:tr>
      <w:tr>
        <w:trPr>
          <w:cantSplit/>
        </w:trPr>
        <w:tc>
          <w:tcPr>
            <w:tcW w:w="1452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"/>
              <w:jc w:val="right"/>
            </w:pPr>
            <w:r>
              <w:t xml:space="preserve">2024Q3</w:t>
            </w:r>
          </w:p>
        </w:tc>
        <w:tc>
          <w:tcPr>
            <w:tcW w:w="1367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"/>
              <w:jc w:val="right"/>
            </w:pPr>
            <w:r>
              <w:t xml:space="preserve">$3.18B</w:t>
            </w:r>
          </w:p>
        </w:tc>
        <w:tc>
          <w:tcPr>
            <w:tcW w:w="2094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"/>
              <w:jc w:val="right"/>
            </w:pPr>
            <w:r>
              <w:t xml:space="preserve">+23.4%</w:t>
            </w:r>
          </w:p>
        </w:tc>
        <w:tc>
          <w:tcPr>
            <w:tcW w:w="1367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"/>
              <w:jc w:val="right"/>
            </w:pPr>
            <w:r>
              <w:t xml:space="preserve">2,665</w:t>
            </w:r>
          </w:p>
        </w:tc>
        <w:tc>
          <w:tcPr>
            <w:tcW w:w="1367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"/>
              <w:jc w:val="right"/>
            </w:pPr>
            <w:r>
              <w:t xml:space="preserve">103%</w:t>
            </w:r>
          </w:p>
        </w:tc>
        <w:tc>
          <w:tcPr>
            <w:tcW w:w="1991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"/>
              <w:jc w:val="right"/>
            </w:pPr>
            <w:r>
              <w:t xml:space="preserve">2.7x</w:t>
            </w:r>
          </w:p>
        </w:tc>
      </w:tr>
      <w:tr>
        <w:trPr>
          <w:cantSplit/>
        </w:trPr>
        <w:tc>
          <w:tcPr>
            <w:tcW w:w="1452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"/>
              <w:jc w:val="right"/>
            </w:pPr>
            <w:r>
              <w:t xml:space="preserve">2024Q4</w:t>
            </w:r>
          </w:p>
        </w:tc>
        <w:tc>
          <w:tcPr>
            <w:tcW w:w="1367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"/>
              <w:jc w:val="right"/>
            </w:pPr>
            <w:r>
              <w:t xml:space="preserve">$1.63B</w:t>
            </w:r>
          </w:p>
        </w:tc>
        <w:tc>
          <w:tcPr>
            <w:tcW w:w="2094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"/>
              <w:jc w:val="right"/>
            </w:pPr>
            <w:r>
              <w:t xml:space="preserve">+27.7%</w:t>
            </w:r>
          </w:p>
        </w:tc>
        <w:tc>
          <w:tcPr>
            <w:tcW w:w="1367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"/>
              <w:jc w:val="right"/>
            </w:pPr>
            <w:r>
              <w:t xml:space="preserve">5,606</w:t>
            </w:r>
          </w:p>
        </w:tc>
        <w:tc>
          <w:tcPr>
            <w:tcW w:w="1367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"/>
              <w:jc w:val="right"/>
            </w:pPr>
            <w:r>
              <w:t xml:space="preserve">123%</w:t>
            </w:r>
          </w:p>
        </w:tc>
        <w:tc>
          <w:tcPr>
            <w:tcW w:w="1991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"/>
              <w:jc w:val="right"/>
            </w:pPr>
            <w:r>
              <w:t xml:space="preserve">2.2x</w:t>
            </w:r>
          </w:p>
        </w:tc>
      </w:tr>
      <w:tr>
        <w:trPr>
          <w:cantSplit/>
        </w:trPr>
        <w:tc>
          <w:tcPr>
            <w:tcW w:w="1452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"/>
              <w:jc w:val="right"/>
            </w:pPr>
            <w:r>
              <w:t xml:space="preserve">2025Q1</w:t>
            </w:r>
          </w:p>
        </w:tc>
        <w:tc>
          <w:tcPr>
            <w:tcW w:w="1367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"/>
              <w:jc w:val="right"/>
            </w:pPr>
            <w:r>
              <w:t xml:space="preserve">$4.11B</w:t>
            </w:r>
          </w:p>
        </w:tc>
        <w:tc>
          <w:tcPr>
            <w:tcW w:w="2094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"/>
              <w:jc w:val="right"/>
            </w:pPr>
            <w:r>
              <w:t xml:space="preserve">+9.8%</w:t>
            </w:r>
          </w:p>
        </w:tc>
        <w:tc>
          <w:tcPr>
            <w:tcW w:w="1367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"/>
              <w:jc w:val="right"/>
            </w:pPr>
            <w:r>
              <w:t xml:space="preserve">4,843</w:t>
            </w:r>
          </w:p>
        </w:tc>
        <w:tc>
          <w:tcPr>
            <w:tcW w:w="1367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"/>
              <w:jc w:val="right"/>
            </w:pPr>
            <w:r>
              <w:t xml:space="preserve">97%</w:t>
            </w:r>
          </w:p>
        </w:tc>
        <w:tc>
          <w:tcPr>
            <w:tcW w:w="1991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"/>
              <w:jc w:val="right"/>
            </w:pPr>
            <w:r>
              <w:t xml:space="preserve">n/a</w:t>
            </w:r>
          </w:p>
        </w:tc>
      </w:tr>
      <w:tr>
        <w:trPr>
          <w:cantSplit/>
        </w:trPr>
        <w:tc>
          <w:tcPr>
            <w:tcW w:w="1452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"/>
              <w:jc w:val="right"/>
            </w:pPr>
            <w:r>
              <w:t xml:space="preserve">2025Q2</w:t>
            </w:r>
          </w:p>
        </w:tc>
        <w:tc>
          <w:tcPr>
            <w:tcW w:w="1367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"/>
              <w:jc w:val="right"/>
            </w:pPr>
            <w:r>
              <w:t xml:space="preserve">$4.35B</w:t>
            </w:r>
          </w:p>
        </w:tc>
        <w:tc>
          <w:tcPr>
            <w:tcW w:w="2094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"/>
              <w:jc w:val="right"/>
            </w:pPr>
            <w:r>
              <w:t xml:space="preserve">+18.0%</w:t>
            </w:r>
          </w:p>
        </w:tc>
        <w:tc>
          <w:tcPr>
            <w:tcW w:w="1367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"/>
              <w:jc w:val="right"/>
            </w:pPr>
            <w:r>
              <w:t xml:space="preserve">6,756</w:t>
            </w:r>
          </w:p>
        </w:tc>
        <w:tc>
          <w:tcPr>
            <w:tcW w:w="1367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"/>
              <w:jc w:val="right"/>
            </w:pPr>
            <w:r>
              <w:t xml:space="preserve">125%</w:t>
            </w:r>
          </w:p>
        </w:tc>
        <w:tc>
          <w:tcPr>
            <w:tcW w:w="1991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"/>
              <w:jc w:val="right"/>
            </w:pPr>
            <w:r>
              <w:t xml:space="preserve">1.6x</w:t>
            </w:r>
          </w:p>
        </w:tc>
      </w:tr>
      <w:tr>
        <w:trPr>
          <w:cantSplit/>
        </w:trPr>
        <w:tc>
          <w:tcPr>
            <w:tcW w:w="1452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"/>
              <w:jc w:val="right"/>
            </w:pPr>
            <w:r>
              <w:t xml:space="preserve">2025Q3</w:t>
            </w:r>
          </w:p>
        </w:tc>
        <w:tc>
          <w:tcPr>
            <w:tcW w:w="1367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"/>
              <w:jc w:val="right"/>
            </w:pPr>
            <w:r>
              <w:t xml:space="preserve">$4.56B</w:t>
            </w:r>
          </w:p>
        </w:tc>
        <w:tc>
          <w:tcPr>
            <w:tcW w:w="2094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"/>
              <w:jc w:val="right"/>
            </w:pPr>
            <w:r>
              <w:t xml:space="preserve">+21.7%</w:t>
            </w:r>
          </w:p>
        </w:tc>
        <w:tc>
          <w:tcPr>
            <w:tcW w:w="1367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"/>
              <w:jc w:val="right"/>
            </w:pPr>
            <w:r>
              <w:t xml:space="preserve">1,907</w:t>
            </w:r>
          </w:p>
        </w:tc>
        <w:tc>
          <w:tcPr>
            <w:tcW w:w="1367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"/>
              <w:jc w:val="right"/>
            </w:pPr>
            <w:r>
              <w:t xml:space="preserve">111%</w:t>
            </w:r>
          </w:p>
        </w:tc>
        <w:tc>
          <w:tcPr>
            <w:tcW w:w="1991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"/>
              <w:jc w:val="right"/>
            </w:pPr>
            <w:r>
              <w:t xml:space="preserve">1.1x</w:t>
            </w:r>
          </w:p>
        </w:tc>
      </w:tr>
      <w:tr>
        <w:trPr>
          <w:cantSplit/>
        </w:trPr>
        <w:tc>
          <w:tcPr>
            <w:tcW w:w="1452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"/>
              <w:jc w:val="right"/>
            </w:pPr>
            <w:r>
              <w:t xml:space="preserve">2025Q4</w:t>
            </w:r>
          </w:p>
        </w:tc>
        <w:tc>
          <w:tcPr>
            <w:tcW w:w="1367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"/>
              <w:jc w:val="right"/>
            </w:pPr>
            <w:r>
              <w:t xml:space="preserve">$1.34B</w:t>
            </w:r>
          </w:p>
        </w:tc>
        <w:tc>
          <w:tcPr>
            <w:tcW w:w="2094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"/>
              <w:jc w:val="right"/>
            </w:pPr>
            <w:r>
              <w:t xml:space="preserve">+11.6%</w:t>
            </w:r>
          </w:p>
        </w:tc>
        <w:tc>
          <w:tcPr>
            <w:tcW w:w="1367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"/>
              <w:jc w:val="right"/>
            </w:pPr>
            <w:r>
              <w:t xml:space="preserve">2,025</w:t>
            </w:r>
          </w:p>
        </w:tc>
        <w:tc>
          <w:tcPr>
            <w:tcW w:w="1367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"/>
              <w:jc w:val="right"/>
            </w:pPr>
            <w:r>
              <w:t xml:space="preserve">100%</w:t>
            </w:r>
          </w:p>
        </w:tc>
        <w:tc>
          <w:tcPr>
            <w:tcW w:w="1991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"/>
              <w:jc w:val="right"/>
            </w:pPr>
            <w:r>
              <w:t xml:space="preserve">3.0x</w:t>
            </w:r>
          </w:p>
        </w:tc>
      </w:tr>
    </w:tbl>
    <w:p>
      <w:pPr>
        <w:pStyle w:val="TableSpacer"/>
      </w:pPr>
    </w:p>
    <w:p>
      <w:pPr>
        <w:pStyle w:val="BodyText"/>
      </w:pPr>
      <w:r>
        <w:t xml:space="preserve">表のあとに続く本文である。ここまでで、短い表・長い表・セル内改行を含む表が崩れず組めていることを確認する。</w:t>
      </w:r>
    </w:p>
    <w:p>
      <w:pPr>
        <w:pStyle w:val="Heading4"/>
      </w:pPr>
      <w:bookmarkStart w:id="9017" w:name="_Toc90000016"/>
      <w:r>
        <w:t xml:space="preserve">4.1 まとめ</w:t>
      </w:r>
      <w:bookmarkEnd w:id="9017"/>
    </w:p>
    <w:p>
      <w:pPr>
        <w:pStyle w:val="FirstParagraph"/>
      </w:pPr>
      <w:r>
        <w:t xml:space="preserve">本ファイルは「銘柄ごとの報告書」を想定し、前のファイル(sample.md)から改ページされて始まる。</w:t>
      </w:r>
    </w:p>
    <w:p>
      <w:pPr>
        <w:pStyle w:val="Heading2"/>
        <w:pageBreakBefore/>
      </w:pPr>
      <w:bookmarkStart w:id="9018" w:name="_Toc90000017"/>
      <w:r>
        <w:t xml:space="preserve">サンプルC社 報告書</w:t>
      </w:r>
      <w:bookmarkEnd w:id="9018"/>
    </w:p>
    <w:p>
      <w:pPr>
        <w:pStyle w:val="Heading3"/>
      </w:pPr>
      <w:bookmarkStart w:id="9019" w:name="_Toc90000018"/>
      <w:r>
        <w:t xml:space="preserve">1. 要旨</w:t>
      </w:r>
      <w:bookmarkEnd w:id="9019"/>
    </w:p>
    <w:p>
      <w:pPr>
        <w:pStyle w:val="FirstParagraph"/>
      </w:pPr>
      <w:r>
        <w:t xml:space="preserve">3つ目のファイルは、</w:t>
      </w:r>
      <w:r>
        <w:rPr>
          <w:bCs/>
          <w:b/>
        </w:rPr>
        <w:t xml:space="preserve">ファイル単位の改ページ</w:t>
      </w:r>
      <w:r>
        <w:t xml:space="preserve">(sample2.md の次ページから開始)と、短い表・入れ子の箇条書きの確認用である。</w:t>
      </w:r>
    </w:p>
    <w:tbl>
      <w:tblPr>
        <w:tblStyle w:val="Table"/>
        <w:tblW w:w="9638" w:type="dxa"/>
        <w:jc w:val="left"/>
        <w:tblInd w:w="0" w:type="dxa"/>
        <w:tblBorders>
          <w:top w:val="single" w:sz="4" w:space="0" w:color="8496B0"/>
          <w:left w:val="single" w:sz="4" w:space="0" w:color="8496B0"/>
          <w:bottom w:val="single" w:sz="4" w:space="0" w:color="8496B0"/>
          <w:right w:val="single" w:sz="4" w:space="0" w:color="8496B0"/>
          <w:insideH w:val="single" w:sz="4" w:space="0" w:color="8496B0"/>
          <w:insideV w:val="single" w:sz="4" w:space="0" w:color="8496B0"/>
        </w:tblBorders>
        <w:tblLayout w:type="fixed"/>
        <w:tblCellMar>
          <w:top w:w="30" w:type="dxa"/>
          <w:left w:w="60" w:type="dxa"/>
          <w:bottom w:w="30" w:type="dxa"/>
          <w:right w:w="60" w:type="dxa"/>
        </w:tblCellMar>
        <w:tblLook w:val="04A0" w:firstRow="1" w:lastRow="0" w:firstColumn="0" w:lastColumn="0" w:noHBand="0" w:noVBand="1"/>
      </w:tblPr>
      <w:tblGrid>
        <w:gridCol w:w="6035"/>
        <w:gridCol w:w="3603"/>
      </w:tblGrid>
      <w:tr>
        <w:trPr>
          <w:cantSplit/>
          <w:tblHeader/>
        </w:trPr>
        <w:tc>
          <w:tcPr>
            <w:tcW w:w="6035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1F386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b/>
                <w:bCs/>
                <w:color w:val="FFFFFF"/>
              </w:rPr>
              <w:t xml:space="preserve">項目</w:t>
            </w:r>
          </w:p>
        </w:tc>
        <w:tc>
          <w:tcPr>
            <w:tcW w:w="3603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1F3864"/>
            <w:vAlign w:val="center"/>
          </w:tcPr>
          <w:p>
            <w:pPr>
              <w:pStyle w:val="TableText"/>
              <w:keepNext/>
              <w:jc w:val="right"/>
            </w:pPr>
            <w:r>
              <w:rPr>
                <w:b/>
                <w:bCs/>
                <w:color w:val="FFFFFF"/>
              </w:rPr>
              <w:t xml:space="preserve">値</w:t>
            </w:r>
          </w:p>
        </w:tc>
      </w:tr>
      <w:tr>
        <w:trPr>
          <w:cantSplit/>
        </w:trPr>
        <w:tc>
          <w:tcPr>
            <w:tcW w:w="6035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"/>
              <w:keepNext/>
              <w:jc w:val="left"/>
            </w:pPr>
            <w:r>
              <w:t xml:space="preserve">売上高(億円)</w:t>
            </w:r>
          </w:p>
        </w:tc>
        <w:tc>
          <w:tcPr>
            <w:tcW w:w="3603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"/>
              <w:keepNext/>
              <w:jc w:val="right"/>
            </w:pPr>
            <w:r>
              <w:t xml:space="preserve">1,250</w:t>
            </w:r>
          </w:p>
        </w:tc>
      </w:tr>
      <w:tr>
        <w:trPr>
          <w:cantSplit/>
        </w:trPr>
        <w:tc>
          <w:tcPr>
            <w:tcW w:w="6035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"/>
              <w:keepNext/>
              <w:jc w:val="left"/>
            </w:pPr>
            <w:r>
              <w:t xml:space="preserve">営業利益率</w:t>
            </w:r>
          </w:p>
        </w:tc>
        <w:tc>
          <w:tcPr>
            <w:tcW w:w="3603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"/>
              <w:keepNext/>
              <w:jc w:val="right"/>
            </w:pPr>
            <w:r>
              <w:t xml:space="preserve">18.4%</w:t>
            </w:r>
          </w:p>
        </w:tc>
      </w:tr>
      <w:tr>
        <w:trPr>
          <w:cantSplit/>
        </w:trPr>
        <w:tc>
          <w:tcPr>
            <w:tcW w:w="6035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"/>
              <w:keepNext/>
              <w:jc w:val="left"/>
            </w:pPr>
            <w:r>
              <w:t xml:space="preserve">株価</w:t>
            </w:r>
          </w:p>
        </w:tc>
        <w:tc>
          <w:tcPr>
            <w:tcW w:w="3603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"/>
              <w:keepNext/>
              <w:jc w:val="right"/>
            </w:pPr>
            <w:r>
              <w:t xml:space="preserve">$64.20</w:t>
            </w:r>
          </w:p>
        </w:tc>
      </w:tr>
      <w:tr>
        <w:trPr>
          <w:cantSplit/>
        </w:trPr>
        <w:tc>
          <w:tcPr>
            <w:tcW w:w="6035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"/>
              <w:jc w:val="left"/>
            </w:pPr>
            <w:r>
              <w:t xml:space="preserve">判定</w:t>
            </w:r>
          </w:p>
        </w:tc>
        <w:tc>
          <w:tcPr>
            <w:tcW w:w="3603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"/>
              <w:jc w:val="right"/>
            </w:pPr>
            <w:r>
              <w:t xml:space="preserve">保留</w:t>
            </w:r>
          </w:p>
        </w:tc>
      </w:tr>
    </w:tbl>
    <w:p>
      <w:pPr>
        <w:pStyle w:val="TableSpacer"/>
      </w:pPr>
    </w:p>
    <w:p>
      <w:pPr>
        <w:pStyle w:val="Heading4"/>
      </w:pPr>
      <w:bookmarkStart w:id="9020" w:name="_Toc90000019"/>
      <w:r>
        <w:t xml:space="preserve">1.1 エントリー条件</w:t>
      </w:r>
      <w:bookmarkEnd w:id="9020"/>
    </w:p>
    <w:p>
      <w:pPr>
        <w:numPr>
          <w:ilvl w:val="0"/>
          <w:numId w:val="1007"/>
        </w:numPr>
        <w:pStyle w:val="Compact"/>
      </w:pPr>
      <w:r>
        <w:t xml:space="preserve">株価が$55以下</w:t>
      </w:r>
    </w:p>
    <w:p>
      <w:pPr>
        <w:numPr>
          <w:ilvl w:val="1"/>
          <w:numId w:val="1008"/>
        </w:numPr>
        <w:pStyle w:val="Compact"/>
      </w:pPr>
      <w:r>
        <w:t xml:space="preserve">その場合のPERは15倍未満</w:t>
      </w:r>
    </w:p>
    <w:p>
      <w:pPr>
        <w:numPr>
          <w:ilvl w:val="0"/>
          <w:numId w:val="1007"/>
        </w:numPr>
        <w:pStyle w:val="Compact"/>
      </w:pPr>
      <w:r>
        <w:t xml:space="preserve">決算でNRRが105%以上</w:t>
      </w:r>
    </w:p>
    <w:sectPr>
      <w:footerReference w:type="default" r:id="rId9"/>
      <w:headerReference w:type="default" r:id="rId10"/>
      <w:headerReference w:type="first" r:id="rId11"/>
      <w:footerReference w:type="first" r:id="rId12"/>
      <w:pgSz w:h="16838" w:w="11906"/>
      <w:pgMar w:bottom="1134" w:footer="510" w:gutter="0" w:header="510" w:left="1134" w:right="1134" w:top="1134"/>
      <w:titlePg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fldChar w:fldCharType="begin"/>
    </w:r>
    <w:r>
      <w:instrText xml:space="preserve"> PAGE </w:instrText>
    </w:r>
    <w:r>
      <w:fldChar w:fldCharType="separate"/>
    </w:r>
    <w:r>
      <w:t xml:space="preserve">1</w:t>
    </w:r>
    <w:r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脚注は本文末ではなくページ下部に組まれる。</w:t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t xml:space="preserve">組版テスト用レポート
(サイバーセキュリティ銘柄分析)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hdr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•"/>
      <w:lvlJc w:val="left"/>
      <w:pPr>
        <w:ind w:left="400" w:hanging="320"/>
      </w:pPr>
      <w:rPr>
        <w:rFonts w:ascii="Arial" w:hAnsi="Arial" w:eastAsia="游ゴシック" w:cs="Arial" w:hint="default"/>
      </w:rPr>
    </w:lvl>
    <w:lvl w:ilvl="1">
      <w:numFmt w:val="bullet"/>
      <w:lvlText w:val="–"/>
      <w:lvlJc w:val="left"/>
      <w:pPr>
        <w:ind w:left="760" w:hanging="320"/>
      </w:pPr>
      <w:rPr>
        <w:rFonts w:ascii="Arial" w:hAnsi="Arial" w:eastAsia="游ゴシック" w:cs="Arial" w:hint="default"/>
      </w:rPr>
    </w:lvl>
    <w:lvl w:ilvl="2">
      <w:numFmt w:val="bullet"/>
      <w:lvlText w:val="▪"/>
      <w:lvlJc w:val="left"/>
      <w:pPr>
        <w:ind w:left="1120" w:hanging="320"/>
      </w:pPr>
      <w:rPr>
        <w:rFonts w:ascii="Arial" w:hAnsi="Arial" w:eastAsia="游ゴシック" w:cs="Arial" w:hint="default"/>
      </w:rPr>
    </w:lvl>
    <w:lvl w:ilvl="3">
      <w:numFmt w:val="bullet"/>
      <w:lvlText w:val="•"/>
      <w:lvlJc w:val="left"/>
      <w:pPr>
        <w:ind w:left="1480" w:hanging="320"/>
      </w:pPr>
      <w:rPr>
        <w:rFonts w:ascii="Arial" w:hAnsi="Arial" w:eastAsia="游ゴシック" w:cs="Arial" w:hint="default"/>
      </w:rPr>
    </w:lvl>
    <w:lvl w:ilvl="4">
      <w:numFmt w:val="bullet"/>
      <w:lvlText w:val="–"/>
      <w:lvlJc w:val="left"/>
      <w:pPr>
        <w:ind w:left="1840" w:hanging="320"/>
      </w:pPr>
      <w:rPr>
        <w:rFonts w:ascii="Arial" w:hAnsi="Arial" w:eastAsia="游ゴシック" w:cs="Arial" w:hint="default"/>
      </w:rPr>
    </w:lvl>
    <w:lvl w:ilvl="5">
      <w:numFmt w:val="bullet"/>
      <w:lvlText w:val="▪"/>
      <w:lvlJc w:val="left"/>
      <w:pPr>
        <w:ind w:left="2200" w:hanging="320"/>
      </w:pPr>
      <w:rPr>
        <w:rFonts w:ascii="Arial" w:hAnsi="Arial" w:eastAsia="游ゴシック" w:cs="Arial" w:hint="default"/>
      </w:rPr>
    </w:lvl>
    <w:lvl w:ilvl="6">
      <w:numFmt w:val="bullet"/>
      <w:lvlText w:val="•"/>
      <w:lvlJc w:val="left"/>
      <w:pPr>
        <w:ind w:left="2560" w:hanging="320"/>
      </w:pPr>
      <w:rPr>
        <w:rFonts w:ascii="Arial" w:hAnsi="Arial" w:eastAsia="游ゴシック" w:cs="Arial" w:hint="default"/>
      </w:rPr>
    </w:lvl>
    <w:lvl w:ilvl="7">
      <w:numFmt w:val="bullet"/>
      <w:lvlText w:val="–"/>
      <w:lvlJc w:val="left"/>
      <w:pPr>
        <w:ind w:left="2920" w:hanging="320"/>
      </w:pPr>
      <w:rPr>
        <w:rFonts w:ascii="Arial" w:hAnsi="Arial" w:eastAsia="游ゴシック" w:cs="Arial" w:hint="default"/>
      </w:rPr>
    </w:lvl>
    <w:lvl w:ilvl="8">
      <w:numFmt w:val="bullet"/>
      <w:lvlText w:val="▪"/>
      <w:lvlJc w:val="left"/>
      <w:pPr>
        <w:ind w:left="3280" w:hanging="320"/>
      </w:pPr>
      <w:rPr>
        <w:rFonts w:ascii="Arial" w:hAnsi="Arial" w:eastAsia="游ゴシック" w:cs="Arial" w:hint="default"/>
      </w:r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400" w:hanging="320"/>
      </w:pPr>
      <w:rPr>
        <w:rFonts w:ascii="Arial" w:hAnsi="Arial" w:eastAsia="游ゴシック" w:cs="Arial" w:hint="default"/>
      </w:rPr>
    </w:lvl>
    <w:lvl w:ilvl="1">
      <w:numFmt w:val="bullet"/>
      <w:lvlText w:val="–"/>
      <w:lvlJc w:val="left"/>
      <w:pPr>
        <w:ind w:left="760" w:hanging="320"/>
      </w:pPr>
      <w:rPr>
        <w:rFonts w:ascii="Arial" w:hAnsi="Arial" w:eastAsia="游ゴシック" w:cs="Arial" w:hint="default"/>
      </w:rPr>
    </w:lvl>
    <w:lvl w:ilvl="2">
      <w:numFmt w:val="bullet"/>
      <w:lvlText w:val="▪"/>
      <w:lvlJc w:val="left"/>
      <w:pPr>
        <w:ind w:left="1120" w:hanging="320"/>
      </w:pPr>
      <w:rPr>
        <w:rFonts w:ascii="Arial" w:hAnsi="Arial" w:eastAsia="游ゴシック" w:cs="Arial" w:hint="default"/>
      </w:rPr>
    </w:lvl>
    <w:lvl w:ilvl="3">
      <w:numFmt w:val="bullet"/>
      <w:lvlText w:val="•"/>
      <w:lvlJc w:val="left"/>
      <w:pPr>
        <w:ind w:left="1480" w:hanging="320"/>
      </w:pPr>
      <w:rPr>
        <w:rFonts w:ascii="Arial" w:hAnsi="Arial" w:eastAsia="游ゴシック" w:cs="Arial" w:hint="default"/>
      </w:rPr>
    </w:lvl>
    <w:lvl w:ilvl="4">
      <w:numFmt w:val="bullet"/>
      <w:lvlText w:val="–"/>
      <w:lvlJc w:val="left"/>
      <w:pPr>
        <w:ind w:left="1840" w:hanging="320"/>
      </w:pPr>
      <w:rPr>
        <w:rFonts w:ascii="Arial" w:hAnsi="Arial" w:eastAsia="游ゴシック" w:cs="Arial" w:hint="default"/>
      </w:rPr>
    </w:lvl>
    <w:lvl w:ilvl="5">
      <w:numFmt w:val="bullet"/>
      <w:lvlText w:val="▪"/>
      <w:lvlJc w:val="left"/>
      <w:pPr>
        <w:ind w:left="2200" w:hanging="320"/>
      </w:pPr>
      <w:rPr>
        <w:rFonts w:ascii="Arial" w:hAnsi="Arial" w:eastAsia="游ゴシック" w:cs="Arial" w:hint="default"/>
      </w:rPr>
    </w:lvl>
    <w:lvl w:ilvl="6">
      <w:numFmt w:val="bullet"/>
      <w:lvlText w:val="•"/>
      <w:lvlJc w:val="left"/>
      <w:pPr>
        <w:ind w:left="2560" w:hanging="320"/>
      </w:pPr>
      <w:rPr>
        <w:rFonts w:ascii="Arial" w:hAnsi="Arial" w:eastAsia="游ゴシック" w:cs="Arial" w:hint="default"/>
      </w:rPr>
    </w:lvl>
    <w:lvl w:ilvl="7">
      <w:numFmt w:val="bullet"/>
      <w:lvlText w:val="–"/>
      <w:lvlJc w:val="left"/>
      <w:pPr>
        <w:ind w:left="2920" w:hanging="320"/>
      </w:pPr>
      <w:rPr>
        <w:rFonts w:ascii="Arial" w:hAnsi="Arial" w:eastAsia="游ゴシック" w:cs="Arial" w:hint="default"/>
      </w:rPr>
    </w:lvl>
    <w:lvl w:ilvl="8">
      <w:numFmt w:val="bullet"/>
      <w:lvlText w:val="▪"/>
      <w:lvlJc w:val="left"/>
      <w:pPr>
        <w:ind w:left="3280" w:hanging="320"/>
      </w:pPr>
      <w:rPr>
        <w:rFonts w:ascii="Arial" w:hAnsi="Arial" w:eastAsia="游ゴシック" w:cs="Arial" w:hint="default"/>
      </w:r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400" w:hanging="400"/>
      </w:pPr>
    </w:lvl>
    <w:lvl w:ilvl="1">
      <w:start w:val="1"/>
      <w:numFmt w:val="decimal"/>
      <w:lvlText w:val="%2."/>
      <w:lvlJc w:val="left"/>
      <w:pPr>
        <w:ind w:left="760" w:hanging="400"/>
      </w:pPr>
    </w:lvl>
    <w:lvl w:ilvl="2">
      <w:start w:val="1"/>
      <w:numFmt w:val="decimal"/>
      <w:lvlText w:val="%3."/>
      <w:lvlJc w:val="left"/>
      <w:pPr>
        <w:ind w:left="1120" w:hanging="400"/>
      </w:pPr>
    </w:lvl>
    <w:lvl w:ilvl="3">
      <w:start w:val="1"/>
      <w:numFmt w:val="decimal"/>
      <w:lvlText w:val="%4."/>
      <w:lvlJc w:val="left"/>
      <w:pPr>
        <w:ind w:left="1480" w:hanging="400"/>
      </w:pPr>
    </w:lvl>
    <w:lvl w:ilvl="4">
      <w:start w:val="1"/>
      <w:numFmt w:val="decimal"/>
      <w:lvlText w:val="%5."/>
      <w:lvlJc w:val="left"/>
      <w:pPr>
        <w:ind w:left="1840" w:hanging="400"/>
      </w:pPr>
    </w:lvl>
    <w:lvl w:ilvl="5">
      <w:start w:val="1"/>
      <w:numFmt w:val="decimal"/>
      <w:lvlText w:val="%6."/>
      <w:lvlJc w:val="left"/>
      <w:pPr>
        <w:ind w:left="2200" w:hanging="400"/>
      </w:pPr>
    </w:lvl>
    <w:lvl w:ilvl="6">
      <w:start w:val="1"/>
      <w:numFmt w:val="decimal"/>
      <w:lvlText w:val="%7."/>
      <w:lvlJc w:val="left"/>
      <w:pPr>
        <w:ind w:left="2560" w:hanging="400"/>
      </w:pPr>
    </w:lvl>
    <w:lvl w:ilvl="7">
      <w:start w:val="1"/>
      <w:numFmt w:val="decimal"/>
      <w:lvlText w:val="%8."/>
      <w:lvlJc w:val="left"/>
      <w:pPr>
        <w:ind w:left="2920" w:hanging="400"/>
      </w:pPr>
    </w:lvl>
    <w:lvl w:ilvl="8">
      <w:start w:val="1"/>
      <w:numFmt w:val="decimal"/>
      <w:lvlText w:val="%9."/>
      <w:lvlJc w:val="left"/>
      <w:pPr>
        <w:ind w:left="3280" w:hanging="40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updateFields w:val="true"/>
  <w:footnotePr>
    <w:footnote w:id="-1"/>
    <w:footnote w:id="0"/>
  </w:footnotePr>
  <w:compat>
    <w:compatSetting w:name="compatibilityMode" w:uri="http://schemas.microsoft.com/office/word" w:val="15"/>
  </w:compat>
  <w:rsids>
  </w:rsids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 w:eastAsia="ja-JP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Arial" w:cs="Arial" w:eastAsia="游ゴシック" w:hAnsi="Arial"/>
        <w:sz w:val="20"/>
        <w:szCs w:val="20"/>
        <w:lang w:bidi="ar-SA" w:eastAsia="ja-JP" w:val="en-US"/>
      </w:rPr>
    </w:rPrDefault>
    <w:pPrDefault>
      <w:pPr>
        <w:spacing w:after="0" w:line="320" w:lineRule="exact"/>
      </w:pPr>
    </w:pPrDefault>
  </w:docDefaults>
  <w:latentStyles w:count="376" w:defLockedState="0" w:defQFormat="0" w:defSemiHidden="0" w:defUIPriority="99" w:defUnhideWhenUsed="0"/>
  <w:style w:default="1" w:styleId="Normal" w:type="paragraph">
    <w:name w:val="Normal"/>
    <w:qFormat/>
    <w:pPr>
      <w:widowControl/>
      <w:kinsoku/>
      <w:overflowPunct/>
      <w:spacing w:after="0" w:before="0" w:line="320" w:lineRule="exact"/>
    </w:pPr>
  </w:style>
  <w:style w:default="1" w:styleId="DefaultParagraphFont" w:type="character">
    <w:name w:val="Default Paragraph Font"/>
    <w:uiPriority w:val="1"/>
    <w:semiHidden/>
    <w:unhideWhenUsed/>
  </w:style>
  <w:style w:default="1" w:styleId="NoList" w:type="numbering">
    <w:name w:val="No List"/>
    <w:uiPriority w:val="99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styleId="BodyText" w:type="paragraph">
    <w:name w:val="Body Text"/>
    <w:basedOn w:val="Normal"/>
    <w:link w:val="BodyTextChar"/>
    <w:qFormat/>
    <w:pPr>
      <w:spacing w:after="120" w:before="0" w:line="320" w:lineRule="exact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 w:line="320" w:lineRule="exact"/>
    </w:pPr>
  </w:style>
  <w:style w:customStyle="1" w:styleId="BodyTextChar" w:type="character">
    <w:name w:val="Body Text Char"/>
    <w:basedOn w:val="DefaultParagraphFont"/>
    <w:link w:val="BodyText"/>
  </w:style>
  <w:style w:styleId="Title" w:type="paragraph">
    <w:name w:val="Title"/>
    <w:basedOn w:val="Normal"/>
    <w:next w:val="BodyText"/>
    <w:uiPriority w:val="10"/>
    <w:qFormat/>
    <w:pPr>
      <w:keepNext/>
      <w:keepLines/>
      <w:spacing w:after="160" w:before="0" w:line="800" w:lineRule="exact"/>
    </w:pPr>
    <w:rPr>
      <w:b/>
      <w:bCs/>
      <w:color w:val="1F3864"/>
      <w:sz w:val="56"/>
      <w:szCs w:val="56"/>
    </w:rPr>
  </w:style>
  <w:style w:styleId="Subtitle" w:type="paragraph">
    <w:name w:val="Subtitle"/>
    <w:basedOn w:val="Normal"/>
    <w:next w:val="BodyText"/>
    <w:uiPriority w:val="11"/>
    <w:qFormat/>
    <w:pPr>
      <w:keepNext/>
      <w:keepLines/>
      <w:spacing w:after="240" w:before="0" w:line="520" w:lineRule="exact"/>
    </w:pPr>
    <w:rPr>
      <w:color w:val="44546A"/>
      <w:sz w:val="28"/>
      <w:szCs w:val="28"/>
    </w:rPr>
  </w:style>
  <w:style w:customStyle="1" w:styleId="Author" w:type="paragraph">
    <w:name w:val="Author"/>
    <w:basedOn w:val="Normal"/>
    <w:next w:val="BodyText"/>
    <w:qFormat/>
    <w:pPr>
      <w:keepNext/>
      <w:keepLines/>
    </w:pPr>
  </w:style>
  <w:style w:styleId="Date" w:type="paragraph">
    <w:name w:val="Date"/>
    <w:basedOn w:val="Normal"/>
    <w:next w:val="BodyText"/>
    <w:qFormat/>
    <w:pPr>
      <w:keepNext/>
      <w:keepLines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60" w:before="200"/>
    </w:pPr>
    <w:rPr>
      <w:b/>
      <w:color w:val="1F3864"/>
    </w:rPr>
  </w:style>
  <w:style w:customStyle="1" w:styleId="Abstract" w:type="paragraph">
    <w:name w:val="Abstract"/>
    <w:basedOn w:val="Normal"/>
    <w:next w:val="BodyText"/>
    <w:qFormat/>
    <w:pPr>
      <w:spacing w:after="200" w:before="60"/>
    </w:pPr>
    <w:rPr>
      <w:sz w:val="19"/>
      <w:szCs w:val="19"/>
    </w:rPr>
  </w:style>
  <w:style w:customStyle="1" w:styleId="CoverMeta" w:type="paragraph">
    <w:name w:val="Cover Meta"/>
    <w:basedOn w:val="Normal"/>
    <w:next w:val="BodyText"/>
    <w:qFormat/>
    <w:pPr>
      <w:spacing w:after="60" w:before="0" w:line="400" w:lineRule="exact"/>
    </w:pPr>
    <w:rPr>
      <w:color w:val="404040"/>
      <w:sz w:val="22"/>
      <w:szCs w:val="22"/>
    </w:rPr>
  </w:style>
  <w:style w:customStyle="1" w:styleId="CoverNote" w:type="paragraph">
    <w:name w:val="Cover Note"/>
    <w:basedOn w:val="Normal"/>
    <w:next w:val="BodyText"/>
    <w:qFormat/>
    <w:pPr>
      <w:pBdr>
        <w:top w:color="BFBFBF" w:space="6" w:sz="4" w:val="single"/>
        <w:left w:color="BFBFBF" w:space="6" w:sz="4" w:val="single"/>
        <w:bottom w:color="BFBFBF" w:space="6" w:sz="4" w:val="single"/>
        <w:right w:color="BFBFBF" w:space="6" w:sz="4" w:val="single"/>
      </w:pBdr>
      <w:shd w:color="auto" w:fill="F7F7F7" w:val="clear"/>
      <w:spacing w:after="0" w:before="0" w:line="260" w:lineRule="exact"/>
      <w:ind w:left="140" w:right="140"/>
    </w:pPr>
    <w:rPr>
      <w:color w:val="404040"/>
      <w:sz w:val="16"/>
      <w:szCs w:val="16"/>
    </w:rPr>
  </w:style>
  <w:style w:styleId="Bibliography" w:type="paragraph">
    <w:name w:val="Bibliography"/>
    <w:basedOn w:val="Normal"/>
    <w:next w:val="Bibliography"/>
    <w:qFormat/>
  </w:style>
  <w:style w:styleId="Heading1" w:type="paragraph">
    <w:name w:val="heading 1"/>
    <w:basedOn w:val="Normal"/>
    <w:next w:val="BodyText"/>
    <w:uiPriority w:val="9"/>
    <w:qFormat/>
    <w:pPr>
      <w:keepNext/>
      <w:keepLines/>
      <w:pageBreakBefore/>
      <w:pBdr>
        <w:bottom w:color="1F3864" w:space="4" w:sz="18" w:val="single"/>
      </w:pBdr>
      <w:spacing w:after="260" w:before="0" w:line="600" w:lineRule="exact"/>
      <w:outlineLvl w:val="0"/>
    </w:pPr>
    <w:rPr>
      <w:b/>
      <w:bCs/>
      <w:color w:val="1F3864"/>
      <w:sz w:val="44"/>
      <w:szCs w:val="44"/>
    </w:rPr>
  </w:style>
  <w:style w:styleId="Heading2" w:type="paragraph">
    <w:name w:val="heading 2"/>
    <w:basedOn w:val="Normal"/>
    <w:next w:val="BodyText"/>
    <w:uiPriority w:val="9"/>
    <w:qFormat/>
    <w:pPr>
      <w:keepNext/>
      <w:keepLines/>
      <w:pBdr>
        <w:bottom w:color="8FAADC" w:space="3" w:sz="6" w:val="single"/>
      </w:pBdr>
      <w:spacing w:after="160" w:before="360" w:line="480" w:lineRule="exact"/>
      <w:outlineLvl w:val="1"/>
    </w:pPr>
    <w:rPr>
      <w:b/>
      <w:bCs/>
      <w:color w:val="1F3864"/>
      <w:sz w:val="32"/>
      <w:szCs w:val="32"/>
    </w:rPr>
  </w:style>
  <w:style w:styleId="Heading3" w:type="paragraph">
    <w:name w:val="heading 3"/>
    <w:basedOn w:val="Normal"/>
    <w:next w:val="BodyText"/>
    <w:uiPriority w:val="9"/>
    <w:qFormat/>
    <w:pPr>
      <w:keepNext/>
      <w:keepLines/>
      <w:pBdr>
        <w:left w:color="2F5496" w:space="6" w:sz="24" w:val="single"/>
      </w:pBdr>
      <w:spacing w:after="120" w:before="280" w:line="400" w:lineRule="exact"/>
      <w:ind w:left="200"/>
      <w:outlineLvl w:val="2"/>
    </w:pPr>
    <w:rPr>
      <w:b/>
      <w:bCs/>
      <w:color w:val="2F5496"/>
      <w:sz w:val="26"/>
      <w:szCs w:val="26"/>
    </w:rPr>
  </w:style>
  <w:style w:styleId="Heading4" w:type="paragraph">
    <w:name w:val="heading 4"/>
    <w:basedOn w:val="Normal"/>
    <w:next w:val="BodyText"/>
    <w:uiPriority w:val="9"/>
    <w:qFormat/>
    <w:pPr>
      <w:keepNext/>
      <w:keepLines/>
      <w:spacing w:after="80" w:before="220" w:line="360" w:lineRule="exact"/>
      <w:outlineLvl w:val="3"/>
    </w:pPr>
    <w:rPr>
      <w:b/>
      <w:bCs/>
      <w:color w:val="44546A"/>
      <w:sz w:val="22"/>
      <w:szCs w:val="22"/>
    </w:rPr>
  </w:style>
  <w:style w:styleId="Heading5" w:type="paragraph">
    <w:name w:val="heading 5"/>
    <w:basedOn w:val="Normal"/>
    <w:next w:val="BodyText"/>
    <w:uiPriority w:val="9"/>
    <w:qFormat/>
    <w:pPr>
      <w:keepNext/>
      <w:keepLines/>
      <w:spacing w:after="60" w:before="180" w:line="320" w:lineRule="exact"/>
      <w:outlineLvl w:val="4"/>
    </w:pPr>
    <w:rPr>
      <w:b/>
      <w:bCs/>
      <w:color w:val="595959"/>
      <w:sz w:val="20"/>
      <w:szCs w:val="20"/>
    </w:rPr>
  </w:style>
  <w:style w:styleId="Heading6" w:type="paragraph">
    <w:name w:val="heading 6"/>
    <w:basedOn w:val="Normal"/>
    <w:next w:val="BodyText"/>
    <w:uiPriority w:val="9"/>
    <w:qFormat/>
    <w:pPr>
      <w:keepNext/>
      <w:keepLines/>
      <w:spacing w:after="60" w:before="160" w:line="320" w:lineRule="exact"/>
      <w:outlineLvl w:val="5"/>
    </w:pPr>
    <w:rPr>
      <w:b/>
      <w:bCs/>
      <w:i/>
      <w:iCs/>
      <w:color w:val="595959"/>
      <w:sz w:val="20"/>
      <w:szCs w:val="20"/>
    </w:rPr>
  </w:style>
  <w:style w:styleId="Heading7" w:type="paragraph">
    <w:name w:val="heading 7"/>
    <w:basedOn w:val="Normal"/>
    <w:next w:val="BodyText"/>
    <w:uiPriority w:val="9"/>
    <w:qFormat/>
    <w:pPr>
      <w:keepNext/>
      <w:keepLines/>
      <w:spacing w:after="60" w:before="160" w:line="320" w:lineRule="exact"/>
      <w:outlineLvl w:val="6"/>
    </w:pPr>
    <w:rPr>
      <w:b/>
      <w:bCs/>
      <w:i/>
      <w:iCs/>
      <w:color w:val="595959"/>
      <w:sz w:val="20"/>
      <w:szCs w:val="20"/>
    </w:rPr>
  </w:style>
  <w:style w:styleId="Heading8" w:type="paragraph">
    <w:name w:val="heading 8"/>
    <w:basedOn w:val="Normal"/>
    <w:next w:val="BodyText"/>
    <w:uiPriority w:val="9"/>
    <w:qFormat/>
    <w:pPr>
      <w:keepNext/>
      <w:keepLines/>
      <w:spacing w:after="60" w:before="160" w:line="320" w:lineRule="exact"/>
      <w:outlineLvl w:val="7"/>
    </w:pPr>
    <w:rPr>
      <w:b/>
      <w:bCs/>
      <w:i/>
      <w:iCs/>
      <w:color w:val="595959"/>
      <w:sz w:val="20"/>
      <w:szCs w:val="20"/>
    </w:rPr>
  </w:style>
  <w:style w:styleId="Heading9" w:type="paragraph">
    <w:name w:val="heading 9"/>
    <w:basedOn w:val="Normal"/>
    <w:next w:val="BodyText"/>
    <w:uiPriority w:val="9"/>
    <w:qFormat/>
    <w:pPr>
      <w:keepNext/>
      <w:keepLines/>
      <w:spacing w:after="60" w:before="160" w:line="320" w:lineRule="exact"/>
      <w:outlineLvl w:val="8"/>
    </w:pPr>
    <w:rPr>
      <w:b/>
      <w:bCs/>
      <w:i/>
      <w:iCs/>
      <w:color w:val="595959"/>
      <w:sz w:val="20"/>
      <w:szCs w:val="20"/>
    </w:rPr>
  </w:style>
  <w:style w:styleId="BlockText" w:type="paragraph">
    <w:name w:val="Block Text"/>
    <w:basedOn w:val="BodyText"/>
    <w:next w:val="BodyText"/>
    <w:uiPriority w:val="9"/>
    <w:qFormat/>
    <w:pPr>
      <w:pBdr>
        <w:top w:color="F2F2F2" w:space="3" w:sz="4" w:val="single"/>
        <w:left w:color="8496B0" w:space="8" w:sz="24" w:val="single"/>
        <w:bottom w:color="F2F2F2" w:space="3" w:sz="4" w:val="single"/>
      </w:pBdr>
      <w:shd w:color="auto" w:fill="F2F2F2" w:val="clear"/>
      <w:spacing w:after="80" w:before="0" w:line="320" w:lineRule="exact"/>
      <w:ind w:firstLine="0" w:left="300" w:right="120"/>
    </w:pPr>
    <w:rPr>
      <w:color w:val="404040"/>
    </w:rPr>
  </w:style>
  <w:style w:customStyle="1" w:styleId="SourceCode" w:type="paragraph">
    <w:name w:val="Source Code"/>
    <w:basedOn w:val="Normal"/>
    <w:next w:val="SourceCode"/>
    <w:qFormat/>
    <w:pPr>
      <w:keepLines/>
      <w:pBdr>
        <w:top w:color="D0D7E2" w:space="3" w:sz="4" w:val="single"/>
        <w:left w:color="D0D7E2" w:space="4" w:sz="4" w:val="single"/>
        <w:bottom w:color="D0D7E2" w:space="3" w:sz="4" w:val="single"/>
        <w:right w:color="D0D7E2" w:space="4" w:sz="4" w:val="single"/>
      </w:pBdr>
      <w:shd w:color="auto" w:fill="F5F7FA" w:val="clear"/>
      <w:wordWrap w:val="0"/>
      <w:spacing w:after="160" w:before="120" w:line="260" w:lineRule="exact"/>
      <w:ind w:left="140" w:right="140"/>
    </w:pPr>
    <w:rPr>
      <w:rFonts w:ascii="Consolas" w:cs="Consolas" w:eastAsia="MS Gothic" w:hAnsi="Consolas"/>
      <w:sz w:val="17"/>
      <w:szCs w:val="17"/>
    </w:rPr>
  </w:style>
  <w:style w:customStyle="1" w:styleId="VerbatimChar" w:type="character">
    <w:name w:val="Verbatim Char"/>
    <w:basedOn w:val="DefaultParagraphFont"/>
    <w:rPr>
      <w:rFonts w:ascii="Consolas" w:cs="Consolas" w:eastAsia="MS Gothic" w:hAnsi="Consolas"/>
      <w:sz w:val="17"/>
      <w:szCs w:val="17"/>
    </w:rPr>
  </w:style>
  <w:style w:styleId="FootnoteText" w:type="paragraph">
    <w:name w:val="footnote text"/>
    <w:basedOn w:val="Normal"/>
    <w:next w:val="FootnoteText"/>
    <w:uiPriority w:val="9"/>
    <w:qFormat/>
    <w:pPr>
      <w:spacing w:after="20" w:before="0" w:line="240" w:lineRule="exact"/>
    </w:pPr>
    <w:rPr>
      <w:sz w:val="16"/>
      <w:szCs w:val="16"/>
    </w:rPr>
  </w:style>
  <w:style w:styleId="FootnoteReference" w:type="character">
    <w:name w:val="footnote reference"/>
    <w:basedOn w:val="DefaultParagraphFont"/>
    <w:rPr>
      <w:vertAlign w:val="superscript"/>
    </w:rPr>
  </w:style>
  <w:style w:customStyle="1" w:styleId="DefinitionTerm" w:type="paragraph">
    <w:name w:val="Definition Term"/>
    <w:basedOn w:val="Normal"/>
    <w:next w:val="Definition"/>
    <w:qFormat/>
    <w:pPr>
      <w:keepNext/>
      <w:keepLines/>
      <w:spacing w:after="0" w:before="60" w:line="320" w:lineRule="exact"/>
    </w:pPr>
    <w:rPr>
      <w:b/>
      <w:bCs/>
    </w:rPr>
  </w:style>
  <w:style w:customStyle="1" w:styleId="Definition" w:type="paragraph">
    <w:name w:val="Definition"/>
    <w:basedOn w:val="Normal"/>
    <w:qFormat/>
    <w:pPr>
      <w:spacing w:after="80" w:before="0" w:line="320" w:lineRule="exact"/>
      <w:ind w:left="400"/>
    </w:pPr>
  </w:style>
  <w:style w:styleId="Caption" w:type="paragraph">
    <w:name w:val="caption"/>
    <w:basedOn w:val="Normal"/>
    <w:next w:val="Normal"/>
    <w:uiPriority w:val="35"/>
    <w:qFormat/>
    <w:pPr>
      <w:spacing w:after="120" w:before="60" w:line="300" w:lineRule="exact"/>
    </w:pPr>
    <w:rPr>
      <w:color w:val="404040"/>
      <w:sz w:val="18"/>
      <w:szCs w:val="18"/>
    </w:rPr>
  </w:style>
  <w:style w:customStyle="1" w:styleId="TableCaption" w:type="paragraph">
    <w:name w:val="Table Caption"/>
    <w:basedOn w:val="Caption"/>
    <w:qFormat/>
    <w:pPr>
      <w:keepNext/>
      <w:spacing w:after="80" w:before="200" w:line="300" w:lineRule="exact"/>
    </w:pPr>
    <w:rPr>
      <w:b/>
      <w:bCs/>
    </w:rPr>
  </w:style>
  <w:style w:customStyle="1" w:styleId="ImageCaption" w:type="paragraph">
    <w:name w:val="Image Caption"/>
    <w:basedOn w:val="Caption"/>
    <w:qFormat/>
    <w:pPr>
      <w:spacing w:after="240" w:before="40" w:line="300" w:lineRule="exact"/>
      <w:jc w:val="center"/>
    </w:pPr>
  </w:style>
  <w:style w:customStyle="1" w:styleId="Figure" w:type="paragraph">
    <w:name w:val="Figure"/>
    <w:basedOn w:val="Normal"/>
    <w:qFormat/>
    <w:pPr>
      <w:spacing w:after="0" w:before="120" w:line="240" w:lineRule="auto"/>
      <w:jc w:val="center"/>
    </w:pPr>
  </w:style>
  <w:style w:customStyle="1" w:styleId="CaptionedFigure" w:type="paragraph">
    <w:name w:val="Captioned Figure"/>
    <w:basedOn w:val="Figure"/>
    <w:qFormat/>
    <w:pPr>
      <w:keepNext/>
    </w:pPr>
  </w:style>
  <w:style w:styleId="Table" w:type="table">
    <w:name w:val="Table"/>
    <w:basedOn w:val="TableNormal"/>
    <w:uiPriority w:val="59"/>
    <w:qFormat/>
    <w:tblPr>
      <w:tblInd w:type="dxa" w:w="0"/>
      <w:tblBorders>
        <w:top w:color="8496B0" w:space="0" w:sz="4" w:val="single"/>
        <w:left w:color="8496B0" w:space="0" w:sz="4" w:val="single"/>
        <w:bottom w:color="8496B0" w:space="0" w:sz="4" w:val="single"/>
        <w:right w:color="8496B0" w:space="0" w:sz="4" w:val="single"/>
        <w:insideH w:color="8496B0" w:space="0" w:sz="4" w:val="single"/>
        <w:insideV w:color="8496B0" w:space="0" w:sz="4" w:val="single"/>
      </w:tblBorders>
      <w:tblCellMar>
        <w:top w:type="dxa" w:w="30"/>
        <w:left w:type="dxa" w:w="60"/>
        <w:bottom w:type="dxa" w:w="30"/>
        <w:right w:type="dxa" w:w="60"/>
      </w:tblCellMar>
    </w:tblPr>
  </w:style>
  <w:style w:customStyle="1" w:styleId="TableText" w:type="paragraph">
    <w:name w:val="Table Text"/>
    <w:basedOn w:val="Normal"/>
    <w:qFormat/>
    <w:pPr>
      <w:spacing w:after="0" w:before="0" w:line="240" w:lineRule="exact"/>
    </w:pPr>
    <w:rPr>
      <w:sz w:val="16"/>
      <w:szCs w:val="16"/>
    </w:rPr>
  </w:style>
  <w:style w:customStyle="1" w:styleId="TableTextSmall" w:type="paragraph">
    <w:name w:val="Table Text Small"/>
    <w:basedOn w:val="TableText"/>
    <w:qFormat/>
    <w:pPr>
      <w:spacing w:after="0" w:before="0" w:line="210" w:lineRule="exact"/>
    </w:pPr>
    <w:rPr>
      <w:sz w:val="14"/>
      <w:szCs w:val="14"/>
    </w:rPr>
  </w:style>
  <w:style w:customStyle="1" w:styleId="TableSpacer" w:type="paragraph">
    <w:name w:val="Table Spacer"/>
    <w:basedOn w:val="Normal"/>
    <w:pPr>
      <w:spacing w:after="0" w:before="0" w:line="160" w:lineRule="exact"/>
    </w:pPr>
    <w:rPr>
      <w:sz w:val="8"/>
      <w:szCs w:val="8"/>
    </w:rPr>
  </w:style>
  <w:style w:customStyle="1" w:styleId="HorizontalRule" w:type="paragraph">
    <w:name w:val="Horizontal Rule"/>
    <w:basedOn w:val="Normal"/>
    <w:pPr>
      <w:pBdr>
        <w:bottom w:color="A6A6A6" w:space="1" w:sz="6" w:val="single"/>
      </w:pBdr>
      <w:spacing w:after="160" w:before="120" w:line="80" w:lineRule="exact"/>
    </w:pPr>
    <w:rPr>
      <w:sz w:val="4"/>
      <w:szCs w:val="4"/>
    </w:rPr>
  </w:style>
  <w:style w:customStyle="1" w:styleId="PageBreakMarker" w:type="paragraph">
    <w:name w:val="Page Break Marker"/>
    <w:basedOn w:val="Normal"/>
    <w:pPr>
      <w:pageBreakBefore/>
      <w:spacing w:after="0" w:before="0" w:line="20" w:lineRule="exact"/>
    </w:pPr>
    <w:rPr>
      <w:sz w:val="2"/>
      <w:szCs w:val="2"/>
    </w:rPr>
  </w:style>
  <w:style w:styleId="TOCHeading" w:type="paragraph">
    <w:name w:val="TOC Heading"/>
    <w:basedOn w:val="Normal"/>
    <w:next w:val="BodyText"/>
    <w:uiPriority w:val="39"/>
    <w:qFormat/>
    <w:pPr>
      <w:keepNext/>
      <w:keepLines/>
      <w:pBdr>
        <w:bottom w:color="1F3864" w:space="4" w:sz="18" w:val="single"/>
      </w:pBdr>
      <w:spacing w:after="260" w:before="0" w:line="600" w:lineRule="exact"/>
    </w:pPr>
    <w:rPr>
      <w:b/>
      <w:bCs/>
      <w:color w:val="1F3864"/>
      <w:sz w:val="44"/>
      <w:szCs w:val="44"/>
    </w:rPr>
  </w:style>
  <w:style w:styleId="TOC1" w:type="paragraph">
    <w:name w:val="toc 1"/>
    <w:basedOn w:val="Normal"/>
    <w:next w:val="Normal"/>
    <w:uiPriority w:val="39"/>
    <w:pPr>
      <w:tabs>
        <w:tab w:leader="dot" w:pos="9638" w:val="right"/>
      </w:tabs>
      <w:spacing w:after="30" w:before="140" w:line="320" w:lineRule="exact"/>
      <w:ind w:right="560"/>
    </w:pPr>
    <w:rPr>
      <w:b/>
      <w:bCs/>
      <w:color w:val="1F3864"/>
      <w:sz w:val="21"/>
      <w:szCs w:val="21"/>
    </w:rPr>
  </w:style>
  <w:style w:styleId="TOC2" w:type="paragraph">
    <w:name w:val="toc 2"/>
    <w:basedOn w:val="Normal"/>
    <w:next w:val="Normal"/>
    <w:uiPriority w:val="39"/>
    <w:pPr>
      <w:tabs>
        <w:tab w:leader="dot" w:pos="9638" w:val="right"/>
      </w:tabs>
      <w:spacing w:after="10" w:before="20" w:line="300" w:lineRule="exact"/>
      <w:ind w:left="240" w:right="560"/>
    </w:pPr>
    <w:rPr>
      <w:sz w:val="20"/>
      <w:szCs w:val="20"/>
    </w:rPr>
  </w:style>
  <w:style w:styleId="TOC3" w:type="paragraph">
    <w:name w:val="toc 3"/>
    <w:basedOn w:val="Normal"/>
    <w:next w:val="Normal"/>
    <w:uiPriority w:val="39"/>
    <w:pPr>
      <w:tabs>
        <w:tab w:leader="dot" w:pos="9638" w:val="right"/>
      </w:tabs>
      <w:spacing w:after="0" w:before="0" w:line="280" w:lineRule="exact"/>
      <w:ind w:left="480" w:right="560"/>
    </w:pPr>
    <w:rPr>
      <w:color w:val="404040"/>
      <w:sz w:val="18"/>
      <w:szCs w:val="18"/>
    </w:rPr>
  </w:style>
  <w:style w:styleId="Header" w:type="paragraph">
    <w:name w:val="header"/>
    <w:basedOn w:val="Normal"/>
    <w:uiPriority w:val="99"/>
    <w:pPr>
      <w:pBdr>
        <w:bottom w:color="BFBFBF" w:space="3" w:sz="4" w:val="single"/>
      </w:pBdr>
      <w:tabs>
        <w:tab w:pos="9638" w:val="right"/>
      </w:tabs>
      <w:spacing w:after="0" w:before="0" w:line="240" w:lineRule="exact"/>
    </w:pPr>
    <w:rPr>
      <w:color w:val="7F7F7F"/>
      <w:sz w:val="16"/>
      <w:szCs w:val="16"/>
    </w:rPr>
  </w:style>
  <w:style w:styleId="Footer" w:type="paragraph">
    <w:name w:val="footer"/>
    <w:basedOn w:val="Normal"/>
    <w:uiPriority w:val="99"/>
    <w:pPr>
      <w:spacing w:after="0" w:before="0" w:line="240" w:lineRule="exact"/>
      <w:jc w:val="center"/>
    </w:pPr>
    <w:rPr>
      <w:color w:val="595959"/>
      <w:sz w:val="18"/>
      <w:szCs w:val="18"/>
    </w:rPr>
  </w:style>
  <w:style w:styleId="Hyperlink" w:type="character">
    <w:name w:val="Hyperlink"/>
    <w:basedOn w:val="DefaultParagraphFont"/>
    <w:uiPriority w:val="99"/>
    <w:rPr>
      <w:color w:val="2F5496"/>
      <w:u w:val="single"/>
    </w:rPr>
  </w:style>
  <w:style w:styleId="Strong" w:type="character">
    <w:name w:val="Strong"/>
    <w:basedOn w:val="DefaultParagraphFont"/>
    <w:uiPriority w:val="22"/>
    <w:qFormat/>
    <w:rPr>
      <w:b/>
      <w:bCs/>
    </w:rPr>
  </w:style>
  <w:style w:customStyle="1" w:styleId="SectionNumber" w:type="character">
    <w:name w:val="Section Number"/>
    <w:basedOn w:val="BodyTextChar"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20" Type="http://schemas.openxmlformats.org/officeDocument/2006/relationships/image" Target="media/rId20.png"/><Relationship Id="rId23" Type="http://schemas.openxmlformats.org/officeDocument/2006/relationships/hyperlink" Target="https://example.com/" TargetMode="External"/><Relationship Id="rId9" Type="http://schemas.openxmlformats.org/officeDocument/2006/relationships/footer" Target="footer1.xml"/><Relationship Id="rId10" Type="http://schemas.openxmlformats.org/officeDocument/2006/relationships/header" Target="header1.xml"/><Relationship Id="rId11" Type="http://schemas.openxmlformats.org/officeDocument/2006/relationships/header" Target="header2.xml"/><Relationship Id="rId12" Type="http://schemas.openxmlformats.org/officeDocument/2006/relationships/footer" Target="footer2.xml"/></Relationships>
</file>

<file path=word/_rels/footnotes.xml.rels><?xml version='1.0' encoding='UTF-8' standalone='yes'?>
<Relationships xmlns="http://schemas.openxmlformats.org/package/2006/relationships"><Relationship Id="rId23" Type="http://schemas.openxmlformats.org/officeDocument/2006/relationships/hyperlink" Target="https://example.com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組版テスト用レポート (サイバーセキュリティ銘柄分析)</dc:title>
  <dc:creator/>
  <cp:keywords/>
  <dcterms:created xsi:type="dcterms:W3CDTF">2026-10-11T00:00:00Z</dcterms:created>
  <dcterms:modified xsi:type="dcterms:W3CDTF">2026-10-11T04:38:50Z</dcterms:modified>
  <dc:subject>日本語 Markdown から Word への組版パイプライン検証</dc:subject>
  <cp:lastModifiedBy/>
  <dc:description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