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A5F" w:sz="12" w:space="6"/>
        </w:pBdr>
        <w:spacing w:after="200" w:before="0"/>
        <w:jc w:val="left"/>
      </w:pPr>
      <w:r>
        <w:rPr>
          <w:rFonts w:ascii="Arial" w:cs="Arial" w:eastAsia="Yu Gothic" w:hAnsi="Arial"/>
          <w:b/>
          <w:bCs/>
          <w:color w:val="1F3A5F"/>
          <w:sz w:val="36"/>
          <w:szCs w:val="36"/>
        </w:rPr>
        <w:t xml:space="preserve">Oracle(ORCL)投資判断報告書 — 株価はAI容量の利益率30%を既に織り込み、事業本体の評価とほぼ一致する</w:t>
      </w:r>
    </w:p>
    <w:p>
      <w:pPr>
        <w:spacing w:after="120" w:line="300"/>
      </w:pPr>
      <w:r>
        <w:rPr>
          <w:rFonts w:ascii="Arial" w:cs="Arial" w:eastAsia="Yu Gothic" w:hAnsi="Arial"/>
          <w:sz w:val="20"/>
          <w:szCs w:val="20"/>
        </w:rPr>
        <w:t xml:space="preserve">作成日: 2026-10-11 / 株価基準日: 2026-10-09(終値 $141.40)/ 対象: Oracle Corporation(NYSE: ORCL、決算期末 5月31日)</w:t>
      </w:r>
    </w:p>
    <w:p>
      <w:pPr>
        <w:spacing w:after="120" w:line="300"/>
      </w:pPr>
      <w:r>
        <w:rPr>
          <w:rFonts w:ascii="Arial" w:cs="Arial" w:eastAsia="Yu Gothic" w:hAnsi="Arial"/>
          <w:b/>
          <w:bCs/>
          <w:sz w:val="20"/>
          <w:szCs w:val="20"/>
        </w:rPr>
        <w:t xml:space="preserve">免責:</w:t>
      </w:r>
      <w:r>
        <w:rPr>
          <w:rFonts w:ascii="Arial" w:cs="Arial" w:eastAsia="Yu Gothic" w:hAnsi="Arial"/>
          <w:sz w:val="20"/>
          <w:szCs w:val="20"/>
        </w:rPr>
        <w:t xml:space="preserve"> 本報告書は情報整理を目的とし、投資助言ではない。数値は Web 検索の要約経由で取得したものが多く、原典(SEC 提出書類・決算説明会の全文)を直接読めていない(「既知の制約」参照)。</w:t>
      </w:r>
    </w:p>
    <w:p>
      <w:pPr>
        <w:spacing w:after="120" w:line="300"/>
      </w:pPr>
      <w:r>
        <w:rPr>
          <w:rFonts w:ascii="Arial" w:cs="Arial" w:eastAsia="Yu Gothic" w:hAnsi="Arial"/>
          <w:b/>
          <w:bCs/>
          <w:sz w:val="20"/>
          <w:szCs w:val="20"/>
        </w:rPr>
        <w:t xml:space="preserve">本報告書の読み方:</w:t>
      </w:r>
      <w:r>
        <w:rPr>
          <w:rFonts w:ascii="Arial" w:cs="Arial" w:eastAsia="Yu Gothic" w:hAnsi="Arial"/>
          <w:sz w:val="20"/>
          <w:szCs w:val="20"/>
        </w:rPr>
        <w:t xml:space="preserve"> 1章に結論を置き、2章以降はその根拠を「事業本体 → 収益構造 → 経営陣のシナリオ → 採点 → 変遷 → 実現性 → 13条件 → PEG → 価格 → カタリスト → リスクと行動」の順に積み上げる。各章の見出しはその章の主張であり、見出しだけを順に読めば判断までの論理がつながるように書いた。</w:t>
      </w:r>
    </w:p>
    <w:p>
      <w:pPr>
        <w:spacing w:after="120" w:line="300"/>
      </w:pPr>
      <w:r>
        <w:rPr>
          <w:rFonts w:ascii="Arial" w:cs="Arial" w:eastAsia="Yu Gothic" w:hAnsi="Arial"/>
          <w:b/>
          <w:bCs/>
          <w:sz w:val="20"/>
          <w:szCs w:val="20"/>
        </w:rPr>
        <w:t xml:space="preserve">主な用語(初出時の定義):</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0"/>
        <w:gridCol w:w="5696"/>
      </w:tblGrid>
      <w:tr>
        <w:trPr>
          <w:cantSplit/>
          <w:tblHeader/>
        </w:trPr>
        <w:tc>
          <w:tcPr>
            <w:tcW w:type="dxa" w:w="421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略語</w:t>
            </w:r>
          </w:p>
        </w:tc>
        <w:tc>
          <w:tcPr>
            <w:tcW w:type="dxa" w:w="569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意味</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OCI</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Oracle Cloud Infrastructure。Oracle のクラウド基盤(IaaS=計算・保存・ネットワークを時間・容量で貸す事業)。AI 向け GPU 容量の貸出と、データベース等の一般向けクラウド基盤を含む</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SaaS</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Software as a Service。Fusion(基幹業務)・NetSuite(中堅企業向け)・Oracle Health 等のクラウドアプリ</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RPO</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残存履行義務(Remaining Performance Obligations)。契約済みで未計上の売上(受注残)</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GW / MW</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データセンターの電力容量(1GW=1,000MW)。本報告書では AI 容量の原子単位として使う</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BYOH</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Bring Your Own Hardware。顧客が GPU を自ら購入して Oracle に持ち込む契約形態。顧客が GPU 代金を前払いする形態と合わせて「前払い・持込」と呼ぶ</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事業実態EPS</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会社の非GAAP EPS から株式報酬(SBC)の税引後額を控除した1株当たり利益。本報告書の基準EPS</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PEG</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PER ÷ EPS 成長率(%)。1未満は成長に対して倍率が低い状態</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SOTP</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Sum of the Parts。事業別に価値を出して合計する評価法</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CDS</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クレジット・デフォルト・スワップ。社債の倒産保険料で、信用不安の温度計(bp=0.01%)</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ATM</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At-the-market 増資。市場で少しずつ新株を売る資金調達</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WACC / CoE</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加重平均資本コスト / 株主資本コスト</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EPS / PER</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1株当たり利益 / 株価収益率(株価 ÷ EPS)</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GPU</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の計算に使う演算装置(NVIDIA 製が中心)。A100・H100 は旧世代、B200・GB200・GB300 は新世代</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FCF / FOCF</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フリーキャッシュフロー(営業CF − 設備投資)。FOCF は S&amp;P が使う営業 FCF</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capex</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設備投資</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EBIT / EBITDA / NOPAT</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営業利益 / 償却前営業利益 / 税引後営業利益</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ROIC / ROE / IRR / NPV / DCF</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投下資本利益率 / 自己資本利益率 / 内部収益率 / 正味現在価値 / 割引キャッシュフロー法</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CAGR / QoQ / YoY / TTM</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年平均成長率 / 前四半期比 / 前年同期比 / 直近12か月</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KPI</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重要業績評価指標</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DB</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データベース</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NRR</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既存顧客の売上継続率(拡張・解約を含む)</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S&amp;M / R&amp;D / G&amp;A</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販売・マーケティング費 / 研究開発費 / 一般管理費</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RDMA</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サーバー間で高速にデータを直接やりとりするネットワーク技術</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FERC</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米連邦エネルギー規制委員会(ガス管・送電を所管)</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DEF 14A / PSO</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米国の委任状説明書(役員報酬を開示)/ 業績連動型ストックオプション</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MU 型 / VRT 型 / AVGO 型 / ORCL 型</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本報告書の13条件で使う企業の型(MU=シクリカルな陳腐化投資を自社が負う、VRT=売り切り・供給過多、AVGO=コモディティ化、ORCL=従量課金で陳腐化リスクを顧客に移す)</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EPS / PER</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1株当たり利益 / 株価収益率(株価 ÷ EPS)</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GPU</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の計算に使う演算装置(NVIDIA 製が中心)。A100・H100 は旧世代、B200・GB200・GB300 は新世代</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FCF / FOCF</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フリーキャッシュフロー(営業CF − 設備投資)。FOCF は S&amp;P が使う営業 FCF</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capex</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設備投資</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EBIT / EBITDA / NOPAT</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営業利益 / 償却前営業利益 / 税引後営業利益</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ROIC / ROE / IRR / NPV / DCF</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投下資本利益率 / 自己資本利益率 / 内部収益率 / 正味現在価値 / 割引キャッシュフロー法</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CAGR / QoQ / YoY / TTM</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年平均成長率 / 前四半期比 / 前年同期比 / 直近12か月</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KPI</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重要業績評価指標</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DB</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データベース</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NRR</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既存顧客の売上継続率(拡張・解約を含む)</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S&amp;M / R&amp;D / G&amp;A</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販売・マーケティング費 / 研究開発費 / 一般管理費</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RDMA</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サーバー間で高速にデータを直接やりとりするネットワーク技術</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FERC</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米連邦エネルギー規制委員会(ガス管・送電を所管)</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DEF 14A / PSO</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米国の委任状説明書(役員報酬を開示)/ 業績連動型ストックオプション</w:t>
            </w:r>
          </w:p>
        </w:tc>
      </w:tr>
      <w:tr>
        <w:trPr>
          <w:cantSplit/>
          <w:tblHeader w:val="false"/>
        </w:trPr>
        <w:tc>
          <w:tcPr>
            <w:tcW w:type="dxa" w:w="42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MU 型 / VRT 型 / AVGO 型 / ORCL 型</w:t>
            </w:r>
          </w:p>
        </w:tc>
        <w:tc>
          <w:tcPr>
            <w:tcW w:type="dxa" w:w="56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本報告書の13条件で使う企業の型(MU=シクリカルな陳腐化投資を自社が負う、VRT=売り切り・供給過多、AVGO=コモディティ化、ORCL=従量課金で陳腐化リスクを顧客に移す)</w:t>
            </w:r>
          </w:p>
        </w:tc>
      </w:tr>
    </w:tbl>
    <w:p>
      <w:pPr>
        <w:spacing w:after="80"/>
      </w:pPr>
    </w:p>
    <w:p>
      <w:r>
        <w:br w:type="page"/>
      </w:r>
    </w:p>
    <w:p>
      <w:pPr>
        <w:pStyle w:val="Heading1"/>
      </w:pPr>
      <w:r>
        <w:rPr>
          <w:rFonts w:ascii="Arial" w:cs="Arial" w:eastAsia="Yu Gothic" w:hAnsi="Arial"/>
        </w:rPr>
        <w:t xml:space="preserve">見出しだけで読む判断の論理</w:t>
      </w:r>
    </w:p>
    <w:p>
      <w:pPr>
        <w:pStyle w:val="ListParagraph"/>
        <w:numPr>
          <w:ilvl w:val="0"/>
          <w:numId w:val="2"/>
        </w:numPr>
        <w:spacing w:after="40" w:line="290"/>
      </w:pPr>
      <w:r>
        <w:rPr>
          <w:rFonts w:ascii="Arial" w:cs="Arial" w:eastAsia="Yu Gothic" w:hAnsi="Arial"/>
          <w:sz w:val="20"/>
          <w:szCs w:val="20"/>
        </w:rPr>
        <w:t xml:space="preserve">株価はAI容量の利益率30%を既に織り込み、事業本体の評価とほぼ一致するため「監視」とする(エッジなし)</w:t>
      </w:r>
    </w:p>
    <w:p>
      <w:pPr>
        <w:pStyle w:val="ListParagraph"/>
        <w:numPr>
          <w:ilvl w:val="0"/>
          <w:numId w:val="2"/>
        </w:numPr>
        <w:spacing w:after="40" w:line="290"/>
      </w:pPr>
      <w:r>
        <w:rPr>
          <w:rFonts w:ascii="Arial" w:cs="Arial" w:eastAsia="Yu Gothic" w:hAnsi="Arial"/>
          <w:sz w:val="20"/>
          <w:szCs w:val="20"/>
        </w:rPr>
        <w:t xml:space="preserve">Oracle はデータベースの利益を土台に、他人の建物と顧客の資金で AI 容量を建てて貸す事業へ重心を移しており、価値は「契約後に貸し直せる単価」と「OpenAI の支払能力」で決まる</w:t>
      </w:r>
    </w:p>
    <w:p>
      <w:pPr>
        <w:pStyle w:val="ListParagraph"/>
        <w:numPr>
          <w:ilvl w:val="0"/>
          <w:numId w:val="2"/>
        </w:numPr>
        <w:spacing w:after="40" w:line="290"/>
      </w:pPr>
      <w:r>
        <w:rPr>
          <w:rFonts w:ascii="Arial" w:cs="Arial" w:eastAsia="Yu Gothic" w:hAnsi="Arial"/>
          <w:sz w:val="20"/>
          <w:szCs w:val="20"/>
        </w:rPr>
        <w:t xml:space="preserve">増収の8割強は新設した AI 容量から生まれ、営業利益の9割弱はデータベース保守・SaaS・一般クラウドが稼ぐ二層構造である(FY27 推定)(FY27 推定)</w:t>
      </w:r>
    </w:p>
    <w:p>
      <w:pPr>
        <w:pStyle w:val="ListParagraph"/>
        <w:numPr>
          <w:ilvl w:val="0"/>
          <w:numId w:val="2"/>
        </w:numPr>
        <w:spacing w:after="40" w:line="290"/>
      </w:pPr>
      <w:r>
        <w:rPr>
          <w:rFonts w:ascii="Arial" w:cs="Arial" w:eastAsia="Yu Gothic" w:hAnsi="Arial"/>
          <w:sz w:val="20"/>
          <w:szCs w:val="20"/>
        </w:rPr>
        <w:t xml:space="preserve">「FY30 売上$2,250億・EPS$21」は、需要と資金の外部化が作動する一方、電力と資本が容量の立ち上がりを律速している</w:t>
      </w:r>
    </w:p>
    <w:p>
      <w:pPr>
        <w:pStyle w:val="ListParagraph"/>
        <w:numPr>
          <w:ilvl w:val="0"/>
          <w:numId w:val="2"/>
        </w:numPr>
        <w:spacing w:after="40" w:line="290"/>
      </w:pPr>
      <w:r>
        <w:rPr>
          <w:rFonts w:ascii="Arial" w:cs="Arial" w:eastAsia="Yu Gothic" w:hAnsi="Arial"/>
          <w:sz w:val="20"/>
          <w:szCs w:val="20"/>
        </w:rPr>
        <w:t xml:space="preserve">需要・更新・前払いの3ピースは数字で作動し、電力・OpenAI・資金の3ピースが判定を「条件付きのプラス」にとどめる</w:t>
      </w:r>
    </w:p>
    <w:p>
      <w:pPr>
        <w:pStyle w:val="ListParagraph"/>
        <w:numPr>
          <w:ilvl w:val="0"/>
          <w:numId w:val="2"/>
        </w:numPr>
        <w:spacing w:after="40" w:line="290"/>
      </w:pPr>
      <w:r>
        <w:rPr>
          <w:rFonts w:ascii="Arial" w:cs="Arial" w:eastAsia="Yu Gothic" w:hAnsi="Arial"/>
          <w:sz w:val="20"/>
          <w:szCs w:val="20"/>
        </w:rPr>
        <w:t xml:space="preserve">現在地は「建設・立上げ期」の中盤(契約済み容量の約25%が稼働)で、FCF が均衡する「稼働・回収期」への移行は FY29 と見込む</w:t>
      </w:r>
    </w:p>
    <w:p>
      <w:pPr>
        <w:pStyle w:val="ListParagraph"/>
        <w:numPr>
          <w:ilvl w:val="0"/>
          <w:numId w:val="2"/>
        </w:numPr>
        <w:spacing w:after="40" w:line="290"/>
      </w:pPr>
      <w:r>
        <w:rPr>
          <w:rFonts w:ascii="Arial" w:cs="Arial" w:eastAsia="Yu Gothic" w:hAnsi="Arial"/>
          <w:sz w:val="20"/>
          <w:szCs w:val="20"/>
        </w:rPr>
        <w:t xml:space="preserve">成立には5つの条件が必要で、最も弱いリンクは OpenAI の資金調達と電力の解放である</w:t>
      </w:r>
    </w:p>
    <w:p>
      <w:pPr>
        <w:pStyle w:val="ListParagraph"/>
        <w:numPr>
          <w:ilvl w:val="0"/>
          <w:numId w:val="2"/>
        </w:numPr>
        <w:spacing w:after="40" w:line="290"/>
      </w:pPr>
      <w:r>
        <w:rPr>
          <w:rFonts w:ascii="Arial" w:cs="Arial" w:eastAsia="Yu Gothic" w:hAnsi="Arial"/>
          <w:sz w:val="20"/>
          <w:szCs w:val="20"/>
        </w:rPr>
        <w:t xml:space="preserve">構造評価は B で、PEG・過大評価の検証・コモディティ性の3条件が C にとどまる</w:t>
      </w:r>
    </w:p>
    <w:p>
      <w:pPr>
        <w:pStyle w:val="ListParagraph"/>
        <w:numPr>
          <w:ilvl w:val="0"/>
          <w:numId w:val="2"/>
        </w:numPr>
        <w:spacing w:after="40" w:line="290"/>
      </w:pPr>
      <w:r>
        <w:rPr>
          <w:rFonts w:ascii="Arial" w:cs="Arial" w:eastAsia="Yu Gothic" w:hAnsi="Arial"/>
          <w:sz w:val="20"/>
          <w:szCs w:val="20"/>
        </w:rPr>
        <w:t xml:space="preserve">FY27 の許容 PEG は 0.80〜0.95 と置き、資本集約度と顧客集中が、ピア(1.2〜1.6)より低い倍率を正当化する</w:t>
      </w:r>
    </w:p>
    <w:p>
      <w:pPr>
        <w:pStyle w:val="ListParagraph"/>
        <w:numPr>
          <w:ilvl w:val="0"/>
          <w:numId w:val="2"/>
        </w:numPr>
        <w:spacing w:after="40" w:line="290"/>
      </w:pPr>
      <w:r>
        <w:rPr>
          <w:rFonts w:ascii="Arial" w:cs="Arial" w:eastAsia="Yu Gothic" w:hAnsi="Arial"/>
          <w:sz w:val="20"/>
          <w:szCs w:val="20"/>
        </w:rPr>
        <w:t xml:space="preserve">採用する事業エンジン経路の目標株価は $134(−5%)で、SOTP の $140 と整合し、2軸マトリクスは「監視」を示す</w:t>
      </w:r>
    </w:p>
    <w:p>
      <w:pPr>
        <w:pStyle w:val="ListParagraph"/>
        <w:numPr>
          <w:ilvl w:val="0"/>
          <w:numId w:val="2"/>
        </w:numPr>
        <w:spacing w:after="40" w:line="290"/>
      </w:pPr>
      <w:r>
        <w:rPr>
          <w:rFonts w:ascii="Arial" w:cs="Arial" w:eastAsia="Yu Gothic" w:hAnsi="Arial"/>
          <w:sz w:val="20"/>
          <w:szCs w:val="20"/>
        </w:rPr>
        <w:t xml:space="preserve">判断を動かす最初のカタリストは、2026年12月の Q2 FY27 決算で開示される AI 容量の粗利率・納入 MW・更新データである</w:t>
      </w:r>
    </w:p>
    <w:p>
      <w:pPr>
        <w:pStyle w:val="ListParagraph"/>
        <w:numPr>
          <w:ilvl w:val="0"/>
          <w:numId w:val="2"/>
        </w:numPr>
        <w:spacing w:after="40" w:line="290"/>
      </w:pPr>
      <w:r>
        <w:rPr>
          <w:rFonts w:ascii="Arial" w:cs="Arial" w:eastAsia="Yu Gothic" w:hAnsi="Arial"/>
          <w:sz w:val="20"/>
          <w:szCs w:val="20"/>
        </w:rPr>
        <w:t xml:space="preserve">残るリスクの核心は OpenAI と電力であり、$119 以下で分割エントリー、撤退は OpenAI の契約変更か格付けのジャンク転落とする</w:t>
      </w:r>
    </w:p>
    <w:p>
      <w:r>
        <w:br w:type="page"/>
      </w:r>
    </w:p>
    <w:p>
      <w:pPr>
        <w:pStyle w:val="Heading1"/>
      </w:pPr>
      <w:r>
        <w:rPr>
          <w:rFonts w:ascii="Arial" w:cs="Arial" w:eastAsia="Yu Gothic" w:hAnsi="Arial"/>
        </w:rPr>
        <w:t xml:space="preserve">1. エグゼクティブサマリ — 株価はAI容量の利益率30%を既に織り込み、事業本体の評価とほぼ一致するため「監視」とする(エッジなし)</w:t>
      </w:r>
    </w:p>
    <w:p>
      <w:pPr>
        <w:pBdr>
          <w:left w:val="single" w:color="2E5C8A" w:sz="24" w:space="8"/>
        </w:pBdr>
        <w:shd w:fill="F3F6FA" w:color="auto" w:val="clear"/>
        <w:spacing w:after="160" w:before="80" w:line="300"/>
        <w:ind w:left="160" w:right="120"/>
      </w:pPr>
      <w:r>
        <w:rPr>
          <w:rFonts w:ascii="Arial" w:cs="Arial" w:eastAsia="Yu Gothic" w:hAnsi="Arial"/>
          <w:b/>
          <w:bCs/>
          <w:sz w:val="20"/>
          <w:szCs w:val="20"/>
        </w:rPr>
        <w:t xml:space="preserve">最終判断: 監視</w:t>
      </w:r>
      <w:r>
        <w:rPr>
          <w:rFonts w:ascii="Arial" w:cs="Arial" w:eastAsia="Yu Gothic" w:hAnsi="Arial"/>
          <w:sz w:val="20"/>
          <w:szCs w:val="20"/>
        </w:rPr>
        <w:t xml:space="preserve"> / 構造評価: </w:t>
      </w:r>
      <w:r>
        <w:rPr>
          <w:rFonts w:ascii="Arial" w:cs="Arial" w:eastAsia="Yu Gothic" w:hAnsi="Arial"/>
          <w:b/>
          <w:bCs/>
          <w:sz w:val="20"/>
          <w:szCs w:val="20"/>
        </w:rPr>
        <w:t xml:space="preserve">B</w:t>
      </w:r>
      <w:r>
        <w:rPr>
          <w:rFonts w:ascii="Arial" w:cs="Arial" w:eastAsia="Yu Gothic" w:hAnsi="Arial"/>
          <w:sz w:val="20"/>
          <w:szCs w:val="20"/>
        </w:rPr>
        <w:t xml:space="preserve"> / 許容PEG(FY27): </w:t>
      </w:r>
      <w:r>
        <w:rPr>
          <w:rFonts w:ascii="Arial" w:cs="Arial" w:eastAsia="Yu Gothic" w:hAnsi="Arial"/>
          <w:b/>
          <w:bCs/>
          <w:sz w:val="20"/>
          <w:szCs w:val="20"/>
        </w:rPr>
        <w:t xml:space="preserve">0.80〜0.95</w:t>
      </w:r>
      <w:r>
        <w:rPr>
          <w:rFonts w:ascii="Arial" w:cs="Arial" w:eastAsia="Yu Gothic" w:hAnsi="Arial"/>
          <w:sz w:val="20"/>
          <w:szCs w:val="20"/>
        </w:rPr>
        <w:t xml:space="preserve"> / 市場との差分: </w:t>
      </w:r>
      <w:r>
        <w:rPr>
          <w:rFonts w:ascii="Arial" w:cs="Arial" w:eastAsia="Yu Gothic" w:hAnsi="Arial"/>
          <w:b/>
          <w:bCs/>
          <w:sz w:val="20"/>
          <w:szCs w:val="20"/>
        </w:rPr>
        <w:t xml:space="preserve">エッジなし</w:t>
      </w:r>
      <w:r>
        <w:rPr>
          <w:rFonts w:ascii="Arial" w:cs="Arial" w:eastAsia="Yu Gothic" w:hAnsi="Arial"/>
          <w:sz w:val="20"/>
          <w:szCs w:val="20"/>
        </w:rPr>
        <w:t xml:space="preserve">(上方の差分「経済的寿命」と下方の差分「電力による納期」が相殺)/ 優位の種類: 分析(更新データの読み)と情報(FERC 提出書類・不可抗力通知)だが、いずれも株価の織り込みとの差は小さい</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64"/>
        <w:gridCol w:w="5842"/>
      </w:tblGrid>
      <w:tr>
        <w:trPr>
          <w:cantSplit/>
          <w:tblHeader/>
        </w:trPr>
        <w:tc>
          <w:tcPr>
            <w:tcW w:type="dxa" w:w="406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項目</w:t>
            </w:r>
          </w:p>
        </w:tc>
        <w:tc>
          <w:tcPr>
            <w:tcW w:type="dxa" w:w="584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結論</w:t>
            </w:r>
          </w:p>
        </w:tc>
      </w:tr>
      <w:tr>
        <w:trPr>
          <w:cantSplit/>
          <w:tblHeader w:val="false"/>
        </w:trPr>
        <w:tc>
          <w:tcPr>
            <w:tcW w:type="dxa" w:w="40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芯(価値感度の上位)</w:t>
            </w:r>
          </w:p>
        </w:tc>
        <w:tc>
          <w:tcPr>
            <w:tcW w:type="dxa" w:w="58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①AI 容量の経済的寿命×更新単価(振れ幅 $35/株)②受注残の上位顧客 OpenAI の支払能力(不払い時 −$16〜−25/株)③AI 容量の利益率(振れ幅 $20/株)。コア事業の資本コスト(振れ幅 $35/株)も大きいが、市場全体の変数であり見積り優位を持てない</w:t>
            </w:r>
          </w:p>
        </w:tc>
      </w:tr>
      <w:tr>
        <w:trPr>
          <w:cantSplit/>
          <w:tblHeader w:val="false"/>
        </w:trPr>
        <w:tc>
          <w:tcPr>
            <w:tcW w:type="dxa" w:w="40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株価が織り込む前提(逆算)</w:t>
            </w:r>
          </w:p>
        </w:tc>
        <w:tc>
          <w:tcPr>
            <w:tcW w:type="dxa" w:w="58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コアを資本コスト 8.0% で評価すると、現株価は「AI 容量の EBIT 利益率 30%」(会社が示す粗利率 30〜35% と同水準)と「契約後に当初単価の約5割で3年貸せる」を織り込む</w:t>
            </w:r>
          </w:p>
        </w:tc>
      </w:tr>
      <w:tr>
        <w:trPr>
          <w:cantSplit/>
          <w:tblHeader w:val="false"/>
        </w:trPr>
        <w:tc>
          <w:tcPr>
            <w:tcW w:type="dxa" w:w="40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成長の値段</w:t>
            </w:r>
          </w:p>
        </w:tc>
        <w:tc>
          <w:tcPr>
            <w:tcW w:type="dxa" w:w="58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定常状態価値 $101/株(成長投資を止めた場合の稼ぐ力 $292億 ÷ 株主資本コスト 9.5%)。成長の値段は $41/株(時価総額の 29%)。価値の 82% は3年より先に生じる</w:t>
            </w:r>
          </w:p>
        </w:tc>
      </w:tr>
      <w:tr>
        <w:trPr>
          <w:cantSplit/>
          <w:tblHeader w:val="false"/>
        </w:trPr>
        <w:tc>
          <w:tcPr>
            <w:tcW w:type="dxa" w:w="40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非対称性</w:t>
            </w:r>
          </w:p>
        </w:tc>
        <w:tc>
          <w:tcPr>
            <w:tcW w:type="dxa" w:w="58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弱気 $84(−40%)/ 強気 $192(+36%)。確率加重の期待値 $132(−7%)。下値が限定された凸性はない</w:t>
            </w:r>
          </w:p>
        </w:tc>
      </w:tr>
      <w:tr>
        <w:trPr>
          <w:cantSplit/>
          <w:tblHeader w:val="false"/>
        </w:trPr>
        <w:tc>
          <w:tcPr>
            <w:tcW w:type="dxa" w:w="40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目標株価(採用: 事業エンジン経路)</w:t>
            </w:r>
          </w:p>
        </w:tc>
        <w:tc>
          <w:tcPr>
            <w:tcW w:type="dxa" w:w="58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$134</w:t>
            </w:r>
            <w:r>
              <w:rPr>
                <w:rFonts w:ascii="Arial" w:cs="Arial" w:eastAsia="Yu Gothic" w:hAnsi="Arial"/>
                <w:color w:val="222222"/>
                <w:sz w:val="16"/>
                <w:szCs w:val="16"/>
              </w:rPr>
              <w:t xml:space="preserve">(現在値 $141.40、乖離 </w:t>
            </w:r>
            <w:r>
              <w:rPr>
                <w:rFonts w:ascii="Arial" w:cs="Arial" w:eastAsia="Yu Gothic" w:hAnsi="Arial"/>
                <w:color w:val="222222"/>
                <w:sz w:val="16"/>
                <w:szCs w:val="16"/>
              </w:rPr>
              <w:t xml:space="preserve">−5%</w:t>
            </w:r>
            <w:r>
              <w:rPr>
                <w:rFonts w:ascii="Arial" w:cs="Arial" w:eastAsia="Yu Gothic" w:hAnsi="Arial"/>
                <w:color w:val="222222"/>
                <w:sz w:val="16"/>
                <w:szCs w:val="16"/>
              </w:rPr>
              <w:t xml:space="preserve">)。SOTP 交差確認 $140(弱気 $84 / 強気 $168)</w:t>
            </w:r>
          </w:p>
        </w:tc>
      </w:tr>
      <w:tr>
        <w:trPr>
          <w:cantSplit/>
          <w:tblHeader w:val="false"/>
        </w:trPr>
        <w:tc>
          <w:tcPr>
            <w:tcW w:type="dxa" w:w="40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他経路の目標株価</w:t>
            </w:r>
          </w:p>
        </w:tc>
        <w:tc>
          <w:tcPr>
            <w:tcW w:type="dxa" w:w="58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コンセンサス経路 $157(+11%)/ 会社シナリオ経路 $192(+36%)/ 弱気パス $84(−40%)</w:t>
            </w:r>
          </w:p>
        </w:tc>
      </w:tr>
      <w:tr>
        <w:trPr>
          <w:cantSplit/>
          <w:tblHeader w:val="false"/>
        </w:trPr>
        <w:tc>
          <w:tcPr>
            <w:tcW w:type="dxa" w:w="40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軸シナリオ宣言</w:t>
            </w:r>
          </w:p>
        </w:tc>
        <w:tc>
          <w:tcPr>
            <w:tcW w:type="dxa" w:w="58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経営陣シナリオ(FY30 売上 $2,250億・EPS $21)のうち需要・更新・前払い構造は作動しているが、電力と資本の制約で容量の立ち上がりが約1年遅れる「遅延付き実現」を軸に置く(FY30 事業実態EPS $15.5、会社目標の約8割)</w:t>
            </w:r>
          </w:p>
        </w:tc>
      </w:tr>
      <w:tr>
        <w:trPr>
          <w:cantSplit/>
          <w:tblHeader w:val="false"/>
        </w:trPr>
        <w:tc>
          <w:tcPr>
            <w:tcW w:type="dxa" w:w="40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エントリー価格帯</w:t>
            </w:r>
          </w:p>
        </w:tc>
        <w:tc>
          <w:tcPr>
            <w:tcW w:type="dxa" w:w="58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現在株価は </w:t>
            </w:r>
            <w:r>
              <w:rPr>
                <w:rFonts w:ascii="Arial" w:cs="Arial" w:eastAsia="Yu Gothic" w:hAnsi="Arial"/>
                <w:color w:val="222222"/>
                <w:sz w:val="16"/>
                <w:szCs w:val="16"/>
              </w:rPr>
              <w:t xml:space="preserve">見送り圏</w:t>
            </w:r>
            <w:r>
              <w:rPr>
                <w:rFonts w:ascii="Arial" w:cs="Arial" w:eastAsia="Yu Gothic" w:hAnsi="Arial"/>
                <w:color w:val="222222"/>
                <w:sz w:val="16"/>
                <w:szCs w:val="16"/>
              </w:rPr>
              <w:t xml:space="preserve">(分割エントリー圏の上限 Z2=$119 を上回る。「見送り圏」はエントリー価格帯の区分名で、最終判断の「見送り」とは別)。エッジがないため即エントリー圏は設けない(参考値 Z1=$94)</w:t>
            </w:r>
          </w:p>
        </w:tc>
      </w:tr>
      <w:tr>
        <w:trPr>
          <w:cantSplit/>
          <w:tblHeader w:val="false"/>
        </w:trPr>
        <w:tc>
          <w:tcPr>
            <w:tcW w:type="dxa" w:w="40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投資アクション</w:t>
            </w:r>
          </w:p>
        </w:tc>
        <w:tc>
          <w:tcPr>
            <w:tcW w:type="dxa" w:w="58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買付条件:</w:t>
            </w:r>
            <w:r>
              <w:rPr>
                <w:rFonts w:ascii="Arial" w:cs="Arial" w:eastAsia="Yu Gothic" w:hAnsi="Arial"/>
                <w:color w:val="222222"/>
                <w:sz w:val="16"/>
                <w:szCs w:val="16"/>
              </w:rPr>
              <w:t xml:space="preserve"> ①株価 $119 以下で3回に分けて買う、または ②判別KPI の K1(AI 容量の粗利率 ≥30%)と K3(GPU 更新プレミアム ≥+10% かつ更新率 ≥90%)が2四半期続けて強気側を満たしたら、経路をコンセンサス寄りに更新して再判定する(K2 の納入 ≥1GW/四半期が加われば、さらにコンセンサス経路へ寄せる)。</w:t>
            </w:r>
            <w:r>
              <w:rPr>
                <w:rFonts w:ascii="Arial" w:cs="Arial" w:eastAsia="Yu Gothic" w:hAnsi="Arial"/>
                <w:color w:val="222222"/>
                <w:sz w:val="16"/>
                <w:szCs w:val="16"/>
              </w:rPr>
              <w:t xml:space="preserve">監視KPI:</w:t>
            </w:r>
            <w:r>
              <w:rPr>
                <w:rFonts w:ascii="Arial" w:cs="Arial" w:eastAsia="Yu Gothic" w:hAnsi="Arial"/>
                <w:color w:val="222222"/>
                <w:sz w:val="16"/>
                <w:szCs w:val="16"/>
              </w:rPr>
              <w:t xml:space="preserve"> 7章 F4 の6指標。</w:t>
            </w:r>
            <w:r>
              <w:rPr>
                <w:rFonts w:ascii="Arial" w:cs="Arial" w:eastAsia="Yu Gothic" w:hAnsi="Arial"/>
                <w:color w:val="222222"/>
                <w:sz w:val="16"/>
                <w:szCs w:val="16"/>
              </w:rPr>
              <w:t xml:space="preserve">売却・撤退トリガー(7-2 で事前登録):</w:t>
            </w:r>
            <w:r>
              <w:rPr>
                <w:rFonts w:ascii="Arial" w:cs="Arial" w:eastAsia="Yu Gothic" w:hAnsi="Arial"/>
                <w:color w:val="222222"/>
                <w:sz w:val="16"/>
                <w:szCs w:val="16"/>
              </w:rPr>
              <w:t xml:space="preserve"> R3(OpenAI の資金調達失敗・支払遅延・契約の縮小や条件変更)、R5(投資不適格への転落、または $120 未満での大型増資)、あるいは R1(AI 容量の粗利率 25% 未満)と R4(更新プレミアムがマイナス、または更新率 70% 未満)の同時発生</w:t>
            </w:r>
          </w:p>
        </w:tc>
      </w:tr>
    </w:tbl>
    <w:p>
      <w:pPr>
        <w:spacing w:after="80"/>
      </w:pPr>
    </w:p>
    <w:p>
      <w:pPr>
        <w:spacing w:after="120" w:line="300"/>
      </w:pPr>
      <w:r>
        <w:rPr>
          <w:rFonts w:ascii="Arial" w:cs="Arial" w:eastAsia="Yu Gothic" w:hAnsi="Arial"/>
          <w:b/>
          <w:bCs/>
          <w:sz w:val="20"/>
          <w:szCs w:val="20"/>
        </w:rPr>
        <w:t xml:space="preserve">なぜ「監視」か(原因を2層たどる):</w:t>
      </w:r>
    </w:p>
    <w:p>
      <w:pPr>
        <w:pStyle w:val="ListParagraph"/>
        <w:numPr>
          <w:ilvl w:val="0"/>
          <w:numId w:val="3"/>
        </w:numPr>
        <w:spacing w:after="40" w:line="290"/>
      </w:pPr>
      <w:r>
        <w:rPr>
          <w:rFonts w:ascii="Arial" w:cs="Arial" w:eastAsia="Yu Gothic" w:hAnsi="Arial"/>
          <w:b/>
          <w:bCs/>
          <w:sz w:val="20"/>
          <w:szCs w:val="20"/>
        </w:rPr>
        <w:t xml:space="preserve">観測:</w:t>
      </w:r>
      <w:r>
        <w:rPr>
          <w:rFonts w:ascii="Arial" w:cs="Arial" w:eastAsia="Yu Gothic" w:hAnsi="Arial"/>
          <w:sz w:val="20"/>
          <w:szCs w:val="20"/>
        </w:rPr>
        <w:t xml:space="preserve"> 株価は 2025年9月の高値 $345.72 から約 −59% 下がり、非GAAP EPS の 17.5 倍(FY27 ガイダンス $8.10)にある。一見すると成長株として割安に見える。</w:t>
      </w:r>
    </w:p>
    <w:p>
      <w:pPr>
        <w:pStyle w:val="ListParagraph"/>
        <w:numPr>
          <w:ilvl w:val="0"/>
          <w:numId w:val="3"/>
        </w:numPr>
        <w:spacing w:after="40" w:line="290"/>
      </w:pPr>
      <w:r>
        <w:rPr>
          <w:rFonts w:ascii="Arial" w:cs="Arial" w:eastAsia="Yu Gothic" w:hAnsi="Arial"/>
          <w:b/>
          <w:bCs/>
          <w:sz w:val="20"/>
          <w:szCs w:val="20"/>
        </w:rPr>
        <w:t xml:space="preserve">なぜ1(なぜ安く見えるか):</w:t>
      </w:r>
      <w:r>
        <w:rPr>
          <w:rFonts w:ascii="Arial" w:cs="Arial" w:eastAsia="Yu Gothic" w:hAnsi="Arial"/>
          <w:sz w:val="20"/>
          <w:szCs w:val="20"/>
        </w:rPr>
        <w:t xml:space="preserve"> EPS の伸びの大半は AI 容量から生まれるが、AI 容量は 1GW あたり約 $250億の GPU 投資を要する。EPS が伸びるほど資本も要る、資本集約型の成長である。PER や PEG は、この資本の量を映さない。</w:t>
      </w:r>
    </w:p>
    <w:p>
      <w:pPr>
        <w:pStyle w:val="ListParagraph"/>
        <w:numPr>
          <w:ilvl w:val="0"/>
          <w:numId w:val="3"/>
        </w:numPr>
        <w:spacing w:after="40" w:line="290"/>
      </w:pPr>
      <w:r>
        <w:rPr>
          <w:rFonts w:ascii="Arial" w:cs="Arial" w:eastAsia="Yu Gothic" w:hAnsi="Arial"/>
          <w:b/>
          <w:bCs/>
          <w:sz w:val="20"/>
          <w:szCs w:val="20"/>
        </w:rPr>
        <w:t xml:space="preserve">なぜ2(資本を映すと何が見えるか):</w:t>
      </w:r>
      <w:r>
        <w:rPr>
          <w:rFonts w:ascii="Arial" w:cs="Arial" w:eastAsia="Yu Gothic" w:hAnsi="Arial"/>
          <w:sz w:val="20"/>
          <w:szCs w:val="20"/>
        </w:rPr>
        <w:t xml:space="preserve"> 1GW の案件は、Q3 FY26 の実績に近い粗利率(約32%、営業費控除後の EBIT 29%)で回ると税引後 IRR 約17%、資本コスト10%で正味現在価値(NPV)は 1GW あたり約 $59億にとどまる(会社例示の粗利率 35% なら IRR 約18%・NPV 約 $70億)。契約済みの約 10GW を足しても AI の価値は $1,370億。データベース保守を中心とするコア事業の $3,913億と合わせ、有利子負債等を引くと1株 $140 になる。これは現在株価とほぼ同じである。</w:t>
      </w:r>
    </w:p>
    <w:p>
      <w:pPr>
        <w:pStyle w:val="ListParagraph"/>
        <w:numPr>
          <w:ilvl w:val="0"/>
          <w:numId w:val="3"/>
        </w:numPr>
        <w:spacing w:after="40" w:line="290"/>
      </w:pPr>
      <w:r>
        <w:rPr>
          <w:rFonts w:ascii="Arial" w:cs="Arial" w:eastAsia="Yu Gothic" w:hAnsi="Arial"/>
          <w:b/>
          <w:bCs/>
          <w:sz w:val="20"/>
          <w:szCs w:val="20"/>
        </w:rPr>
        <w:t xml:space="preserve">含意:</w:t>
      </w:r>
      <w:r>
        <w:rPr>
          <w:rFonts w:ascii="Arial" w:cs="Arial" w:eastAsia="Yu Gothic" w:hAnsi="Arial"/>
          <w:sz w:val="20"/>
          <w:szCs w:val="20"/>
        </w:rPr>
        <w:t xml:space="preserve"> 市場は弱気な物語(「GPU は2〜3年で陳腐化」「AI の粗利率は14%」)を語っている。それでも株価そのものは会社の利益率の枠組み(30%)を織り込んでいる。物語と価格のずれは、すでに価格に表れていない。</w:t>
      </w:r>
    </w:p>
    <w:p>
      <w:pPr>
        <w:spacing w:after="120" w:line="300"/>
      </w:pPr>
      <w:r>
        <w:rPr>
          <w:rFonts w:ascii="Arial" w:cs="Arial" w:eastAsia="Yu Gothic" w:hAnsi="Arial"/>
          <w:b/>
          <w:bCs/>
          <w:sz w:val="20"/>
          <w:szCs w:val="20"/>
        </w:rPr>
        <w:t xml:space="preserve">判断を変えるトリガー:</w:t>
      </w:r>
      <w:r>
        <w:rPr>
          <w:rFonts w:ascii="Arial" w:cs="Arial" w:eastAsia="Yu Gothic" w:hAnsi="Arial"/>
          <w:sz w:val="20"/>
          <w:szCs w:val="20"/>
        </w:rPr>
        <w:t xml:space="preserve"> 上方には、AI 容量の粗利率が 30% 以上で開示され、かつ更新プレミアムが続く場合がある。この場合、残存価格比を 0.9 に上げると1株価値は $155〜160 になり、「買い検討」へ移る。下方には、OpenAI の資金調達難と契約変更の報道がある。この場合、1株価値は $115〜123 に下がり、「見送り」に移る。</w:t>
      </w:r>
    </w:p>
    <w:p>
      <w:r>
        <w:br w:type="page"/>
      </w:r>
    </w:p>
    <w:p>
      <w:pPr>
        <w:pStyle w:val="Heading1"/>
      </w:pPr>
      <w:r>
        <w:rPr>
          <w:rFonts w:ascii="Arial" w:cs="Arial" w:eastAsia="Yu Gothic" w:hAnsi="Arial"/>
        </w:rPr>
        <w:t xml:space="preserve">2. 事業本体 — Oracle はデータベースの利益を土台に、他人の建物と顧客の資金で AI 容量を建てて貸す事業へ重心を移しており、価値は「契約後に貸し直せる単価」と「OpenAI の支払能力」で決まる</w:t>
      </w:r>
    </w:p>
    <w:p>
      <w:pPr>
        <w:pStyle w:val="Heading2"/>
      </w:pPr>
      <w:r>
        <w:rPr>
          <w:rFonts w:ascii="Arial" w:cs="Arial" w:eastAsia="Yu Gothic" w:hAnsi="Arial"/>
        </w:rPr>
        <w:t xml:space="preserve">2-1 事業の本質と市場との差分</w:t>
      </w:r>
    </w:p>
    <w:p>
      <w:pPr>
        <w:spacing w:after="120" w:line="300"/>
      </w:pPr>
      <w:r>
        <w:rPr>
          <w:rFonts w:ascii="Arial" w:cs="Arial" w:eastAsia="Yu Gothic" w:hAnsi="Arial"/>
          <w:b/>
          <w:bCs/>
          <w:sz w:val="20"/>
          <w:szCs w:val="20"/>
        </w:rPr>
        <w:t xml:space="preserve">事業の本質(3文):</w:t>
      </w:r>
      <w:r>
        <w:rPr>
          <w:rFonts w:ascii="Arial" w:cs="Arial" w:eastAsia="Yu Gothic" w:hAnsi="Arial"/>
          <w:sz w:val="20"/>
          <w:szCs w:val="20"/>
        </w:rPr>
        <w:t xml:space="preserve"> Oracle は、40年分のデータベース顧客基盤が生む年約 $210億(税引後、株式報酬控除後)の保守・SaaS・一般クラウドの利益を土台にしている。その上で、AI 研究所向けの GPU 容量を「開発業者が建てた建物の 15〜19年リース」と「顧客の前払い・持込 GPU($750億)」で建て、5〜6年契約で貸す容量賃貸業へと、FY26〜FY29 の4年間で事業の重心を移している。1株価値を決めるのは次の2点である。</w:t>
      </w:r>
    </w:p>
    <w:p>
      <w:pPr>
        <w:pStyle w:val="ListParagraph"/>
        <w:numPr>
          <w:ilvl w:val="0"/>
          <w:numId w:val="3"/>
        </w:numPr>
        <w:spacing w:after="40" w:line="290"/>
      </w:pPr>
      <w:r>
        <w:rPr>
          <w:rFonts w:ascii="Arial" w:cs="Arial" w:eastAsia="Yu Gothic" w:hAnsi="Arial"/>
          <w:sz w:val="20"/>
          <w:szCs w:val="20"/>
        </w:rPr>
        <w:t xml:space="preserve">契約が終わった容量をいくらで貸し直せるか(経済的寿命×更新単価)</w:t>
      </w:r>
    </w:p>
    <w:p>
      <w:pPr>
        <w:pStyle w:val="ListParagraph"/>
        <w:numPr>
          <w:ilvl w:val="0"/>
          <w:numId w:val="3"/>
        </w:numPr>
        <w:spacing w:after="40" w:line="290"/>
      </w:pPr>
      <w:r>
        <w:rPr>
          <w:rFonts w:ascii="Arial" w:cs="Arial" w:eastAsia="Yu Gothic" w:hAnsi="Arial"/>
          <w:sz w:val="20"/>
          <w:szCs w:val="20"/>
        </w:rPr>
        <w:t xml:space="preserve">受注残の約45%を占める OpenAI が資金を集め続けられるか</w:t>
      </w:r>
    </w:p>
    <w:p>
      <w:pPr>
        <w:spacing w:after="120" w:line="300"/>
      </w:pPr>
      <w:r>
        <w:rPr>
          <w:rFonts w:ascii="Arial" w:cs="Arial" w:eastAsia="Yu Gothic" w:hAnsi="Arial"/>
          <w:sz w:val="20"/>
          <w:szCs w:val="20"/>
        </w:rPr>
        <w:t xml:space="preserve">一方、電力の解放時期が動かすのは1株価値ではなく EPS の時間軸である。</w:t>
      </w:r>
    </w:p>
    <w:p>
      <w:pPr>
        <w:spacing w:after="120" w:line="300"/>
      </w:pPr>
      <w:r>
        <w:rPr>
          <w:rFonts w:ascii="Arial" w:cs="Arial" w:eastAsia="Yu Gothic" w:hAnsi="Arial"/>
          <w:sz w:val="20"/>
          <w:szCs w:val="20"/>
        </w:rPr>
        <w:t xml:space="preserve">(固有性テスト: 社名を CoreWeave に置き換えると「データベース顧客基盤が営業利益の9割弱を稼ぐ」が成り立たない。Microsoft に置き換えると「受注残の約半分が1社」「投資不適格の一段上の格付けで借入」が成り立たない。)</w:t>
      </w:r>
    </w:p>
    <w:p>
      <w:pPr>
        <w:spacing w:after="120" w:line="300"/>
      </w:pPr>
      <w:r>
        <w:rPr>
          <w:rFonts w:ascii="Arial" w:cs="Arial" w:eastAsia="Yu Gothic" w:hAnsi="Arial"/>
          <w:b/>
          <w:bCs/>
          <w:sz w:val="20"/>
          <w:szCs w:val="20"/>
        </w:rPr>
        <w:t xml:space="preserve">市場との差分の宣言(「市場は X を見て Y と考えている。構造上は Z であり、時期に KPI が閾値を示せば確認できる」の書式):</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6"/>
        <w:gridCol w:w="1830"/>
        <w:gridCol w:w="1830"/>
        <w:gridCol w:w="1830"/>
        <w:gridCol w:w="1830"/>
        <w:gridCol w:w="1830"/>
      </w:tblGrid>
      <w:tr>
        <w:trPr>
          <w:cantSplit/>
          <w:tblHeader/>
        </w:trPr>
        <w:tc>
          <w:tcPr>
            <w:tcW w:type="dxa" w:w="75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候補</w:t>
            </w:r>
          </w:p>
        </w:tc>
        <w:tc>
          <w:tcPr>
            <w:tcW w:type="dxa" w:w="183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市場の仮説(出典)</w:t>
            </w:r>
          </w:p>
        </w:tc>
        <w:tc>
          <w:tcPr>
            <w:tcW w:type="dxa" w:w="183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構造上の見方</w:t>
            </w:r>
          </w:p>
        </w:tc>
        <w:tc>
          <w:tcPr>
            <w:tcW w:type="dxa" w:w="183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確認 KPI・閾値・時期</w:t>
            </w:r>
          </w:p>
        </w:tc>
        <w:tc>
          <w:tcPr>
            <w:tcW w:type="dxa" w:w="183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差が解消したときの1株価値</w:t>
            </w:r>
          </w:p>
        </w:tc>
        <w:tc>
          <w:tcPr>
            <w:tcW w:type="dxa" w:w="183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株価との差分</w:t>
            </w:r>
          </w:p>
        </w:tc>
      </w:tr>
      <w:tr>
        <w:trPr>
          <w:cantSplit/>
          <w:tblHeader w:val="false"/>
        </w:trPr>
        <w:tc>
          <w:tcPr>
            <w:tcW w:type="dxa" w:w="75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A(上方): 経済的寿命</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GPU は2〜3年で陳腐化し、6年償却は利益を過大にする(Michael Burry、2025-11。2028年までに Oracle の利益は 26.9% 過大と試算)</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更新時期を迎えた GPU(過半が購入から4年超)の全量が、従来契約比 +20% で更新または再販された(Q1 FY27。+20% は更新と再販の合算)。GPU 稼働率は 97.9%、H100 の貸出単価指数は 2025年12月比で約 +40%。現在の需給では経済的寿命は会計耐用年数(6年)以上である</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GPU 更新プレミアム ≥0% かつ更新率 ≥85%(毎四半期、次回 2026年12月の Q2 FY27)</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残存価格比 0.9・3年で $155(ベース $140)</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小さい:</w:t>
            </w:r>
            <w:r>
              <w:rPr>
                <w:rFonts w:ascii="Arial" w:cs="Arial" w:eastAsia="Yu Gothic" w:hAnsi="Arial"/>
                <w:color w:val="222222"/>
                <w:sz w:val="16"/>
                <w:szCs w:val="16"/>
              </w:rPr>
              <w:t xml:space="preserve"> 株価の逆算は残存価格比 0.54(3年)を既に織り込み、ベース前提(0.6・2年)と差がない</w:t>
            </w:r>
          </w:p>
        </w:tc>
      </w:tr>
      <w:tr>
        <w:trPr>
          <w:cantSplit/>
          <w:tblHeader w:val="false"/>
        </w:trPr>
        <w:tc>
          <w:tcPr>
            <w:tcW w:type="dxa" w:w="75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B(下方): 電力と納期</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コンセンサス売上 FY29 $1,832億(TickFlow 17名)。四半期 1GW 前後の納入が続く前提</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律速は電力である。Q1 の納入 850MW は会社見込み(約1GW)を下回った。ニューメキシコ拠点では不可抗力通知が出され、ガス管の稼働は 2027-02 に延期された。事業エンジン経路では FY29 売上を $1,665億(−9%)と置く</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四半期納入 ≥1GW、ガス管(Green Chile)の 2027-02-01 稼働</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1株価値(DCF)への影響は −$3 と小さいが、FY29 EPS は 13.9 対 15.0、目標株価は $134 対 $157 になる</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小さい:</w:t>
            </w:r>
            <w:r>
              <w:rPr>
                <w:rFonts w:ascii="Arial" w:cs="Arial" w:eastAsia="Yu Gothic" w:hAnsi="Arial"/>
                <w:color w:val="222222"/>
                <w:sz w:val="16"/>
                <w:szCs w:val="16"/>
              </w:rPr>
              <w:t xml:space="preserve"> 株価はコンセンサス経路の価値($157)を織り込んでいない</w:t>
            </w:r>
          </w:p>
        </w:tc>
      </w:tr>
    </w:tbl>
    <w:p>
      <w:pPr>
        <w:spacing w:after="80"/>
      </w:pPr>
    </w:p>
    <w:p>
      <w:pPr>
        <w:spacing w:after="120" w:line="300"/>
      </w:pPr>
      <w:r>
        <w:rPr>
          <w:rFonts w:ascii="Arial" w:cs="Arial" w:eastAsia="Yu Gothic" w:hAnsi="Arial"/>
          <w:b/>
          <w:bCs/>
          <w:sz w:val="20"/>
          <w:szCs w:val="20"/>
        </w:rPr>
        <w:t xml:space="preserve">結論:</w:t>
      </w:r>
      <w:r>
        <w:rPr>
          <w:rFonts w:ascii="Arial" w:cs="Arial" w:eastAsia="Yu Gothic" w:hAnsi="Arial"/>
          <w:sz w:val="20"/>
          <w:szCs w:val="20"/>
        </w:rPr>
        <w:t xml:space="preserve"> 2つの差分は方向が逆で、株価に対しては相殺する。したがって、優位の種類を伴う差分は「なし(エッジなし)」と宣言する。</w:t>
      </w:r>
    </w:p>
    <w:p>
      <w:pPr>
        <w:pStyle w:val="ListParagraph"/>
        <w:numPr>
          <w:ilvl w:val="0"/>
          <w:numId w:val="3"/>
        </w:numPr>
        <w:spacing w:after="40" w:line="290"/>
      </w:pPr>
      <w:r>
        <w:rPr>
          <w:rFonts w:ascii="Arial" w:cs="Arial" w:eastAsia="Yu Gothic" w:hAnsi="Arial"/>
          <w:sz w:val="20"/>
          <w:szCs w:val="20"/>
        </w:rPr>
        <w:t xml:space="preserve">差分 A の優位は分析(更新データを経済的寿命の証拠として読む)にある。</w:t>
      </w:r>
    </w:p>
    <w:p>
      <w:pPr>
        <w:pStyle w:val="ListParagraph"/>
        <w:numPr>
          <w:ilvl w:val="0"/>
          <w:numId w:val="3"/>
        </w:numPr>
        <w:spacing w:after="40" w:line="290"/>
      </w:pPr>
      <w:r>
        <w:rPr>
          <w:rFonts w:ascii="Arial" w:cs="Arial" w:eastAsia="Yu Gothic" w:hAnsi="Arial"/>
          <w:sz w:val="20"/>
          <w:szCs w:val="20"/>
        </w:rPr>
        <w:t xml:space="preserve">差分 B の優位は情報(FERC への提出書類、不可抗力通知、ガスのトラック輸送の報道)にある。</w:t>
      </w:r>
    </w:p>
    <w:p>
      <w:pPr>
        <w:spacing w:after="120" w:line="300"/>
      </w:pPr>
      <w:r>
        <w:rPr>
          <w:rFonts w:ascii="Arial" w:cs="Arial" w:eastAsia="Yu Gothic" w:hAnsi="Arial"/>
          <w:sz w:val="20"/>
          <w:szCs w:val="20"/>
        </w:rPr>
        <w:t xml:space="preserve">いずれも、株価の逆算値との差が小さい。</w:t>
      </w:r>
    </w:p>
    <w:p>
      <w:pPr>
        <w:spacing w:after="120" w:line="300"/>
      </w:pPr>
      <w:r>
        <w:rPr>
          <w:rFonts w:ascii="Arial" w:cs="Arial" w:eastAsia="Yu Gothic" w:hAnsi="Arial"/>
          <w:b/>
          <w:bCs/>
          <w:sz w:val="20"/>
          <w:szCs w:val="20"/>
        </w:rPr>
        <w:t xml:space="preserve">成長の値段:</w:t>
      </w:r>
      <w:r>
        <w:rPr>
          <w:rFonts w:ascii="Arial" w:cs="Arial" w:eastAsia="Yu Gothic" w:hAnsi="Arial"/>
          <w:sz w:val="20"/>
          <w:szCs w:val="20"/>
        </w:rPr>
        <w:t xml:space="preserve"> 定常状態価値は $101/株、成長の値段は $41/株(時価総額 $4,313億の 29%)である。市場は成長を「ほぼ無料」で売っているわけではなく、AI 容量の契約分を中心に妥当な値段を付けている(10章)。</w:t>
      </w:r>
    </w:p>
    <w:p>
      <w:pPr>
        <w:pStyle w:val="Heading2"/>
      </w:pPr>
      <w:r>
        <w:rPr>
          <w:rFonts w:ascii="Arial" w:cs="Arial" w:eastAsia="Yu Gothic" w:hAnsi="Arial"/>
        </w:rPr>
        <w:t xml:space="preserve">2-1b 芯: 価値感度分析と予測可能性×感度マトリクス</w:t>
      </w:r>
    </w:p>
    <w:p>
      <w:pPr>
        <w:spacing w:after="120" w:line="300"/>
      </w:pPr>
      <w:r>
        <w:rPr>
          <w:rFonts w:ascii="Arial" w:cs="Arial" w:eastAsia="Yu Gothic" w:hAnsi="Arial"/>
          <w:sz w:val="20"/>
          <w:szCs w:val="20"/>
        </w:rPr>
        <w:t xml:space="preserve">SOTP(コア事業の DCF+AI 容量の GW 別 NPV)をベース($139.6/株)とし、各変数を現実的な幅で動かした結果が参考図1である。</w:t>
      </w:r>
    </w:p>
    <w:p>
      <w:pPr>
        <w:keepNext/>
        <w:spacing w:after="40" w:before="80"/>
        <w:jc w:val="center"/>
      </w:pPr>
      <w:r>
        <w:drawing>
          <wp:inline distT="0" distB="0" distL="0" distR="0">
            <wp:extent cx="57912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91200" cy="4286250"/>
                    </a:xfrm>
                    <a:prstGeom prst="rect">
                      <a:avLst/>
                    </a:prstGeom>
                  </pic:spPr>
                </pic:pic>
              </a:graphicData>
            </a:graphic>
          </wp:inline>
        </w:drawing>
      </w:r>
    </w:p>
    <w:p>
      <w:pPr>
        <w:spacing w:after="160"/>
        <w:jc w:val="center"/>
      </w:pPr>
      <w:r>
        <w:rPr>
          <w:rFonts w:ascii="Arial" w:cs="Arial" w:eastAsia="Yu Gothic" w:hAnsi="Arial"/>
          <w:i/>
          <w:iCs/>
          <w:color w:val="5A6B7D"/>
          <w:sz w:val="17"/>
          <w:szCs w:val="17"/>
        </w:rPr>
        <w:t xml:space="preserve">参考図1 価値感度分析(トルネード図)— 芯の特定。ベース 1株価値 $139.6 から各変数を現実的な幅で動かした 1株価値(出典: 本報告書の SOTP モデル、Appendix B)</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4"/>
        <w:gridCol w:w="2145"/>
        <w:gridCol w:w="1715"/>
        <w:gridCol w:w="554"/>
        <w:gridCol w:w="554"/>
        <w:gridCol w:w="2192"/>
        <w:gridCol w:w="2192"/>
      </w:tblGrid>
      <w:tr>
        <w:trPr>
          <w:cantSplit/>
          <w:tblHeader/>
        </w:trPr>
        <w:tc>
          <w:tcPr>
            <w:tcW w:type="dxa" w:w="55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順位</w:t>
            </w:r>
          </w:p>
        </w:tc>
        <w:tc>
          <w:tcPr>
            <w:tcW w:type="dxa" w:w="214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変数</w:t>
            </w:r>
          </w:p>
        </w:tc>
        <w:tc>
          <w:tcPr>
            <w:tcW w:type="dxa" w:w="171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動かした幅</w:t>
            </w:r>
          </w:p>
        </w:tc>
        <w:tc>
          <w:tcPr>
            <w:tcW w:type="dxa" w:w="55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1株価値</w:t>
            </w:r>
          </w:p>
        </w:tc>
        <w:tc>
          <w:tcPr>
            <w:tcW w:type="dxa" w:w="55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振れ幅</w:t>
            </w:r>
          </w:p>
        </w:tc>
        <w:tc>
          <w:tcPr>
            <w:tcW w:type="dxa" w:w="219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予測可能性</w:t>
            </w:r>
          </w:p>
        </w:tc>
        <w:tc>
          <w:tcPr>
            <w:tcW w:type="dxa" w:w="219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マトリクス上の位置</w:t>
            </w:r>
          </w:p>
        </w:tc>
      </w:tr>
      <w:tr>
        <w:trPr>
          <w:cantSplit/>
          <w:tblHeader w:val="false"/>
        </w:trPr>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w:t>
            </w:r>
          </w:p>
        </w:tc>
        <w:tc>
          <w:tcPr>
            <w:tcW w:type="dxa" w:w="21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経済的寿命×更新単価(契約後の残存価格比と年数)</w:t>
            </w:r>
          </w:p>
        </w:tc>
        <w:tc>
          <w:tcPr>
            <w:tcW w:type="dxa" w:w="171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0(残存なし・空室費あり)〜0.9(3年)</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$121〜156</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$35</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低〜中(現在の需給では証拠あり、2031年以降は不明)</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芯</w:t>
            </w:r>
            <w:r>
              <w:rPr>
                <w:rFonts w:ascii="Arial" w:cs="Arial" w:eastAsia="Yu Gothic" w:hAnsi="Arial"/>
                <w:color w:val="222222"/>
                <w:sz w:val="14"/>
                <w:szCs w:val="14"/>
              </w:rPr>
              <w:t xml:space="preserve">(感度高×予測可能性中)。先行指標で早く知る</w:t>
            </w:r>
          </w:p>
        </w:tc>
      </w:tr>
      <w:tr>
        <w:trPr>
          <w:cantSplit/>
          <w:tblHeader w:val="false"/>
        </w:trPr>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w:t>
            </w:r>
          </w:p>
        </w:tc>
        <w:tc>
          <w:tcPr>
            <w:tcW w:type="dxa" w:w="21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コア事業の資本コスト</w:t>
            </w:r>
          </w:p>
        </w:tc>
        <w:tc>
          <w:tcPr>
            <w:tcW w:type="dxa" w:w="171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9.5%〜7.75%</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$111〜146</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$35</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低(市場全体の金利・リスク選好)</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感度高×予測可能性低。見積り優位を持てないため、ポジションの大きさで管理する</w:t>
            </w:r>
          </w:p>
        </w:tc>
      </w:tr>
      <w:tr>
        <w:trPr>
          <w:cantSplit/>
          <w:tblHeader w:val="false"/>
        </w:trPr>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w:t>
            </w:r>
          </w:p>
        </w:tc>
        <w:tc>
          <w:tcPr>
            <w:tcW w:type="dxa" w:w="21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受注残上位顧客(OpenAI)の支払能力</w:t>
            </w:r>
          </w:p>
        </w:tc>
        <w:tc>
          <w:tcPr>
            <w:tcW w:type="dxa" w:w="171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不払い(40%で再販・空白2年)〜全額履行</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$115〜140</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$25</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低〜中(資金調達に依存)</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芯</w:t>
            </w:r>
            <w:r>
              <w:rPr>
                <w:rFonts w:ascii="Arial" w:cs="Arial" w:eastAsia="Yu Gothic" w:hAnsi="Arial"/>
                <w:color w:val="222222"/>
                <w:sz w:val="14"/>
                <w:szCs w:val="14"/>
              </w:rPr>
              <w:t xml:space="preserve">(感度高×予測可能性低)。シナリオ確率で扱う</w:t>
            </w:r>
          </w:p>
        </w:tc>
      </w:tr>
      <w:tr>
        <w:trPr>
          <w:cantSplit/>
          <w:tblHeader w:val="false"/>
        </w:trPr>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w:t>
            </w:r>
          </w:p>
        </w:tc>
        <w:tc>
          <w:tcPr>
            <w:tcW w:type="dxa" w:w="21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AI 容量の EBIT 利益率</w:t>
            </w:r>
          </w:p>
        </w:tc>
        <w:tc>
          <w:tcPr>
            <w:tcW w:type="dxa" w:w="171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18%〜35%</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$127〜147</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$20</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中(会社開示 32%、報道 14%)</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芯</w:t>
            </w:r>
            <w:r>
              <w:rPr>
                <w:rFonts w:ascii="Arial" w:cs="Arial" w:eastAsia="Yu Gothic" w:hAnsi="Arial"/>
                <w:color w:val="222222"/>
                <w:sz w:val="14"/>
                <w:szCs w:val="14"/>
              </w:rPr>
              <w:t xml:space="preserve">(感度中×予測可能性中)</w:t>
            </w:r>
          </w:p>
        </w:tc>
      </w:tr>
      <w:tr>
        <w:trPr>
          <w:cantSplit/>
          <w:tblHeader w:val="false"/>
        </w:trPr>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5</w:t>
            </w:r>
          </w:p>
        </w:tc>
        <w:tc>
          <w:tcPr>
            <w:tcW w:type="dxa" w:w="21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コア事業の成長率(5年)</w:t>
            </w:r>
          </w:p>
        </w:tc>
        <w:tc>
          <w:tcPr>
            <w:tcW w:type="dxa" w:w="171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4%〜8%</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$133〜147</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$14</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高</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確認のみ</w:t>
            </w:r>
          </w:p>
        </w:tc>
      </w:tr>
      <w:tr>
        <w:trPr>
          <w:cantSplit/>
          <w:tblHeader w:val="false"/>
        </w:trPr>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6</w:t>
            </w:r>
          </w:p>
        </w:tc>
        <w:tc>
          <w:tcPr>
            <w:tcW w:type="dxa" w:w="21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GW あたり売上(単価)</w:t>
            </w:r>
          </w:p>
        </w:tc>
        <w:tc>
          <w:tcPr>
            <w:tcW w:type="dxa" w:w="171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$9B〜$12B/GW・年</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$135〜148</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$13</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中</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確認のみ</w:t>
            </w:r>
          </w:p>
        </w:tc>
      </w:tr>
      <w:tr>
        <w:trPr>
          <w:cantSplit/>
          <w:tblHeader w:val="false"/>
        </w:trPr>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7</w:t>
            </w:r>
          </w:p>
        </w:tc>
        <w:tc>
          <w:tcPr>
            <w:tcW w:type="dxa" w:w="21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AI の資本コスト</w:t>
            </w:r>
          </w:p>
        </w:tc>
        <w:tc>
          <w:tcPr>
            <w:tcW w:type="dxa" w:w="171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11.5%〜8.5%</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$135〜145</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$10</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低</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深追いしない</w:t>
            </w:r>
          </w:p>
        </w:tc>
      </w:tr>
      <w:tr>
        <w:trPr>
          <w:cantSplit/>
          <w:tblHeader w:val="false"/>
        </w:trPr>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8</w:t>
            </w:r>
          </w:p>
        </w:tc>
        <w:tc>
          <w:tcPr>
            <w:tcW w:type="dxa" w:w="21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未契約の成長(GW/年)</w:t>
            </w:r>
          </w:p>
        </w:tc>
        <w:tc>
          <w:tcPr>
            <w:tcW w:type="dxa" w:w="171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0〜3GW</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$136〜143</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$6</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低</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深追いしない</w:t>
            </w:r>
          </w:p>
        </w:tc>
      </w:tr>
      <w:tr>
        <w:trPr>
          <w:cantSplit/>
          <w:tblHeader w:val="false"/>
        </w:trPr>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9</w:t>
            </w:r>
          </w:p>
        </w:tc>
        <w:tc>
          <w:tcPr>
            <w:tcW w:type="dxa" w:w="21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電力・建屋の制約の解放時期</w:t>
            </w:r>
          </w:p>
        </w:tc>
        <w:tc>
          <w:tcPr>
            <w:tcW w:type="dxa" w:w="171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1年遅延〜計画どおり</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$136〜140</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中</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DCF 感度は小。EPS の時間軸とカタリストとしては重要</w:t>
            </w:r>
          </w:p>
        </w:tc>
      </w:tr>
      <w:tr>
        <w:trPr>
          <w:cantSplit/>
          <w:tblHeader w:val="false"/>
        </w:trPr>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10</w:t>
            </w:r>
          </w:p>
        </w:tc>
        <w:tc>
          <w:tcPr>
            <w:tcW w:type="dxa" w:w="21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GW あたり Oracle 負担 capex</w:t>
            </w:r>
          </w:p>
        </w:tc>
        <w:tc>
          <w:tcPr>
            <w:tcW w:type="dxa" w:w="171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$28B〜$20B</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$139〜141</w:t>
            </w:r>
          </w:p>
        </w:tc>
        <w:tc>
          <w:tcPr>
            <w:tcW w:type="dxa" w:w="5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中</w:t>
            </w:r>
          </w:p>
        </w:tc>
        <w:tc>
          <w:tcPr>
            <w:tcW w:type="dxa" w:w="21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深追いしない</w:t>
            </w:r>
          </w:p>
        </w:tc>
      </w:tr>
    </w:tbl>
    <w:p>
      <w:pPr>
        <w:spacing w:after="80"/>
      </w:pPr>
    </w:p>
    <w:p>
      <w:pPr>
        <w:spacing w:after="120" w:line="300"/>
      </w:pPr>
      <w:r>
        <w:rPr>
          <w:rFonts w:ascii="Arial" w:cs="Arial" w:eastAsia="Yu Gothic" w:hAnsi="Arial"/>
          <w:b/>
          <w:bCs/>
          <w:sz w:val="20"/>
          <w:szCs w:val="20"/>
        </w:rPr>
        <w:t xml:space="preserve">芯(上位3変数の確定):</w:t>
      </w:r>
      <w:r>
        <w:rPr>
          <w:rFonts w:ascii="Arial" w:cs="Arial" w:eastAsia="Yu Gothic" w:hAnsi="Arial"/>
          <w:sz w:val="20"/>
          <w:szCs w:val="20"/>
        </w:rPr>
        <w:t xml:space="preserve"> ①経済的寿命×更新単価、②OpenAI の支払能力、③AI 容量の利益率。コア事業の資本コストは感度では2位だが、予測可能性が低く市場より正確に見積もる根拠がない。そのため芯からは外し、ポジション管理で扱う。</w:t>
      </w:r>
    </w:p>
    <w:p>
      <w:pPr>
        <w:spacing w:after="120" w:line="300"/>
      </w:pPr>
      <w:r>
        <w:rPr>
          <w:rFonts w:ascii="Arial" w:cs="Arial" w:eastAsia="Yu Gothic" w:hAnsi="Arial"/>
          <w:b/>
          <w:bCs/>
          <w:sz w:val="20"/>
          <w:szCs w:val="20"/>
        </w:rPr>
        <w:t xml:space="preserve">2周目(芯への集中)の結果:</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9"/>
        <w:gridCol w:w="1883"/>
        <w:gridCol w:w="1555"/>
        <w:gridCol w:w="1883"/>
        <w:gridCol w:w="1883"/>
        <w:gridCol w:w="1883"/>
      </w:tblGrid>
      <w:tr>
        <w:trPr>
          <w:cantSplit/>
          <w:tblHeader/>
        </w:trPr>
        <w:tc>
          <w:tcPr>
            <w:tcW w:type="dxa" w:w="81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芯</w:t>
            </w:r>
          </w:p>
        </w:tc>
        <w:tc>
          <w:tcPr>
            <w:tcW w:type="dxa" w:w="188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現在値</w:t>
            </w:r>
          </w:p>
        </w:tc>
        <w:tc>
          <w:tcPr>
            <w:tcW w:type="dxa" w:w="155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市場が暗に置く値(逆算)</w:t>
            </w:r>
          </w:p>
        </w:tc>
        <w:tc>
          <w:tcPr>
            <w:tcW w:type="dxa" w:w="188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自分の見積り(根拠)</w:t>
            </w:r>
          </w:p>
        </w:tc>
        <w:tc>
          <w:tcPr>
            <w:tcW w:type="dxa" w:w="188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優位の種類</w:t>
            </w:r>
          </w:p>
        </w:tc>
        <w:tc>
          <w:tcPr>
            <w:tcW w:type="dxa" w:w="188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外れたときの影響と先行指標</w:t>
            </w:r>
          </w:p>
        </w:tc>
      </w:tr>
      <w:tr>
        <w:trPr>
          <w:cantSplit/>
          <w:tblHeader w:val="false"/>
        </w:trPr>
        <w:tc>
          <w:tcPr>
            <w:tcW w:type="dxa" w:w="81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①経済的寿命×更新単価</w:t>
            </w:r>
          </w:p>
        </w:tc>
        <w:tc>
          <w:tcPr>
            <w:tcW w:type="dxa" w:w="18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更新期の GPU(過半が4年超)の全量が従来契約比 +20% で更新・再販(Q1 FY27、更新と再販の合算)。Q4 FY26 は 59顧客・3.5万 GPU のうち、顧客の 49% が GPU の 92% を更新</w:t>
            </w:r>
          </w:p>
        </w:tc>
        <w:tc>
          <w:tcPr>
            <w:tcW w:type="dxa" w:w="15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残存価格比 0.54・3年</w:t>
            </w:r>
          </w:p>
        </w:tc>
        <w:tc>
          <w:tcPr>
            <w:tcW w:type="dxa" w:w="18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0.6・2年(ベース)〜0.9・3年(強気)。現在の需給(H100 指数 +40%、CoreWeave の全品目 +25% 値上げ)は強気寄りを支持する。一方、中古 GPU の売買価格は下落したまま(H100 $4万 → $1.2〜2.2万)で、レンタル価値が「電力付き容量の希少性」に依存していることを示す</w:t>
            </w:r>
          </w:p>
        </w:tc>
        <w:tc>
          <w:tcPr>
            <w:tcW w:type="dxa" w:w="18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分析。ただし市場の逆算値とほぼ同じで、差分にならない</w:t>
            </w:r>
          </w:p>
        </w:tc>
        <w:tc>
          <w:tcPr>
            <w:tcW w:type="dxa" w:w="18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 なら −$19/株。先行指標は H100・B200 の貸出単価指数(Silicon Data)、四半期の更新プレミアム</w:t>
            </w:r>
          </w:p>
        </w:tc>
      </w:tr>
      <w:tr>
        <w:trPr>
          <w:cantSplit/>
          <w:tblHeader w:val="false"/>
        </w:trPr>
        <w:tc>
          <w:tcPr>
            <w:tcW w:type="dxa" w:w="81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②OpenAI の支払能力</w:t>
            </w:r>
          </w:p>
        </w:tc>
        <w:tc>
          <w:tcPr>
            <w:tcW w:type="dxa" w:w="18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年換算売上 約$500億(2026-10、FT)、2026〜30年の累計 FCF 約 −$2,780億、調達済み $1,220億は 2028年に枯渇見込み</w:t>
            </w:r>
          </w:p>
        </w:tc>
        <w:tc>
          <w:tcPr>
            <w:tcW w:type="dxa" w:w="15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株価 −59% のうち相当部分(定量化は不能)</w:t>
            </w:r>
          </w:p>
        </w:tc>
        <w:tc>
          <w:tcPr>
            <w:tcW w:type="dxa" w:w="18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不払い確率 20%(3年)、条件変更 30%。不払い時は 40〜70% の単価で再販、空白1〜2年</w:t>
            </w:r>
          </w:p>
        </w:tc>
        <w:tc>
          <w:tcPr>
            <w:tcW w:type="dxa" w:w="18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なし(市場と同じ材料)</w:t>
            </w:r>
          </w:p>
        </w:tc>
        <w:tc>
          <w:tcPr>
            <w:tcW w:type="dxa" w:w="18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−$16〜−25/株。先行指標は OpenAI の資金調達(評価額 $1兆超のラウンド)と支払遅延の報道</w:t>
            </w:r>
          </w:p>
        </w:tc>
      </w:tr>
      <w:tr>
        <w:trPr>
          <w:cantSplit/>
          <w:tblHeader w:val="false"/>
        </w:trPr>
        <w:tc>
          <w:tcPr>
            <w:tcW w:type="dxa" w:w="81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③AI 容量の利益率</w:t>
            </w:r>
          </w:p>
        </w:tc>
        <w:tc>
          <w:tcPr>
            <w:tcW w:type="dxa" w:w="18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Q3 FY26 の粗利率 32%(会社)、2025年6〜8月 14%(The Information)</w:t>
            </w:r>
          </w:p>
        </w:tc>
        <w:tc>
          <w:tcPr>
            <w:tcW w:type="dxa" w:w="15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EBIT 30%</w:t>
            </w:r>
          </w:p>
        </w:tc>
        <w:tc>
          <w:tcPr>
            <w:tcW w:type="dxa" w:w="18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EBIT 29%(ベース)。立上げ費用が消える FY29 以降は 30% 台前半</w:t>
            </w:r>
          </w:p>
        </w:tc>
        <w:tc>
          <w:tcPr>
            <w:tcW w:type="dxa" w:w="18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分析(14% は立上げ初期・小規模の値で、Jカーブ上の点にすぎない)</w:t>
            </w:r>
          </w:p>
        </w:tc>
        <w:tc>
          <w:tcPr>
            <w:tcW w:type="dxa" w:w="18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18% なら −$13/株。先行指標は全社粗利率の下落幅と、AI 容量の粗利率の開示</w:t>
            </w:r>
          </w:p>
        </w:tc>
      </w:tr>
    </w:tbl>
    <w:p>
      <w:pPr>
        <w:spacing w:after="80"/>
      </w:pPr>
    </w:p>
    <w:p>
      <w:pPr>
        <w:pStyle w:val="Heading2"/>
      </w:pPr>
      <w:r>
        <w:rPr>
          <w:rFonts w:ascii="Arial" w:cs="Arial" w:eastAsia="Yu Gothic" w:hAnsi="Arial"/>
        </w:rPr>
        <w:t xml:space="preserve">2-2 原子単位とエンジン式(報告売上との照合)</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3"/>
        <w:gridCol w:w="1465"/>
        <w:gridCol w:w="1773"/>
        <w:gridCol w:w="1388"/>
        <w:gridCol w:w="1773"/>
        <w:gridCol w:w="1734"/>
      </w:tblGrid>
      <w:tr>
        <w:trPr>
          <w:cantSplit/>
          <w:tblHeader/>
        </w:trPr>
        <w:tc>
          <w:tcPr>
            <w:tcW w:type="dxa" w:w="177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エンジン</w:t>
            </w:r>
          </w:p>
        </w:tc>
        <w:tc>
          <w:tcPr>
            <w:tcW w:type="dxa" w:w="146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原子単位</w:t>
            </w:r>
          </w:p>
        </w:tc>
        <w:tc>
          <w:tcPr>
            <w:tcW w:type="dxa" w:w="177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エンジン式</w:t>
            </w:r>
          </w:p>
        </w:tc>
        <w:tc>
          <w:tcPr>
            <w:tcW w:type="dxa" w:w="138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FY26 売上</w:t>
            </w:r>
          </w:p>
        </w:tc>
        <w:tc>
          <w:tcPr>
            <w:tcW w:type="dxa" w:w="177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Q1 FY27 売上(前年比)</w:t>
            </w:r>
          </w:p>
        </w:tc>
        <w:tc>
          <w:tcPr>
            <w:tcW w:type="dxa" w:w="173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ビジネスモデル型 / リンチ分類</w:t>
            </w:r>
          </w:p>
        </w:tc>
      </w:tr>
      <w:tr>
        <w:trPr>
          <w:cantSplit/>
          <w:tblHeader w:val="false"/>
        </w:trPr>
        <w:tc>
          <w:tcPr>
            <w:tcW w:type="dxa" w:w="17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E1 ソフトウェア(DB・アプリのライセンスと保守)</w:t>
            </w:r>
          </w:p>
        </w:tc>
        <w:tc>
          <w:tcPr>
            <w:tcW w:type="dxa" w:w="146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導入済みライセンス(インストールベース)</w:t>
            </w:r>
          </w:p>
        </w:tc>
        <w:tc>
          <w:tcPr>
            <w:tcW w:type="dxa" w:w="17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ライセンス残高 × 保守料率 × 更新率 + 新規ライセンス</w:t>
            </w:r>
          </w:p>
        </w:tc>
        <w:tc>
          <w:tcPr>
            <w:tcW w:type="dxa" w:w="13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$245.4億</w:t>
            </w:r>
          </w:p>
        </w:tc>
        <w:tc>
          <w:tcPr>
            <w:tcW w:type="dxa" w:w="17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$55.5億(−3%)</w:t>
            </w:r>
          </w:p>
        </w:tc>
        <w:tc>
          <w:tcPr>
            <w:tcW w:type="dxa" w:w="17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A(ストック型ソフト)/ 低成長</w:t>
            </w:r>
          </w:p>
        </w:tc>
      </w:tr>
      <w:tr>
        <w:trPr>
          <w:cantSplit/>
          <w:tblHeader w:val="false"/>
        </w:trPr>
        <w:tc>
          <w:tcPr>
            <w:tcW w:type="dxa" w:w="17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E2 SaaS</w:t>
            </w:r>
          </w:p>
        </w:tc>
        <w:tc>
          <w:tcPr>
            <w:tcW w:type="dxa" w:w="146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顧客(事業所)</w:t>
            </w:r>
          </w:p>
        </w:tc>
        <w:tc>
          <w:tcPr>
            <w:tcW w:type="dxa" w:w="17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顧客数 × ARPU × 継続率</w:t>
            </w:r>
          </w:p>
        </w:tc>
        <w:tc>
          <w:tcPr>
            <w:tcW w:type="dxa" w:w="13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$159億</w:t>
            </w:r>
          </w:p>
        </w:tc>
        <w:tc>
          <w:tcPr>
            <w:tcW w:type="dxa" w:w="17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$42億(+10%。Fusion ERP +17%、NetSuite +14%。後2者は単一出典で時点の要確認)</w:t>
            </w:r>
          </w:p>
        </w:tc>
        <w:tc>
          <w:tcPr>
            <w:tcW w:type="dxa" w:w="17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 / 安定成長</w:t>
            </w:r>
          </w:p>
        </w:tc>
      </w:tr>
      <w:tr>
        <w:trPr>
          <w:cantSplit/>
          <w:tblHeader w:val="false"/>
        </w:trPr>
        <w:tc>
          <w:tcPr>
            <w:tcW w:type="dxa" w:w="17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E3 一般クラウド基盤(非AI の OCI。DB クラウド・マルチクラウドDB を含む)</w:t>
            </w:r>
          </w:p>
        </w:tc>
        <w:tc>
          <w:tcPr>
            <w:tcW w:type="dxa" w:w="146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利用量(消費)</w:t>
            </w:r>
          </w:p>
        </w:tc>
        <w:tc>
          <w:tcPr>
            <w:tcW w:type="dxa" w:w="17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顧客数 × 利用量 × 単価</w:t>
            </w:r>
          </w:p>
        </w:tc>
        <w:tc>
          <w:tcPr>
            <w:tcW w:type="dxa" w:w="13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推定 $109億</w:t>
            </w:r>
          </w:p>
        </w:tc>
        <w:tc>
          <w:tcPr>
            <w:tcW w:type="dxa" w:w="17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推定 $33億(約 +38%、推定。マルチクラウドDB +353%)</w:t>
            </w:r>
          </w:p>
        </w:tc>
        <w:tc>
          <w:tcPr>
            <w:tcW w:type="dxa" w:w="17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B(従量のインフラ)/ 急成長</w:t>
            </w:r>
          </w:p>
        </w:tc>
      </w:tr>
      <w:tr>
        <w:trPr>
          <w:cantSplit/>
          <w:tblHeader w:val="false"/>
        </w:trPr>
        <w:tc>
          <w:tcPr>
            <w:tcW w:type="dxa" w:w="17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E4 AI クラウド基盤(GPU 容量の貸出)</w:t>
            </w:r>
          </w:p>
        </w:tc>
        <w:tc>
          <w:tcPr>
            <w:tcW w:type="dxa" w:w="146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稼働容量(GW)</w:t>
            </w:r>
          </w:p>
        </w:tc>
        <w:tc>
          <w:tcPr>
            <w:tcW w:type="dxa" w:w="17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稼働 GW × GW あたり年間売上</w:t>
            </w:r>
          </w:p>
        </w:tc>
        <w:tc>
          <w:tcPr>
            <w:tcW w:type="dxa" w:w="13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推定 $72億(平均稼働 約1.1GW × $6.5B)</w:t>
            </w:r>
          </w:p>
        </w:tc>
        <w:tc>
          <w:tcPr>
            <w:tcW w:type="dxa" w:w="17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推定 $41億(平均稼働 約2.1GW × $7.7B/年)</w:t>
            </w:r>
          </w:p>
        </w:tc>
        <w:tc>
          <w:tcPr>
            <w:tcW w:type="dxa" w:w="17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C(設備型インフラ)/ 急成長(景気循環の要素あり)</w:t>
            </w:r>
          </w:p>
        </w:tc>
      </w:tr>
      <w:tr>
        <w:trPr>
          <w:cantSplit/>
          <w:tblHeader w:val="false"/>
        </w:trPr>
        <w:tc>
          <w:tcPr>
            <w:tcW w:type="dxa" w:w="17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E5 ハードウェア・サービス</w:t>
            </w:r>
          </w:p>
        </w:tc>
        <w:tc>
          <w:tcPr>
            <w:tcW w:type="dxa" w:w="146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出荷・案件</w:t>
            </w:r>
          </w:p>
        </w:tc>
        <w:tc>
          <w:tcPr>
            <w:tcW w:type="dxa" w:w="17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件数 × 単価</w:t>
            </w:r>
          </w:p>
        </w:tc>
        <w:tc>
          <w:tcPr>
            <w:tcW w:type="dxa" w:w="13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$88億</w:t>
            </w:r>
          </w:p>
        </w:tc>
        <w:tc>
          <w:tcPr>
            <w:tcW w:type="dxa" w:w="17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$21.9億(HW +15%、サービス +5%)</w:t>
            </w:r>
          </w:p>
        </w:tc>
        <w:tc>
          <w:tcPr>
            <w:tcW w:type="dxa" w:w="17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G・その他 / 低成長</w:t>
            </w:r>
          </w:p>
        </w:tc>
      </w:tr>
    </w:tbl>
    <w:p>
      <w:pPr>
        <w:spacing w:after="80"/>
      </w:pPr>
    </w:p>
    <w:p>
      <w:pPr>
        <w:spacing w:after="120" w:line="300"/>
      </w:pPr>
      <w:r>
        <w:rPr>
          <w:rFonts w:ascii="Arial" w:cs="Arial" w:eastAsia="Yu Gothic" w:hAnsi="Arial"/>
          <w:b/>
          <w:bCs/>
          <w:sz w:val="20"/>
          <w:szCs w:val="20"/>
        </w:rPr>
        <w:t xml:space="preserve">照合結果:</w:t>
      </w:r>
    </w:p>
    <w:p>
      <w:pPr>
        <w:pStyle w:val="ListParagraph"/>
        <w:numPr>
          <w:ilvl w:val="0"/>
          <w:numId w:val="3"/>
        </w:numPr>
        <w:spacing w:after="40" w:line="290"/>
      </w:pPr>
      <w:r>
        <w:rPr>
          <w:rFonts w:ascii="Arial" w:cs="Arial" w:eastAsia="Yu Gothic" w:hAnsi="Arial"/>
          <w:b/>
          <w:bCs/>
          <w:sz w:val="20"/>
          <w:szCs w:val="20"/>
        </w:rPr>
        <w:t xml:space="preserve">区分合計:</w:t>
      </w:r>
      <w:r>
        <w:rPr>
          <w:rFonts w:ascii="Arial" w:cs="Arial" w:eastAsia="Yu Gothic" w:hAnsi="Arial"/>
          <w:sz w:val="20"/>
          <w:szCs w:val="20"/>
        </w:rPr>
        <w:t xml:space="preserve"> Q1 FY27 は 5.55+4.2+7.4+0.774+1.414 = 19.34(十億ドル)= </w:t>
      </w:r>
      <w:r>
        <w:rPr>
          <w:rFonts w:ascii="Arial" w:cs="Arial" w:eastAsia="Yu Gothic" w:hAnsi="Arial"/>
          <w:b/>
          <w:bCs/>
          <w:sz w:val="20"/>
          <w:szCs w:val="20"/>
        </w:rPr>
        <w:t xml:space="preserve">$193.4億</w:t>
      </w:r>
      <w:r>
        <w:rPr>
          <w:rFonts w:ascii="Arial" w:cs="Arial" w:eastAsia="Yu Gothic" w:hAnsi="Arial"/>
          <w:sz w:val="20"/>
          <w:szCs w:val="20"/>
        </w:rPr>
        <w:t xml:space="preserve"> で、報告値 $193.45億と一致した(差 0.0%)。</w:t>
      </w:r>
    </w:p>
    <w:p>
      <w:pPr>
        <w:pStyle w:val="ListParagraph"/>
        <w:numPr>
          <w:ilvl w:val="0"/>
          <w:numId w:val="3"/>
        </w:numPr>
        <w:spacing w:after="40" w:line="290"/>
      </w:pPr>
      <w:r>
        <w:rPr>
          <w:rFonts w:ascii="Arial" w:cs="Arial" w:eastAsia="Yu Gothic" w:hAnsi="Arial"/>
          <w:b/>
          <w:bCs/>
          <w:sz w:val="20"/>
          <w:szCs w:val="20"/>
        </w:rPr>
        <w:t xml:space="preserve">AI エンジンの独立照合:</w:t>
      </w:r>
      <w:r>
        <w:rPr>
          <w:rFonts w:ascii="Arial" w:cs="Arial" w:eastAsia="Yu Gothic" w:hAnsi="Arial"/>
          <w:sz w:val="20"/>
          <w:szCs w:val="20"/>
        </w:rPr>
        <w:t xml:space="preserve"> 会社は OCI 売上の AI/非AI の内訳を開示していないため、「稼働 GW × GW あたり売上」を報告値と独立に照合することはできない。そこで次の2つの独立データから、GW あたり年間売上を逆算した。</w:t>
      </w:r>
    </w:p>
    <w:p>
      <w:pPr>
        <w:pStyle w:val="ListParagraph"/>
        <w:numPr>
          <w:ilvl w:val="1"/>
          <w:numId w:val="3"/>
        </w:numPr>
        <w:spacing w:after="40" w:line="290"/>
      </w:pPr>
      <w:r>
        <w:rPr>
          <w:rFonts w:ascii="Arial" w:cs="Arial" w:eastAsia="Yu Gothic" w:hAnsi="Arial"/>
          <w:sz w:val="20"/>
          <w:szCs w:val="20"/>
        </w:rPr>
        <w:t xml:space="preserve">報道された FY26 の AI 売上推定(The Information 2025-10 の GPU レンタル $9億/四半期と、その後の成長率)</w:t>
      </w:r>
    </w:p>
    <w:p>
      <w:pPr>
        <w:pStyle w:val="ListParagraph"/>
        <w:numPr>
          <w:ilvl w:val="1"/>
          <w:numId w:val="3"/>
        </w:numPr>
        <w:spacing w:after="40" w:line="290"/>
      </w:pPr>
      <w:r>
        <w:rPr>
          <w:rFonts w:ascii="Arial" w:cs="Arial" w:eastAsia="Yu Gothic" w:hAnsi="Arial"/>
          <w:sz w:val="20"/>
          <w:szCs w:val="20"/>
        </w:rPr>
        <w:t xml:space="preserve">会社が開示した納入容量(FY26 1.2GW、Q1 FY27 850MW)</w:t>
      </w:r>
    </w:p>
    <w:p>
      <w:pPr>
        <w:pStyle w:val="ListParagraph"/>
        <w:numPr>
          <w:ilvl w:val="1"/>
          <w:numId w:val="3"/>
        </w:numPr>
        <w:spacing w:after="40" w:line="290"/>
      </w:pPr>
      <w:r>
        <w:rPr>
          <w:rFonts w:ascii="Arial" w:cs="Arial" w:eastAsia="Yu Gothic" w:hAnsi="Arial"/>
          <w:sz w:val="20"/>
          <w:szCs w:val="20"/>
        </w:rPr>
        <w:t xml:space="preserve">結果は FY26 $6.5B → Q1 FY27 $7.7B で、契約の経済性(会社例示 $10B、OpenAI 契約 $13.3B)へ収束していく途中にある。整合的ではあるが、±5% の照合基準は「部分的に達成」にとどまる(既知の制約1)。</w:t>
      </w:r>
    </w:p>
    <w:p>
      <w:pPr>
        <w:keepNext/>
        <w:spacing w:after="40" w:before="80"/>
        <w:jc w:val="center"/>
      </w:pPr>
      <w:r>
        <w:drawing>
          <wp:inline distT="0" distB="0" distL="0" distR="0">
            <wp:extent cx="57912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91200" cy="3200400"/>
                    </a:xfrm>
                    <a:prstGeom prst="rect">
                      <a:avLst/>
                    </a:prstGeom>
                  </pic:spPr>
                </pic:pic>
              </a:graphicData>
            </a:graphic>
          </wp:inline>
        </w:drawing>
      </w:r>
    </w:p>
    <w:p>
      <w:pPr>
        <w:spacing w:after="160"/>
        <w:jc w:val="center"/>
      </w:pPr>
      <w:r>
        <w:rPr>
          <w:rFonts w:ascii="Arial" w:cs="Arial" w:eastAsia="Yu Gothic" w:hAnsi="Arial"/>
          <w:i/>
          <w:iCs/>
          <w:color w:val="5A6B7D"/>
          <w:sz w:val="17"/>
          <w:szCs w:val="17"/>
        </w:rPr>
        <w:t xml:space="preserve">参考図2 売上構成の推移(事業エンジン経路)。FY26 は実績、AI/非AI の分割は推定。FY27 以降は予測(出典: Oracle 決算発表、本報告書の事業エンジン・モデル)</w:t>
      </w:r>
    </w:p>
    <w:p>
      <w:pPr>
        <w:pStyle w:val="Heading2"/>
      </w:pPr>
      <w:r>
        <w:rPr>
          <w:rFonts w:ascii="Arial" w:cs="Arial" w:eastAsia="Yu Gothic" w:hAnsi="Arial"/>
        </w:rPr>
        <w:t xml:space="preserve">2-3 価値の起点と未行使の価格決定力(L1)</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6"/>
        <w:gridCol w:w="1830"/>
        <w:gridCol w:w="1830"/>
        <w:gridCol w:w="1830"/>
        <w:gridCol w:w="1830"/>
        <w:gridCol w:w="1830"/>
      </w:tblGrid>
      <w:tr>
        <w:trPr>
          <w:cantSplit/>
          <w:tblHeader/>
        </w:trPr>
        <w:tc>
          <w:tcPr>
            <w:tcW w:type="dxa" w:w="75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エンジン</w:t>
            </w:r>
          </w:p>
        </w:tc>
        <w:tc>
          <w:tcPr>
            <w:tcW w:type="dxa" w:w="183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顧客が片付けたい仕事</w:t>
            </w:r>
          </w:p>
        </w:tc>
        <w:tc>
          <w:tcPr>
            <w:tcW w:type="dxa" w:w="183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代替手段とその費用</w:t>
            </w:r>
          </w:p>
        </w:tc>
        <w:tc>
          <w:tcPr>
            <w:tcW w:type="dxa" w:w="183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支出比率×重要度</w:t>
            </w:r>
          </w:p>
        </w:tc>
        <w:tc>
          <w:tcPr>
            <w:tcW w:type="dxa" w:w="183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価格決定力の状態</w:t>
            </w:r>
          </w:p>
        </w:tc>
        <w:tc>
          <w:tcPr>
            <w:tcW w:type="dxa" w:w="183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下振れ機構</w:t>
            </w:r>
          </w:p>
        </w:tc>
      </w:tr>
      <w:tr>
        <w:trPr>
          <w:cantSplit/>
          <w:tblHeader w:val="false"/>
        </w:trPr>
        <w:tc>
          <w:tcPr>
            <w:tcW w:type="dxa" w:w="75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E1 データベース保守</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銀行・通信・政府の基幹取引を止めずに動かし続ける</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PostgreSQL・Aurora 等への移行。数年がかりの書き換えと停止リスクを伴う</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顧客の IT 予算に占める比率は小さく、重要度は最高</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強い。保守料はライセンス額の約22%/年と一般に言われる水準(本調査では未確認)で、更新率は高いとみられる。ただし数値開示はない(既知の制約)</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クラウド移行による侵食(−3%/年)。生成 AI でコード移行が安くなると侵食が加速しうる</w:t>
            </w:r>
          </w:p>
        </w:tc>
      </w:tr>
      <w:tr>
        <w:trPr>
          <w:cantSplit/>
          <w:tblHeader w:val="false"/>
        </w:trPr>
        <w:tc>
          <w:tcPr>
            <w:tcW w:type="dxa" w:w="75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E2 SaaS</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会計・人事・調達を1つの基盤で回す</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SAP・Workday 等への乗り換え。2〜3年の導入プロジェクト</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中×高</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中。成長率は +10% で横ばい</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が SaaS を代替する」懸念(JPMorgan の Mark Murphy の質問、2026-03)</w:t>
            </w:r>
          </w:p>
        </w:tc>
      </w:tr>
      <w:tr>
        <w:trPr>
          <w:cantSplit/>
          <w:tblHeader w:val="false"/>
        </w:trPr>
        <w:tc>
          <w:tcPr>
            <w:tcW w:type="dxa" w:w="75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E3 一般クラウド基盤</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既存の Oracle DB を自社のクラウド、または AWS・Azure・Google の中で動かす</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他社クラウドへの移行(DB の書き換えが必要)</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中×高</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中〜強。マルチクラウドで、顧客がどのクラウドを選んでも Oracle DB が残る</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他社 DB への移行</w:t>
            </w:r>
          </w:p>
        </w:tc>
      </w:tr>
      <w:tr>
        <w:trPr>
          <w:cantSplit/>
          <w:tblHeader w:val="false"/>
        </w:trPr>
        <w:tc>
          <w:tcPr>
            <w:tcW w:type="dxa" w:w="75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E4 AI 容量</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大規模な GPU クラスタを、電力ごと、すぐに確保する(学習と推論)</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ハイパースケーラー(Azure・AWS・Google)、ネオクラウド(CoreWeave 等)、自社建設(Stargate)。電力の確保に2〜4年かかる</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顧客(AI 研究所)の最大の費目で、重要度は最高</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現在は強い(需給が逼迫)。更新 +20%、CoreWeave は全品目 +25% 値上げ(2026-07)。顧客価値と価格の差は大きいが、資金を外部調達に頼る顧客の支払能力が上限になる</w:t>
            </w:r>
          </w:p>
        </w:tc>
        <w:tc>
          <w:tcPr>
            <w:tcW w:type="dxa" w:w="18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供給が追いつく局面(2028年以降の可能性)での価格下落。GPU 計算の商品化(ICE・CME が GPU 計算の先物を準備)。顧客の自社建設</w:t>
            </w:r>
          </w:p>
        </w:tc>
      </w:tr>
    </w:tbl>
    <w:p>
      <w:pPr>
        <w:spacing w:after="80"/>
      </w:pPr>
    </w:p>
    <w:p>
      <w:pPr>
        <w:spacing w:after="120" w:line="300"/>
      </w:pPr>
      <w:r>
        <w:rPr>
          <w:rFonts w:ascii="Arial" w:cs="Arial" w:eastAsia="Yu Gothic" w:hAnsi="Arial"/>
          <w:b/>
          <w:bCs/>
          <w:sz w:val="20"/>
          <w:szCs w:val="20"/>
        </w:rPr>
        <w:t xml:space="preserve">未行使の価格決定力の定量化:</w:t>
      </w:r>
      <w:r>
        <w:rPr>
          <w:rFonts w:ascii="Arial" w:cs="Arial" w:eastAsia="Yu Gothic" w:hAnsi="Arial"/>
          <w:sz w:val="20"/>
          <w:szCs w:val="20"/>
        </w:rPr>
        <w:t xml:space="preserve"> E1 で保守料を年 +2% 上げると、ソフトウェア売上 $245億 × 2% = 年 $4.9億、1株 +$0.13 になる。会社は値上げの実績を開示していないため、機構台帳 M15 には含めず、保留とした。E4 の更新プレミアム +20% は、契約が終わる容量にのみ効く(2031年以降が本番)。</w:t>
      </w:r>
    </w:p>
    <w:p>
      <w:pPr>
        <w:pStyle w:val="Heading2"/>
      </w:pPr>
      <w:r>
        <w:rPr>
          <w:rFonts w:ascii="Arial" w:cs="Arial" w:eastAsia="Yu Gothic" w:hAnsi="Arial"/>
        </w:rPr>
        <w:t xml:space="preserve">2-4 ユニットエコノミクスと増収の源泉分解(L2)</w:t>
      </w:r>
    </w:p>
    <w:p>
      <w:pPr>
        <w:spacing w:after="120" w:line="300"/>
      </w:pPr>
      <w:r>
        <w:rPr>
          <w:rFonts w:ascii="Arial" w:cs="Arial" w:eastAsia="Yu Gothic" w:hAnsi="Arial"/>
          <w:b/>
          <w:bCs/>
          <w:sz w:val="20"/>
          <w:szCs w:val="20"/>
        </w:rPr>
        <w:t xml:space="preserve">AI 容量 1GW の経済性(会社例示「6年・1GW・$600億・粗利率約35%」から再構成):</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0"/>
        <w:gridCol w:w="636"/>
        <w:gridCol w:w="636"/>
        <w:gridCol w:w="1545"/>
        <w:gridCol w:w="3999"/>
      </w:tblGrid>
      <w:tr>
        <w:trPr>
          <w:cantSplit/>
          <w:tblHeader/>
        </w:trPr>
        <w:tc>
          <w:tcPr>
            <w:tcW w:type="dxa" w:w="309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項目</w:t>
            </w:r>
          </w:p>
        </w:tc>
        <w:tc>
          <w:tcPr>
            <w:tcW w:type="dxa" w:w="63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ベース</w:t>
            </w:r>
          </w:p>
        </w:tc>
        <w:tc>
          <w:tcPr>
            <w:tcW w:type="dxa" w:w="63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強気</w:t>
            </w:r>
          </w:p>
        </w:tc>
        <w:tc>
          <w:tcPr>
            <w:tcW w:type="dxa" w:w="154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弱気</w:t>
            </w:r>
          </w:p>
        </w:tc>
        <w:tc>
          <w:tcPr>
            <w:tcW w:type="dxa" w:w="399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根拠</w:t>
            </w:r>
          </w:p>
        </w:tc>
      </w:tr>
      <w:tr>
        <w:trPr>
          <w:cantSplit/>
          <w:tblHeader w:val="false"/>
        </w:trPr>
        <w:tc>
          <w:tcPr>
            <w:tcW w:type="dxa" w:w="309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年間売上</w:t>
            </w:r>
          </w:p>
        </w:tc>
        <w:tc>
          <w:tcPr>
            <w:tcW w:type="dxa" w:w="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$100億</w:t>
            </w:r>
          </w:p>
        </w:tc>
        <w:tc>
          <w:tcPr>
            <w:tcW w:type="dxa" w:w="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$100億</w:t>
            </w:r>
          </w:p>
        </w:tc>
        <w:tc>
          <w:tcPr>
            <w:tcW w:type="dxa" w:w="15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$100億</w:t>
            </w:r>
          </w:p>
        </w:tc>
        <w:tc>
          <w:tcPr>
            <w:tcW w:type="dxa" w:w="3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会社例示 $600億÷6年</w:t>
            </w:r>
          </w:p>
        </w:tc>
      </w:tr>
      <w:tr>
        <w:trPr>
          <w:cantSplit/>
          <w:tblHeader w:val="false"/>
        </w:trPr>
        <w:tc>
          <w:tcPr>
            <w:tcW w:type="dxa" w:w="309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EBIT 利益率(営業費3%控除後)</w:t>
            </w:r>
          </w:p>
        </w:tc>
        <w:tc>
          <w:tcPr>
            <w:tcW w:type="dxa" w:w="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29%</w:t>
            </w:r>
          </w:p>
        </w:tc>
        <w:tc>
          <w:tcPr>
            <w:tcW w:type="dxa" w:w="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33%</w:t>
            </w:r>
          </w:p>
        </w:tc>
        <w:tc>
          <w:tcPr>
            <w:tcW w:type="dxa" w:w="15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18%</w:t>
            </w:r>
          </w:p>
        </w:tc>
        <w:tc>
          <w:tcPr>
            <w:tcW w:type="dxa" w:w="3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会社 30〜40%(粗利)、Q3 FY26 32%、報道 14%</w:t>
            </w:r>
          </w:p>
        </w:tc>
      </w:tr>
      <w:tr>
        <w:trPr>
          <w:cantSplit/>
          <w:tblHeader w:val="false"/>
        </w:trPr>
        <w:tc>
          <w:tcPr>
            <w:tcW w:type="dxa" w:w="309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GPU・ネットワーク投資(Oracle 負担)</w:t>
            </w:r>
          </w:p>
        </w:tc>
        <w:tc>
          <w:tcPr>
            <w:tcW w:type="dxa" w:w="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$250億</w:t>
            </w:r>
          </w:p>
        </w:tc>
        <w:tc>
          <w:tcPr>
            <w:tcW w:type="dxa" w:w="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$250億</w:t>
            </w:r>
          </w:p>
        </w:tc>
        <w:tc>
          <w:tcPr>
            <w:tcW w:type="dxa" w:w="15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$250億</w:t>
            </w:r>
          </w:p>
        </w:tc>
        <w:tc>
          <w:tcPr>
            <w:tcW w:type="dxa" w:w="3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例示のコスト構成(計算 65%・施設 35%)から逆算</w:t>
            </w:r>
          </w:p>
        </w:tc>
      </w:tr>
      <w:tr>
        <w:trPr>
          <w:cantSplit/>
          <w:tblHeader w:val="false"/>
        </w:trPr>
        <w:tc>
          <w:tcPr>
            <w:tcW w:type="dxa" w:w="309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年間の現金(税引後 EBIT+償却)</w:t>
            </w:r>
          </w:p>
        </w:tc>
        <w:tc>
          <w:tcPr>
            <w:tcW w:type="dxa" w:w="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$64.9億</w:t>
            </w:r>
          </w:p>
        </w:tc>
        <w:tc>
          <w:tcPr>
            <w:tcW w:type="dxa" w:w="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$68.1億</w:t>
            </w:r>
          </w:p>
        </w:tc>
        <w:tc>
          <w:tcPr>
            <w:tcW w:type="dxa" w:w="15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$56.1億</w:t>
            </w:r>
          </w:p>
        </w:tc>
        <w:tc>
          <w:tcPr>
            <w:tcW w:type="dxa" w:w="3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6年償却</w:t>
            </w:r>
          </w:p>
        </w:tc>
      </w:tr>
      <w:tr>
        <w:trPr>
          <w:cantSplit/>
          <w:tblHeader w:val="false"/>
        </w:trPr>
        <w:tc>
          <w:tcPr>
            <w:tcW w:type="dxa" w:w="309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契約後の残存(当初単価比×年数)</w:t>
            </w:r>
          </w:p>
        </w:tc>
        <w:tc>
          <w:tcPr>
            <w:tcW w:type="dxa" w:w="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0.6×2年</w:t>
            </w:r>
          </w:p>
        </w:tc>
        <w:tc>
          <w:tcPr>
            <w:tcW w:type="dxa" w:w="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0.8×3年</w:t>
            </w:r>
          </w:p>
        </w:tc>
        <w:tc>
          <w:tcPr>
            <w:tcW w:type="dxa" w:w="15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なし+建屋の空室費</w:t>
            </w:r>
          </w:p>
        </w:tc>
        <w:tc>
          <w:tcPr>
            <w:tcW w:type="dxa" w:w="3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更新データ(1-1 節)・リース期間 15〜19年</w:t>
            </w:r>
          </w:p>
        </w:tc>
      </w:tr>
      <w:tr>
        <w:trPr>
          <w:cantSplit/>
          <w:tblHeader w:val="false"/>
        </w:trPr>
        <w:tc>
          <w:tcPr>
            <w:tcW w:type="dxa" w:w="309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税引後 IRR</w:t>
            </w:r>
          </w:p>
        </w:tc>
        <w:tc>
          <w:tcPr>
            <w:tcW w:type="dxa" w:w="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17.0%</w:t>
            </w:r>
          </w:p>
        </w:tc>
        <w:tc>
          <w:tcPr>
            <w:tcW w:type="dxa" w:w="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20.9%</w:t>
            </w:r>
          </w:p>
        </w:tc>
        <w:tc>
          <w:tcPr>
            <w:tcW w:type="dxa" w:w="15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9.2%</w:t>
            </w:r>
          </w:p>
        </w:tc>
        <w:tc>
          <w:tcPr>
            <w:tcW w:type="dxa" w:w="3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
            </w:r>
          </w:p>
        </w:tc>
      </w:tr>
      <w:tr>
        <w:trPr>
          <w:cantSplit/>
          <w:tblHeader w:val="false"/>
        </w:trPr>
        <w:tc>
          <w:tcPr>
            <w:tcW w:type="dxa" w:w="309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NPV(資本コスト 10%)</w:t>
            </w:r>
          </w:p>
        </w:tc>
        <w:tc>
          <w:tcPr>
            <w:tcW w:type="dxa" w:w="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+$59億</w:t>
            </w:r>
          </w:p>
        </w:tc>
        <w:tc>
          <w:tcPr>
            <w:tcW w:type="dxa" w:w="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+$113億</w:t>
            </w:r>
          </w:p>
        </w:tc>
        <w:tc>
          <w:tcPr>
            <w:tcW w:type="dxa" w:w="15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−$44億</w:t>
            </w:r>
          </w:p>
        </w:tc>
        <w:tc>
          <w:tcPr>
            <w:tcW w:type="dxa" w:w="3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
            </w:r>
          </w:p>
        </w:tc>
      </w:tr>
    </w:tbl>
    <w:p>
      <w:pPr>
        <w:spacing w:after="80"/>
      </w:pPr>
    </w:p>
    <w:p>
      <w:pPr>
        <w:spacing w:after="120" w:line="300"/>
      </w:pPr>
      <w:r>
        <w:rPr>
          <w:rFonts w:ascii="Arial" w:cs="Arial" w:eastAsia="Yu Gothic" w:hAnsi="Arial"/>
          <w:b/>
          <w:bCs/>
          <w:sz w:val="20"/>
          <w:szCs w:val="20"/>
        </w:rPr>
        <w:t xml:space="preserve">増収の源泉分解(FY26 → FY27 事業エンジン経路、+$239億):</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738"/>
        <w:gridCol w:w="632"/>
        <w:gridCol w:w="4848"/>
      </w:tblGrid>
      <w:tr>
        <w:trPr>
          <w:cantSplit/>
          <w:tblHeader/>
        </w:trPr>
        <w:tc>
          <w:tcPr>
            <w:tcW w:type="dxa" w:w="368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源泉</w:t>
            </w:r>
          </w:p>
        </w:tc>
        <w:tc>
          <w:tcPr>
            <w:tcW w:type="dxa" w:w="73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増収額</w:t>
            </w:r>
          </w:p>
        </w:tc>
        <w:tc>
          <w:tcPr>
            <w:tcW w:type="dxa" w:w="63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構成比</w:t>
            </w:r>
          </w:p>
        </w:tc>
        <w:tc>
          <w:tcPr>
            <w:tcW w:type="dxa" w:w="484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内容</w:t>
            </w:r>
          </w:p>
        </w:tc>
      </w:tr>
      <w:tr>
        <w:trPr>
          <w:cantSplit/>
          <w:tblHeader w:val="false"/>
        </w:trPr>
        <w:tc>
          <w:tcPr>
            <w:tcW w:type="dxa" w:w="36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①新規の原子単位(新設 AI 容量の稼働)</w:t>
            </w:r>
          </w:p>
        </w:tc>
        <w:tc>
          <w:tcPr>
            <w:tcW w:type="dxa" w:w="7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+$196億</w:t>
            </w:r>
          </w:p>
        </w:tc>
        <w:tc>
          <w:tcPr>
            <w:tcW w:type="dxa" w:w="63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82%</w:t>
            </w:r>
          </w:p>
        </w:tc>
        <w:tc>
          <w:tcPr>
            <w:tcW w:type="dxa" w:w="48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平均稼働 1.1GW → 3.35GW</w:t>
            </w:r>
          </w:p>
        </w:tc>
      </w:tr>
      <w:tr>
        <w:trPr>
          <w:cantSplit/>
          <w:tblHeader w:val="false"/>
        </w:trPr>
        <w:tc>
          <w:tcPr>
            <w:tcW w:type="dxa" w:w="36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②既存の原子単位の拡張</w:t>
            </w:r>
          </w:p>
        </w:tc>
        <w:tc>
          <w:tcPr>
            <w:tcW w:type="dxa" w:w="7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+$49億</w:t>
            </w:r>
          </w:p>
        </w:tc>
        <w:tc>
          <w:tcPr>
            <w:tcW w:type="dxa" w:w="63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20%</w:t>
            </w:r>
          </w:p>
        </w:tc>
        <w:tc>
          <w:tcPr>
            <w:tcW w:type="dxa" w:w="48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一般クラウド基盤 +$33億(既存 DB 顧客のクラウド移行・マルチクラウド)、SaaS +$16億、GPU 更新プレミアム(含む)</w:t>
            </w:r>
          </w:p>
        </w:tc>
      </w:tr>
      <w:tr>
        <w:trPr>
          <w:cantSplit/>
          <w:tblHeader w:val="false"/>
        </w:trPr>
        <w:tc>
          <w:tcPr>
            <w:tcW w:type="dxa" w:w="36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③離脱・侵食</w:t>
            </w:r>
          </w:p>
        </w:tc>
        <w:tc>
          <w:tcPr>
            <w:tcW w:type="dxa" w:w="7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−$7億</w:t>
            </w:r>
          </w:p>
        </w:tc>
        <w:tc>
          <w:tcPr>
            <w:tcW w:type="dxa" w:w="63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w:t>
            </w:r>
          </w:p>
        </w:tc>
        <w:tc>
          <w:tcPr>
            <w:tcW w:type="dxa" w:w="48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ソフトウェア −3%(オンプレからクラウドへの移行)</w:t>
            </w:r>
          </w:p>
        </w:tc>
      </w:tr>
      <w:tr>
        <w:trPr>
          <w:cantSplit/>
          <w:tblHeader w:val="false"/>
        </w:trPr>
        <w:tc>
          <w:tcPr>
            <w:tcW w:type="dxa" w:w="36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その他(ハード・サービス)</w:t>
            </w:r>
          </w:p>
        </w:tc>
        <w:tc>
          <w:tcPr>
            <w:tcW w:type="dxa" w:w="7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+$2億</w:t>
            </w:r>
          </w:p>
        </w:tc>
        <w:tc>
          <w:tcPr>
            <w:tcW w:type="dxa" w:w="63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w:t>
            </w:r>
          </w:p>
        </w:tc>
        <w:tc>
          <w:tcPr>
            <w:tcW w:type="dxa" w:w="48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
            </w:r>
          </w:p>
        </w:tc>
      </w:tr>
    </w:tbl>
    <w:p>
      <w:pPr>
        <w:spacing w:after="80"/>
      </w:pPr>
    </w:p>
    <w:p>
      <w:pPr>
        <w:spacing w:after="120" w:line="300"/>
      </w:pPr>
      <w:r>
        <w:rPr>
          <w:rFonts w:ascii="Arial" w:cs="Arial" w:eastAsia="Yu Gothic" w:hAnsi="Arial"/>
          <w:sz w:val="20"/>
          <w:szCs w:val="20"/>
        </w:rPr>
        <w:t xml:space="preserve">②は追加の販促費がほとんどかからない。非GAAP 営業利益率が Q1 FY27 に 42.5% で前年並みを保った一方、全社粗利率は低下した。これは営業費の対売上比が大きく下がったことを意味し、「増分の S&amp;M ÷ 増分の粗利が低下」と整合する。ただし S&amp;M の金額は取得できていない(既知の制約)。</w:t>
      </w:r>
    </w:p>
    <w:p>
      <w:pPr>
        <w:spacing w:after="120" w:line="300"/>
      </w:pPr>
      <w:r>
        <w:rPr>
          <w:rFonts w:ascii="Arial" w:cs="Arial" w:eastAsia="Yu Gothic" w:hAnsi="Arial"/>
          <w:b/>
          <w:bCs/>
          <w:sz w:val="20"/>
          <w:szCs w:val="20"/>
        </w:rPr>
        <w:t xml:space="preserve">収益の多重性(1つの資産・接点から何本の収益線を引くか):</w:t>
      </w:r>
    </w:p>
    <w:p>
      <w:pPr>
        <w:pStyle w:val="ListParagraph"/>
        <w:numPr>
          <w:ilvl w:val="0"/>
          <w:numId w:val="3"/>
        </w:numPr>
        <w:spacing w:after="40" w:line="290"/>
      </w:pPr>
      <w:r>
        <w:rPr>
          <w:rFonts w:ascii="Arial" w:cs="Arial" w:eastAsia="Yu Gothic" w:hAnsi="Arial"/>
          <w:b/>
          <w:bCs/>
          <w:sz w:val="20"/>
          <w:szCs w:val="20"/>
        </w:rPr>
        <w:t xml:space="preserve">データベース顧客という1つの接点から:</w:t>
      </w:r>
      <w:r>
        <w:rPr>
          <w:rFonts w:ascii="Arial" w:cs="Arial" w:eastAsia="Yu Gothic" w:hAnsi="Arial"/>
          <w:sz w:val="20"/>
          <w:szCs w:val="20"/>
        </w:rPr>
        <w:t xml:space="preserve"> ①保守 ②Exadata・Cloud@Customer ③OCI 上の DB ④AWS・Azure・Google の中の Oracle DB(マルチクラウド)⑤自社データ上の AI 推論(AI Database)⑥業務アプリ、の6本が引ける。④〜⑤の追加コストは小さい。</w:t>
      </w:r>
    </w:p>
    <w:p>
      <w:pPr>
        <w:pStyle w:val="ListParagraph"/>
        <w:numPr>
          <w:ilvl w:val="0"/>
          <w:numId w:val="3"/>
        </w:numPr>
        <w:spacing w:after="40" w:line="290"/>
      </w:pPr>
      <w:r>
        <w:rPr>
          <w:rFonts w:ascii="Arial" w:cs="Arial" w:eastAsia="Yu Gothic" w:hAnsi="Arial"/>
          <w:b/>
          <w:bCs/>
          <w:sz w:val="20"/>
          <w:szCs w:val="20"/>
        </w:rPr>
        <w:t xml:space="preserve">電力付き建屋という1つの資産から:</w:t>
      </w:r>
      <w:r>
        <w:rPr>
          <w:rFonts w:ascii="Arial" w:cs="Arial" w:eastAsia="Yu Gothic" w:hAnsi="Arial"/>
          <w:sz w:val="20"/>
          <w:szCs w:val="20"/>
        </w:rPr>
        <w:t xml:space="preserve"> 建屋のリース期間 15〜19年に対し、GPU の会計上の寿命は6年である。そのため1つの建屋で2〜3世代の GPU を貸せる。これは期間ミスマッチの上振れ側でもある(M11)。</w:t>
      </w:r>
    </w:p>
    <w:p>
      <w:pPr>
        <w:pStyle w:val="Heading2"/>
      </w:pPr>
      <w:r>
        <w:rPr>
          <w:rFonts w:ascii="Arial" w:cs="Arial" w:eastAsia="Yu Gothic" w:hAnsi="Arial"/>
        </w:rPr>
        <w:t xml:space="preserve">2-5 自己強化ループと制約(L3)</w:t>
      </w:r>
    </w:p>
    <w:p>
      <w:pPr>
        <w:spacing w:after="120" w:line="300"/>
      </w:pPr>
      <w:r>
        <w:rPr>
          <w:rFonts w:ascii="Arial" w:cs="Arial" w:eastAsia="Yu Gothic" w:hAnsi="Arial"/>
          <w:b/>
          <w:bCs/>
          <w:sz w:val="20"/>
          <w:szCs w:val="20"/>
        </w:rPr>
        <w:t xml:space="preserve">図F15 事業エンジン図(構造記述。資本の流れは 2-7 の図F15b):</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7"/>
        <w:gridCol w:w="2477"/>
        <w:gridCol w:w="2477"/>
        <w:gridCol w:w="2475"/>
      </w:tblGrid>
      <w:tr>
        <w:trPr>
          <w:cantSplit/>
          <w:tblHeader/>
        </w:trPr>
        <w:tc>
          <w:tcPr>
            <w:tcW w:type="dxa" w:w="247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要素</w:t>
            </w:r>
          </w:p>
        </w:tc>
        <w:tc>
          <w:tcPr>
            <w:tcW w:type="dxa" w:w="247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内容</w:t>
            </w:r>
          </w:p>
        </w:tc>
        <w:tc>
          <w:tcPr>
            <w:tcW w:type="dxa" w:w="247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定量証拠</w:t>
            </w:r>
          </w:p>
        </w:tc>
        <w:tc>
          <w:tcPr>
            <w:tcW w:type="dxa" w:w="247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状態</w:t>
            </w:r>
          </w:p>
        </w:tc>
      </w:tr>
      <w:tr>
        <w:trPr>
          <w:cantSplit/>
          <w:tblHeader w:val="false"/>
        </w:trPr>
        <w:tc>
          <w:tcPr>
            <w:tcW w:type="dxa" w:w="24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原子単位</w:t>
            </w:r>
          </w:p>
        </w:tc>
        <w:tc>
          <w:tcPr>
            <w:tcW w:type="dxa" w:w="24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稼働 GW(AI)、ライセンス残高(DB)</w:t>
            </w:r>
          </w:p>
        </w:tc>
        <w:tc>
          <w:tcPr>
            <w:tcW w:type="dxa" w:w="24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稼働 約2.55GW(2026-08、推定)、契約済み 約10.2GW(AI の RPO 推定 $5,600億 ÷ $550億/GW。稼働 2.55GW = FY25 末 約0.5GW〔推定〕+ FY26 納入 1.2GW + Q1 FY27 納入 0.85GW)</w:t>
            </w:r>
          </w:p>
        </w:tc>
        <w:tc>
          <w:tcPr>
            <w:tcW w:type="dxa" w:w="247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r>
      <w:tr>
        <w:trPr>
          <w:cantSplit/>
          <w:tblHeader w:val="false"/>
        </w:trPr>
        <w:tc>
          <w:tcPr>
            <w:tcW w:type="dxa" w:w="24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エンジン式</w:t>
            </w:r>
          </w:p>
        </w:tc>
        <w:tc>
          <w:tcPr>
            <w:tcW w:type="dxa" w:w="24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売上 = Σ(稼働 GW × GW あたり売上)+ コア(保守+SaaS+一般クラウド)</w:t>
            </w:r>
          </w:p>
        </w:tc>
        <w:tc>
          <w:tcPr>
            <w:tcW w:type="dxa" w:w="24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区分合計の照合は差 0.0%、AI 単体は推定</w:t>
            </w:r>
          </w:p>
        </w:tc>
        <w:tc>
          <w:tcPr>
            <w:tcW w:type="dxa" w:w="247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部分達成</w:t>
            </w:r>
          </w:p>
        </w:tc>
      </w:tr>
      <w:tr>
        <w:trPr>
          <w:cantSplit/>
          <w:tblHeader w:val="false"/>
        </w:trPr>
        <w:tc>
          <w:tcPr>
            <w:tcW w:type="dxa" w:w="24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ループ R1(成長)</w:t>
            </w:r>
          </w:p>
        </w:tc>
        <w:tc>
          <w:tcPr>
            <w:tcW w:type="dxa" w:w="24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DB 顧客基盤 → OCI の規模 → 電力確保・供給優先 → AI 研究所の契約(RPO)→ 前払い・持込で資金化 → 容量増 → 規模 → 単位コスト低下・顧客増</w:t>
            </w:r>
          </w:p>
        </w:tc>
        <w:tc>
          <w:tcPr>
            <w:tcW w:type="dxa" w:w="24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RPO $6,640億(前年比 +$2,090億)、前払い・持込 $750億、前受収益 $154億 → $308億(1四半期)、納入 850MW(Q4 の約3倍)、GPU 稼働率 97.9%</w:t>
            </w:r>
          </w:p>
        </w:tc>
        <w:tc>
          <w:tcPr>
            <w:tcW w:type="dxa" w:w="247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作動中。「供給優先(NVIDIA の割当)」のリンクは証拠がなく仮説</w:t>
            </w:r>
          </w:p>
        </w:tc>
      </w:tr>
      <w:tr>
        <w:trPr>
          <w:cantSplit/>
          <w:tblHeader w:val="false"/>
        </w:trPr>
        <w:tc>
          <w:tcPr>
            <w:tcW w:type="dxa" w:w="24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ループ B1(均衡・再帰。因果の一部は本報告書の推論)</w:t>
            </w:r>
          </w:p>
        </w:tc>
        <w:tc>
          <w:tcPr>
            <w:tcW w:type="dxa" w:w="24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capex → 借入・リース増 → 格付け低下(BBB-)・CDS 200bp → 株価下落 → 低株価での増資(希薄化)→ 新規契約に前払いを要求(推論)→ RPO 純増の鈍化</w:t>
            </w:r>
          </w:p>
        </w:tc>
        <w:tc>
          <w:tcPr>
            <w:tcW w:type="dxa" w:w="24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S&amp;P 格下げ(2026-07-09)、ATM $200億(平均発行価格は推定 約$141)、RPO 純増 +$850億 → +$260億、新規契約の大半が前払い・持込(会社説明)</w:t>
            </w:r>
          </w:p>
        </w:tc>
        <w:tc>
          <w:tcPr>
            <w:tcW w:type="dxa" w:w="247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現在は B1 が優勢と判断(推論)</w:t>
            </w:r>
          </w:p>
        </w:tc>
      </w:tr>
      <w:tr>
        <w:trPr>
          <w:cantSplit/>
          <w:tblHeader w:val="false"/>
        </w:trPr>
        <w:tc>
          <w:tcPr>
            <w:tcW w:type="dxa" w:w="24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現在の制約(律速段階)</w:t>
            </w:r>
          </w:p>
        </w:tc>
        <w:tc>
          <w:tcPr>
            <w:tcW w:type="dxa" w:w="24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①電力・建屋の納入(物理)②資本(格付けの閾値:S&amp;P はレバレッジ 4.5倍超で再格下げを示唆)。需要は制約ではない(稼働率 97.9%、更新 +20%)</w:t>
            </w:r>
          </w:p>
        </w:tc>
        <w:tc>
          <w:tcPr>
            <w:tcW w:type="dxa" w:w="24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納入 850MW &lt; 見込み約1GW、ニューメキシコ拠点の不可抗力通知、ガス管延期、ガスのトラック輸送(Bloomberg 2026-10-08)</w:t>
            </w:r>
          </w:p>
        </w:tc>
        <w:tc>
          <w:tcPr>
            <w:tcW w:type="dxa" w:w="247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r>
      <w:tr>
        <w:trPr>
          <w:cantSplit/>
          <w:tblHeader w:val="false"/>
        </w:trPr>
        <w:tc>
          <w:tcPr>
            <w:tcW w:type="dxa" w:w="24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制約の解放時期</w:t>
            </w:r>
          </w:p>
        </w:tc>
        <w:tc>
          <w:tcPr>
            <w:tcW w:type="dxa" w:w="24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電力: 2027年前半(ガス管)〜2028年(Shackelford・ニューメキシコ)。資本: FY29(S&amp;P は 2029年の FOCF 黒字化を想定)</w:t>
            </w:r>
          </w:p>
        </w:tc>
        <w:tc>
          <w:tcPr>
            <w:tcW w:type="dxa" w:w="24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Transwestern の FERC 提出書類(2027-02-01)、S&amp;P</w:t>
            </w:r>
          </w:p>
        </w:tc>
        <w:tc>
          <w:tcPr>
            <w:tcW w:type="dxa" w:w="247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変曲点の最有力候補は FY28後半〜FY29</w:t>
            </w:r>
          </w:p>
        </w:tc>
      </w:tr>
    </w:tbl>
    <w:p>
      <w:pPr>
        <w:spacing w:after="80"/>
      </w:pPr>
    </w:p>
    <w:p>
      <w:pPr>
        <w:spacing w:after="120" w:line="300"/>
      </w:pPr>
      <w:r>
        <w:rPr>
          <w:rFonts w:ascii="Arial" w:cs="Arial" w:eastAsia="Yu Gothic" w:hAnsi="Arial"/>
          <w:b/>
          <w:bCs/>
          <w:sz w:val="20"/>
          <w:szCs w:val="20"/>
        </w:rPr>
        <w:t xml:space="preserve">収穫逓増・逓減の判定:</w:t>
      </w:r>
    </w:p>
    <w:p>
      <w:pPr>
        <w:pStyle w:val="ListParagraph"/>
        <w:numPr>
          <w:ilvl w:val="0"/>
          <w:numId w:val="3"/>
        </w:numPr>
        <w:spacing w:after="40" w:line="290"/>
      </w:pPr>
      <w:r>
        <w:rPr>
          <w:rFonts w:ascii="Arial" w:cs="Arial" w:eastAsia="Yu Gothic" w:hAnsi="Arial"/>
          <w:b/>
          <w:bCs/>
          <w:sz w:val="20"/>
          <w:szCs w:val="20"/>
        </w:rPr>
        <w:t xml:space="preserve">規模の経済:</w:t>
      </w:r>
      <w:r>
        <w:rPr>
          <w:rFonts w:ascii="Arial" w:cs="Arial" w:eastAsia="Yu Gothic" w:hAnsi="Arial"/>
          <w:sz w:val="20"/>
          <w:szCs w:val="20"/>
        </w:rPr>
        <w:t xml:space="preserve"> 営業費の分散は証拠あり(Q1 FY27 の営業利益率 42.5% を、AI の構成比上昇の中で維持)。</w:t>
      </w:r>
    </w:p>
    <w:p>
      <w:pPr>
        <w:pStyle w:val="ListParagraph"/>
        <w:numPr>
          <w:ilvl w:val="0"/>
          <w:numId w:val="3"/>
        </w:numPr>
        <w:spacing w:after="40" w:line="290"/>
      </w:pPr>
      <w:r>
        <w:rPr>
          <w:rFonts w:ascii="Arial" w:cs="Arial" w:eastAsia="Yu Gothic" w:hAnsi="Arial"/>
          <w:b/>
          <w:bCs/>
          <w:sz w:val="20"/>
          <w:szCs w:val="20"/>
        </w:rPr>
        <w:t xml:space="preserve">範囲の経済:</w:t>
      </w:r>
      <w:r>
        <w:rPr>
          <w:rFonts w:ascii="Arial" w:cs="Arial" w:eastAsia="Yu Gothic" w:hAnsi="Arial"/>
          <w:sz w:val="20"/>
          <w:szCs w:val="20"/>
        </w:rPr>
        <w:t xml:space="preserve"> DB×クラウド×AI の組み合わせ。マルチクラウド DB +353% が証拠。</w:t>
      </w:r>
    </w:p>
    <w:p>
      <w:pPr>
        <w:pStyle w:val="ListParagraph"/>
        <w:numPr>
          <w:ilvl w:val="0"/>
          <w:numId w:val="3"/>
        </w:numPr>
        <w:spacing w:after="40" w:line="290"/>
      </w:pPr>
      <w:r>
        <w:rPr>
          <w:rFonts w:ascii="Arial" w:cs="Arial" w:eastAsia="Yu Gothic" w:hAnsi="Arial"/>
          <w:b/>
          <w:bCs/>
          <w:sz w:val="20"/>
          <w:szCs w:val="20"/>
        </w:rPr>
        <w:t xml:space="preserve">調達力:</w:t>
      </w:r>
      <w:r>
        <w:rPr>
          <w:rFonts w:ascii="Arial" w:cs="Arial" w:eastAsia="Yu Gothic" w:hAnsi="Arial"/>
          <w:sz w:val="20"/>
          <w:szCs w:val="20"/>
        </w:rPr>
        <w:t xml:space="preserve"> 証拠なし。</w:t>
      </w:r>
    </w:p>
    <w:p>
      <w:pPr>
        <w:pStyle w:val="ListParagraph"/>
        <w:numPr>
          <w:ilvl w:val="0"/>
          <w:numId w:val="3"/>
        </w:numPr>
        <w:spacing w:after="40" w:line="290"/>
      </w:pPr>
      <w:r>
        <w:rPr>
          <w:rFonts w:ascii="Arial" w:cs="Arial" w:eastAsia="Yu Gothic" w:hAnsi="Arial"/>
          <w:b/>
          <w:bCs/>
          <w:sz w:val="20"/>
          <w:szCs w:val="20"/>
        </w:rPr>
        <w:t xml:space="preserve">逓減(規模の不経済)の要素:</w:t>
      </w:r>
      <w:r>
        <w:rPr>
          <w:rFonts w:ascii="Arial" w:cs="Arial" w:eastAsia="Yu Gothic" w:hAnsi="Arial"/>
          <w:sz w:val="20"/>
          <w:szCs w:val="20"/>
        </w:rPr>
        <w:t xml:space="preserve"> 電力単価の上昇(ウィスコンシンで $3億を住民に転嫁しないと表明)、部材高(メモリ)。経営陣は部材高を顧客に転嫁できる契約だと説明している。</w:t>
      </w:r>
    </w:p>
    <w:p>
      <w:pPr>
        <w:pStyle w:val="Heading2"/>
      </w:pPr>
      <w:r>
        <w:rPr>
          <w:rFonts w:ascii="Arial" w:cs="Arial" w:eastAsia="Yu Gothic" w:hAnsi="Arial"/>
        </w:rPr>
        <w:t xml:space="preserve">2-6 需要の連鎖と受注残の質(L4)</w:t>
      </w:r>
    </w:p>
    <w:p>
      <w:pPr>
        <w:spacing w:after="120" w:line="300"/>
      </w:pPr>
      <w:r>
        <w:rPr>
          <w:rFonts w:ascii="Arial" w:cs="Arial" w:eastAsia="Yu Gothic" w:hAnsi="Arial"/>
          <w:b/>
          <w:bCs/>
          <w:sz w:val="20"/>
          <w:szCs w:val="20"/>
        </w:rPr>
        <w:t xml:space="preserve">派生需要の連鎖:</w:t>
      </w:r>
      <w:r>
        <w:rPr>
          <w:rFonts w:ascii="Arial" w:cs="Arial" w:eastAsia="Yu Gothic" w:hAnsi="Arial"/>
          <w:sz w:val="20"/>
          <w:szCs w:val="20"/>
        </w:rPr>
        <w:t xml:space="preserve"> Oracle の AI 容量 ← AI 研究所(OpenAI・Meta・xAI ほか 700社超)← 研究所の資金源(OpenAI は売上 約$500億/年+外部調達。2026-03 に評価額 $8,520億で $1,220億を調達し、FT によれば評価額 $1.2兆での追加調達を協議中)← 最終需要(企業・消費者の AI 利用)。</w:t>
      </w:r>
      <w:r>
        <w:rPr>
          <w:rFonts w:ascii="Arial" w:cs="Arial" w:eastAsia="Yu Gothic" w:hAnsi="Arial"/>
          <w:b/>
          <w:bCs/>
          <w:sz w:val="20"/>
          <w:szCs w:val="20"/>
        </w:rPr>
        <w:t xml:space="preserve">受注残の約45%の最終的な資金源は、OpenAI に資金を出し続ける資本市場の意思である。</w:t>
      </w:r>
    </w:p>
    <w:p>
      <w:pPr>
        <w:spacing w:after="120" w:line="300"/>
      </w:pPr>
      <w:r>
        <w:rPr>
          <w:rFonts w:ascii="Arial" w:cs="Arial" w:eastAsia="Yu Gothic" w:hAnsi="Arial"/>
          <w:b/>
          <w:bCs/>
          <w:sz w:val="20"/>
          <w:szCs w:val="20"/>
        </w:rPr>
        <w:t xml:space="preserve">需要の層:</w:t>
      </w:r>
    </w:p>
    <w:p>
      <w:pPr>
        <w:pStyle w:val="ListParagraph"/>
        <w:numPr>
          <w:ilvl w:val="0"/>
          <w:numId w:val="3"/>
        </w:numPr>
        <w:spacing w:after="40" w:line="290"/>
      </w:pPr>
      <w:r>
        <w:rPr>
          <w:rFonts w:ascii="Arial" w:cs="Arial" w:eastAsia="Yu Gothic" w:hAnsi="Arial"/>
          <w:b/>
          <w:bCs/>
          <w:sz w:val="20"/>
          <w:szCs w:val="20"/>
        </w:rPr>
        <w:t xml:space="preserve">契約済み:</w:t>
      </w:r>
      <w:r>
        <w:rPr>
          <w:rFonts w:ascii="Arial" w:cs="Arial" w:eastAsia="Yu Gothic" w:hAnsi="Arial"/>
          <w:sz w:val="20"/>
          <w:szCs w:val="20"/>
        </w:rPr>
        <w:t xml:space="preserve"> RPO $6,640億。うち約半分が今後36か月で売上化(CFO)。</w:t>
      </w:r>
    </w:p>
    <w:p>
      <w:pPr>
        <w:pStyle w:val="ListParagraph"/>
        <w:numPr>
          <w:ilvl w:val="0"/>
          <w:numId w:val="3"/>
        </w:numPr>
        <w:spacing w:after="40" w:line="290"/>
      </w:pPr>
      <w:r>
        <w:rPr>
          <w:rFonts w:ascii="Arial" w:cs="Arial" w:eastAsia="Yu Gothic" w:hAnsi="Arial"/>
          <w:b/>
          <w:bCs/>
          <w:sz w:val="20"/>
          <w:szCs w:val="20"/>
        </w:rPr>
        <w:t xml:space="preserve">習慣的:</w:t>
      </w:r>
      <w:r>
        <w:rPr>
          <w:rFonts w:ascii="Arial" w:cs="Arial" w:eastAsia="Yu Gothic" w:hAnsi="Arial"/>
          <w:sz w:val="20"/>
          <w:szCs w:val="20"/>
        </w:rPr>
        <w:t xml:space="preserve"> 保守・SaaS の更新。年 約$400億。</w:t>
      </w:r>
    </w:p>
    <w:p>
      <w:pPr>
        <w:pStyle w:val="ListParagraph"/>
        <w:numPr>
          <w:ilvl w:val="0"/>
          <w:numId w:val="3"/>
        </w:numPr>
        <w:spacing w:after="40" w:line="290"/>
      </w:pPr>
      <w:r>
        <w:rPr>
          <w:rFonts w:ascii="Arial" w:cs="Arial" w:eastAsia="Yu Gothic" w:hAnsi="Arial"/>
          <w:b/>
          <w:bCs/>
          <w:sz w:val="20"/>
          <w:szCs w:val="20"/>
        </w:rPr>
        <w:t xml:space="preserve">裁量的:</w:t>
      </w:r>
      <w:r>
        <w:rPr>
          <w:rFonts w:ascii="Arial" w:cs="Arial" w:eastAsia="Yu Gothic" w:hAnsi="Arial"/>
          <w:sz w:val="20"/>
          <w:szCs w:val="20"/>
        </w:rPr>
        <w:t xml:space="preserve"> ライセンス・ハード・サービス。年 約$90〜100億。</w:t>
      </w:r>
    </w:p>
    <w:p>
      <w:pPr>
        <w:spacing w:after="120" w:line="300"/>
      </w:pPr>
      <w:r>
        <w:rPr>
          <w:rFonts w:ascii="Arial" w:cs="Arial" w:eastAsia="Yu Gothic" w:hAnsi="Arial"/>
          <w:sz w:val="20"/>
          <w:szCs w:val="20"/>
        </w:rPr>
        <w:t xml:space="preserve">FY27 売上の約8割は、契約済みか習慣的な需要から来る。</w:t>
      </w:r>
    </w:p>
    <w:p>
      <w:pPr>
        <w:spacing w:after="120" w:line="300"/>
      </w:pPr>
      <w:r>
        <w:rPr>
          <w:rFonts w:ascii="Arial" w:cs="Arial" w:eastAsia="Yu Gothic" w:hAnsi="Arial"/>
          <w:b/>
          <w:bCs/>
          <w:sz w:val="20"/>
          <w:szCs w:val="20"/>
        </w:rPr>
        <w:t xml:space="preserve">受注残の質(両面):</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1"/>
        <w:gridCol w:w="4143"/>
        <w:gridCol w:w="4142"/>
      </w:tblGrid>
      <w:tr>
        <w:trPr>
          <w:cantSplit/>
          <w:tblHeader/>
        </w:trPr>
        <w:tc>
          <w:tcPr>
            <w:tcW w:type="dxa" w:w="162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観点</w:t>
            </w:r>
          </w:p>
        </w:tc>
        <w:tc>
          <w:tcPr>
            <w:tcW w:type="dxa" w:w="414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上振れの証拠</w:t>
            </w:r>
          </w:p>
        </w:tc>
        <w:tc>
          <w:tcPr>
            <w:tcW w:type="dxa" w:w="414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下振れの証拠</w:t>
            </w:r>
          </w:p>
        </w:tc>
      </w:tr>
      <w:tr>
        <w:trPr>
          <w:cantSplit/>
          <w:tblHeader w:val="false"/>
        </w:trPr>
        <w:tc>
          <w:tcPr>
            <w:tcW w:type="dxa" w:w="16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量</w:t>
            </w:r>
          </w:p>
        </w:tc>
        <w:tc>
          <w:tcPr>
            <w:tcW w:type="dxa" w:w="41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RPO $6,640億(前年比 +$2,090億)、Q1 新規の AI 契約 $300億超</w:t>
            </w:r>
          </w:p>
        </w:tc>
        <w:tc>
          <w:tcPr>
            <w:tcW w:type="dxa" w:w="41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四半期の純増は +$3,170億 → +$680億 → +$300億 → +$850億 → +$260億と不安定</w:t>
            </w:r>
          </w:p>
        </w:tc>
      </w:tr>
      <w:tr>
        <w:trPr>
          <w:cantSplit/>
          <w:tblHeader w:val="false"/>
        </w:trPr>
        <w:tc>
          <w:tcPr>
            <w:tcW w:type="dxa" w:w="16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需要の強さ</w:t>
            </w:r>
          </w:p>
        </w:tc>
        <w:tc>
          <w:tcPr>
            <w:tcW w:type="dxa" w:w="41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前払い・持込 $750億。顧客が自ら資本を負担してでも欲しがっている。前受収益は1四半期で倍増</w:t>
            </w:r>
          </w:p>
        </w:tc>
        <w:tc>
          <w:tcPr>
            <w:tcW w:type="dxa" w:w="41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新規契約の大半が前払い・持込であるのは、Oracle の資本制約の裏返しでもある(推論)</w:t>
            </w:r>
          </w:p>
        </w:tc>
      </w:tr>
      <w:tr>
        <w:trPr>
          <w:cantSplit/>
          <w:tblHeader w:val="false"/>
        </w:trPr>
        <w:tc>
          <w:tcPr>
            <w:tcW w:type="dxa" w:w="16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集中</w:t>
            </w:r>
          </w:p>
        </w:tc>
        <w:tc>
          <w:tcPr>
            <w:tcW w:type="dxa" w:w="41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非 OpenAI の RPO は前年比2倍超(経営陣)、AI 顧客 700社超</w:t>
            </w:r>
          </w:p>
        </w:tc>
        <w:tc>
          <w:tcPr>
            <w:tcW w:type="dxa" w:w="41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OpenAI 約$3,000億(WSJ 報道。Oracle は金額を確認していない)。RPO の 45〜50%(S&amp;P・BofA の推定)</w:t>
            </w:r>
          </w:p>
        </w:tc>
      </w:tr>
      <w:tr>
        <w:trPr>
          <w:cantSplit/>
          <w:tblHeader w:val="false"/>
        </w:trPr>
        <w:tc>
          <w:tcPr>
            <w:tcW w:type="dxa" w:w="16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確率×影響−代替需要</w:t>
            </w:r>
          </w:p>
        </w:tc>
        <w:tc>
          <w:tcPr>
            <w:tcW w:type="dxa" w:w="41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代替需要: ハイパースケーラーの受注残(AWS $4,960億、Azure $6,780億、Google $5,140億)、貸出単価の上昇</w:t>
            </w:r>
          </w:p>
        </w:tc>
        <w:tc>
          <w:tcPr>
            <w:tcW w:type="dxa" w:w="41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全体の逆回転と同時に起きれば代替需要も消える(相関)</w:t>
            </w:r>
          </w:p>
        </w:tc>
      </w:tr>
    </w:tbl>
    <w:p>
      <w:pPr>
        <w:spacing w:after="80"/>
      </w:pPr>
    </w:p>
    <w:p>
      <w:pPr>
        <w:spacing w:after="120" w:line="300"/>
      </w:pPr>
      <w:r>
        <w:rPr>
          <w:rFonts w:ascii="Arial" w:cs="Arial" w:eastAsia="Yu Gothic" w:hAnsi="Arial"/>
          <w:b/>
          <w:bCs/>
          <w:sz w:val="20"/>
          <w:szCs w:val="20"/>
        </w:rPr>
        <w:t xml:space="preserve">サイクルの位置:</w:t>
      </w:r>
      <w:r>
        <w:rPr>
          <w:rFonts w:ascii="Arial" w:cs="Arial" w:eastAsia="Yu Gothic" w:hAnsi="Arial"/>
          <w:sz w:val="20"/>
          <w:szCs w:val="20"/>
        </w:rPr>
        <w:t xml:space="preserve"> ハイパースケーラーの capex は 2026年に AWS 約$2,200億、Google $1,950〜2,050億、Microsoft 約$1,750億と加速している。貸出単価は上昇し、更新単価も上がり、供給は電力で律速されている。拡大局面の後半と判断する。ただし AI 容量の利益率はピークではなく立上げ途中(Jカーブ)にあるため、利益の正規化は「上方」に働く(2-8)。</w:t>
      </w:r>
    </w:p>
    <w:p>
      <w:pPr>
        <w:pStyle w:val="Heading2"/>
      </w:pPr>
      <w:r>
        <w:rPr>
          <w:rFonts w:ascii="Arial" w:cs="Arial" w:eastAsia="Yu Gothic" w:hAnsi="Arial"/>
        </w:rPr>
        <w:t xml:space="preserve">2-7 資本の出し手マップと資産の経済的生産性(L5)</w:t>
      </w:r>
    </w:p>
    <w:p>
      <w:pPr>
        <w:keepNext/>
        <w:spacing w:after="40" w:before="80"/>
        <w:jc w:val="center"/>
      </w:pPr>
      <w:r>
        <w:drawing>
          <wp:inline distT="0" distB="0" distL="0" distR="0">
            <wp:extent cx="553402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34025" cy="2886075"/>
                    </a:xfrm>
                    <a:prstGeom prst="rect">
                      <a:avLst/>
                    </a:prstGeom>
                  </pic:spPr>
                </pic:pic>
              </a:graphicData>
            </a:graphic>
          </wp:inline>
        </w:drawing>
      </w:r>
    </w:p>
    <w:p>
      <w:pPr>
        <w:spacing w:after="160"/>
        <w:jc w:val="center"/>
      </w:pPr>
      <w:r>
        <w:rPr>
          <w:rFonts w:ascii="Arial" w:cs="Arial" w:eastAsia="Yu Gothic" w:hAnsi="Arial"/>
          <w:i/>
          <w:iCs/>
          <w:color w:val="5A6B7D"/>
          <w:sz w:val="17"/>
          <w:szCs w:val="17"/>
        </w:rPr>
        <w:t xml:space="preserve">図F15b 資本の出し手マップ(B$)。未開始リースは簿外(出典: Oracle 10-Q 2026-08-31、プレスリリース、H3 調査)</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0"/>
        <w:gridCol w:w="1860"/>
        <w:gridCol w:w="1658"/>
        <w:gridCol w:w="1860"/>
        <w:gridCol w:w="1779"/>
        <w:gridCol w:w="1859"/>
      </w:tblGrid>
      <w:tr>
        <w:trPr>
          <w:cantSplit/>
          <w:tblHeader/>
        </w:trPr>
        <w:tc>
          <w:tcPr>
            <w:tcW w:type="dxa" w:w="89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出し手</w:t>
            </w:r>
          </w:p>
        </w:tc>
        <w:tc>
          <w:tcPr>
            <w:tcW w:type="dxa" w:w="186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金額</w:t>
            </w:r>
          </w:p>
        </w:tc>
        <w:tc>
          <w:tcPr>
            <w:tcW w:type="dxa" w:w="165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コスト</w:t>
            </w:r>
          </w:p>
        </w:tc>
        <w:tc>
          <w:tcPr>
            <w:tcW w:type="dxa" w:w="186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期間・条件</w:t>
            </w:r>
          </w:p>
        </w:tc>
        <w:tc>
          <w:tcPr>
            <w:tcW w:type="dxa" w:w="177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何を取りに行くための資本か(意図)</w:t>
            </w:r>
          </w:p>
        </w:tc>
        <w:tc>
          <w:tcPr>
            <w:tcW w:type="dxa" w:w="185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1株当たり価値への純効果</w:t>
            </w:r>
          </w:p>
        </w:tc>
      </w:tr>
      <w:tr>
        <w:trPr>
          <w:cantSplit/>
          <w:tblHeader w:val="false"/>
        </w:trPr>
        <w:tc>
          <w:tcPr>
            <w:tcW w:type="dxa" w:w="89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社債・借入</w:t>
            </w:r>
          </w:p>
        </w:tc>
        <w:tc>
          <w:tcPr>
            <w:tcW w:type="dxa" w:w="18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$1,253億(2026-08)</w:t>
            </w:r>
          </w:p>
        </w:tc>
        <w:tc>
          <w:tcPr>
            <w:tcW w:type="dxa" w:w="16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10年債利回り 約6.5%(2026-07)、CDS 約200bp</w:t>
            </w:r>
          </w:p>
        </w:tc>
        <w:tc>
          <w:tcPr>
            <w:tcW w:type="dxa" w:w="18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3〜40年。2025-09 に $180億、2026-02 に $250億(8本、応募 4.3倍)</w:t>
            </w:r>
          </w:p>
        </w:tc>
        <w:tc>
          <w:tcPr>
            <w:tcW w:type="dxa" w:w="17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契約済み容量の GPU・設備</w:t>
            </w:r>
          </w:p>
        </w:tc>
        <w:tc>
          <w:tcPr>
            <w:tcW w:type="dxa" w:w="185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契約裏付け率 4.0倍(下記)。IRR 17% &gt; 借入コスト 6.5% なら価値を増やす</w:t>
            </w:r>
          </w:p>
        </w:tc>
      </w:tr>
      <w:tr>
        <w:trPr>
          <w:cantSplit/>
          <w:tblHeader w:val="false"/>
        </w:trPr>
        <w:tc>
          <w:tcPr>
            <w:tcW w:type="dxa" w:w="89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株主(ATM 普通株)</w:t>
            </w:r>
          </w:p>
        </w:tc>
        <w:tc>
          <w:tcPr>
            <w:tcW w:type="dxa" w:w="18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$200億(Q1 FY27 に完了、約1.41億株〔T3〕。平均発行価格は逆算で約$141〔推定〕)</w:t>
            </w:r>
          </w:p>
        </w:tc>
        <w:tc>
          <w:tcPr>
            <w:tcW w:type="dxa" w:w="16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希薄化 4.8%</w:t>
            </w:r>
          </w:p>
        </w:tc>
        <w:tc>
          <w:tcPr>
            <w:tcW w:type="dxa" w:w="18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17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投資適格格付けの維持</w:t>
            </w:r>
          </w:p>
        </w:tc>
        <w:tc>
          <w:tcPr>
            <w:tcW w:type="dxa" w:w="185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反実仮想(同額を借入): EPS への影響は −4.6%(増資)対 −4.2%(借入)でほぼ同じ。借入なら S&amp;P の閾値 4.5倍を超え、ジャンク転落の確率が上がる。→ 純効果はわずかにプラス(格付けの崖を回避)</w:t>
            </w:r>
          </w:p>
        </w:tc>
      </w:tr>
      <w:tr>
        <w:trPr>
          <w:cantSplit/>
          <w:tblHeader w:val="false"/>
        </w:trPr>
        <w:tc>
          <w:tcPr>
            <w:tcW w:type="dxa" w:w="89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株主(強制転換優先株)</w:t>
            </w:r>
          </w:p>
        </w:tc>
        <w:tc>
          <w:tcPr>
            <w:tcW w:type="dxa" w:w="18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$50億(2026-02、配当 6.5%)</w:t>
            </w:r>
          </w:p>
        </w:tc>
        <w:tc>
          <w:tcPr>
            <w:tcW w:type="dxa" w:w="16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2029年に普通株 2,500〜3,100万株へ転換</w:t>
            </w:r>
          </w:p>
        </w:tc>
        <w:tc>
          <w:tcPr>
            <w:tcW w:type="dxa" w:w="18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17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同上</w:t>
            </w:r>
          </w:p>
        </w:tc>
        <w:tc>
          <w:tcPr>
            <w:tcW w:type="dxa" w:w="185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希薄化 約1%</w:t>
            </w:r>
          </w:p>
        </w:tc>
      </w:tr>
      <w:tr>
        <w:trPr>
          <w:cantSplit/>
          <w:tblHeader w:val="false"/>
        </w:trPr>
        <w:tc>
          <w:tcPr>
            <w:tcW w:type="dxa" w:w="89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顧客(前払い・持込 GPU)</w:t>
            </w:r>
          </w:p>
        </w:tc>
        <w:tc>
          <w:tcPr>
            <w:tcW w:type="dxa" w:w="18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累計 $750億。うち重要な金融要素を含む前払い $114億(10-Q)</w:t>
            </w:r>
          </w:p>
        </w:tc>
        <w:tc>
          <w:tcPr>
            <w:tcW w:type="dxa" w:w="16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暗黙の利率(非開示)</w:t>
            </w:r>
          </w:p>
        </w:tc>
        <w:tc>
          <w:tcPr>
            <w:tcW w:type="dxa" w:w="18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契約期間</w:t>
            </w:r>
          </w:p>
        </w:tc>
        <w:tc>
          <w:tcPr>
            <w:tcW w:type="dxa" w:w="17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GPU の資本と陳腐化リスクを顧客に移す</w:t>
            </w:r>
          </w:p>
        </w:tc>
        <w:tc>
          <w:tcPr>
            <w:tcW w:type="dxa" w:w="185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純現金 capex を総額 $900〜950億 → $700億以下に圧縮。前払いは不払い時の担保にもなる</w:t>
            </w:r>
          </w:p>
        </w:tc>
      </w:tr>
      <w:tr>
        <w:trPr>
          <w:cantSplit/>
          <w:tblHeader w:val="false"/>
        </w:trPr>
        <w:tc>
          <w:tcPr>
            <w:tcW w:type="dxa" w:w="89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顧客(前受収益)</w:t>
            </w:r>
          </w:p>
        </w:tc>
        <w:tc>
          <w:tcPr>
            <w:tcW w:type="dxa" w:w="18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$308億(2026-08、前期末 $154億)</w:t>
            </w:r>
          </w:p>
        </w:tc>
        <w:tc>
          <w:tcPr>
            <w:tcW w:type="dxa" w:w="16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18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1年超の部分 $161億</w:t>
            </w:r>
          </w:p>
        </w:tc>
        <w:tc>
          <w:tcPr>
            <w:tcW w:type="dxa" w:w="17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185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需要の強さの証拠。将来の売上は現金を伴わない(両面)</w:t>
            </w:r>
          </w:p>
        </w:tc>
      </w:tr>
      <w:tr>
        <w:trPr>
          <w:cantSplit/>
          <w:tblHeader w:val="false"/>
        </w:trPr>
        <w:tc>
          <w:tcPr>
            <w:tcW w:type="dxa" w:w="89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開発業者・貸主(リース)</w:t>
            </w:r>
          </w:p>
        </w:tc>
        <w:tc>
          <w:tcPr>
            <w:tcW w:type="dxa" w:w="18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認識済み $438億 + 未開始 $2,880億(15〜19年、FY27 Q2〜FY29 に開始)</w:t>
            </w:r>
          </w:p>
        </w:tc>
        <w:tc>
          <w:tcPr>
            <w:tcW w:type="dxa" w:w="16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賃料(非開示)</w:t>
            </w:r>
          </w:p>
        </w:tc>
        <w:tc>
          <w:tcPr>
            <w:tcW w:type="dxa" w:w="18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ニューメキシコ拠点のリースは解約不能(Reuters 関係者)。他拠点の条項は非開示</w:t>
            </w:r>
          </w:p>
        </w:tc>
        <w:tc>
          <w:tcPr>
            <w:tcW w:type="dxa" w:w="17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建屋と電力を他人の資本で建てる(資本の外部化)</w:t>
            </w:r>
          </w:p>
        </w:tc>
        <w:tc>
          <w:tcPr>
            <w:tcW w:type="dxa" w:w="185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建屋の陳腐化は遅く、電力が希少な間は価値を保つ。契約(5〜6年)との期間差 9〜14年が残る</w:t>
            </w:r>
          </w:p>
        </w:tc>
      </w:tr>
      <w:tr>
        <w:trPr>
          <w:cantSplit/>
          <w:tblHeader w:val="false"/>
        </w:trPr>
        <w:tc>
          <w:tcPr>
            <w:tcW w:type="dxa" w:w="89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電力パートナー</w:t>
            </w:r>
          </w:p>
        </w:tc>
        <w:tc>
          <w:tcPr>
            <w:tcW w:type="dxa" w:w="18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確保済み 10GW 超のうち 90% 超がパートナー資金(Q3 FY26)</w:t>
            </w:r>
          </w:p>
        </w:tc>
        <w:tc>
          <w:tcPr>
            <w:tcW w:type="dxa" w:w="16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18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17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電力の確保</w:t>
            </w:r>
          </w:p>
        </w:tc>
        <w:tc>
          <w:tcPr>
            <w:tcW w:type="dxa" w:w="185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制約の解放を他人の資本で行う</w:t>
            </w:r>
          </w:p>
        </w:tc>
      </w:tr>
    </w:tbl>
    <w:p>
      <w:pPr>
        <w:spacing w:after="80"/>
      </w:pPr>
    </w:p>
    <w:p>
      <w:pPr>
        <w:spacing w:after="120" w:line="300"/>
      </w:pPr>
      <w:r>
        <w:rPr>
          <w:rFonts w:ascii="Arial" w:cs="Arial" w:eastAsia="Yu Gothic" w:hAnsi="Arial"/>
          <w:b/>
          <w:bCs/>
          <w:sz w:val="20"/>
          <w:szCs w:val="20"/>
        </w:rPr>
        <w:t xml:space="preserve">契約裏付け率:</w:t>
      </w:r>
    </w:p>
    <w:p>
      <w:pPr>
        <w:pStyle w:val="ListParagraph"/>
        <w:numPr>
          <w:ilvl w:val="0"/>
          <w:numId w:val="3"/>
        </w:numPr>
        <w:spacing w:after="40" w:line="290"/>
      </w:pPr>
      <w:r>
        <w:rPr>
          <w:rFonts w:ascii="Arial" w:cs="Arial" w:eastAsia="Yu Gothic" w:hAnsi="Arial"/>
          <w:b/>
          <w:bCs/>
          <w:sz w:val="20"/>
          <w:szCs w:val="20"/>
        </w:rPr>
        <w:t xml:space="preserve">分子:</w:t>
      </w:r>
      <w:r>
        <w:rPr>
          <w:rFonts w:ascii="Arial" w:cs="Arial" w:eastAsia="Yu Gothic" w:hAnsi="Arial"/>
          <w:sz w:val="20"/>
          <w:szCs w:val="20"/>
        </w:rPr>
        <w:t xml:space="preserve"> 受注残の年間転換額 $1,107億(RPO の半分が36か月で売上化)</w:t>
      </w:r>
    </w:p>
    <w:p>
      <w:pPr>
        <w:pStyle w:val="ListParagraph"/>
        <w:numPr>
          <w:ilvl w:val="0"/>
          <w:numId w:val="3"/>
        </w:numPr>
        <w:spacing w:after="40" w:line="290"/>
      </w:pPr>
      <w:r>
        <w:rPr>
          <w:rFonts w:ascii="Arial" w:cs="Arial" w:eastAsia="Yu Gothic" w:hAnsi="Arial"/>
          <w:b/>
          <w:bCs/>
          <w:sz w:val="20"/>
          <w:szCs w:val="20"/>
        </w:rPr>
        <w:t xml:space="preserve">分母:</w:t>
      </w:r>
      <w:r>
        <w:rPr>
          <w:rFonts w:ascii="Arial" w:cs="Arial" w:eastAsia="Yu Gothic" w:hAnsi="Arial"/>
          <w:sz w:val="20"/>
          <w:szCs w:val="20"/>
        </w:rPr>
        <w:t xml:space="preserve"> 元利払い等 $279億(支払利息 約$60億 + リース支払 約$219億。現行分 約$50億 + 未開始 $2,880億 ÷ 17年)</w:t>
      </w:r>
    </w:p>
    <w:p>
      <w:pPr>
        <w:pStyle w:val="ListParagraph"/>
        <w:numPr>
          <w:ilvl w:val="0"/>
          <w:numId w:val="3"/>
        </w:numPr>
        <w:spacing w:after="40" w:line="290"/>
      </w:pPr>
      <w:r>
        <w:rPr>
          <w:rFonts w:ascii="Arial" w:cs="Arial" w:eastAsia="Yu Gothic" w:hAnsi="Arial"/>
          <w:b/>
          <w:bCs/>
          <w:sz w:val="20"/>
          <w:szCs w:val="20"/>
        </w:rPr>
        <w:t xml:space="preserve">結果:</w:t>
      </w:r>
      <w:r>
        <w:rPr>
          <w:rFonts w:ascii="Arial" w:cs="Arial" w:eastAsia="Yu Gothic" w:hAnsi="Arial"/>
          <w:sz w:val="20"/>
          <w:szCs w:val="20"/>
        </w:rPr>
        <w:t xml:space="preserve"> 4.0倍。借入とリースは「契約済み需要を取り込むためのレバレッジ」と評価できる。ただし分子の約45%は OpenAI である。</w:t>
      </w:r>
    </w:p>
    <w:p>
      <w:pPr>
        <w:spacing w:after="120" w:line="300"/>
      </w:pPr>
      <w:r>
        <w:rPr>
          <w:rFonts w:ascii="Arial" w:cs="Arial" w:eastAsia="Yu Gothic" w:hAnsi="Arial"/>
          <w:b/>
          <w:bCs/>
          <w:sz w:val="20"/>
          <w:szCs w:val="20"/>
        </w:rPr>
        <w:t xml:space="preserve">資産の外部化と ROE:</w:t>
      </w:r>
      <w:r>
        <w:rPr>
          <w:rFonts w:ascii="Arial" w:cs="Arial" w:eastAsia="Yu Gothic" w:hAnsi="Arial"/>
          <w:sz w:val="20"/>
          <w:szCs w:val="20"/>
        </w:rPr>
        <w:t xml:space="preserve"> 建屋(リース)・GPU の一部(持込)・電力(パートナー)を外に出したことで、Oracle の株主資本 $668億に対して RPO は $6,640億ある。残った義務(未開始リース $2,880億、保証 $33億〔10-K 時点、満期 2026-09。10-Q での残存は不明〕)を同じ表に並べると、外部化は「資本効率の工夫」であると同時に「長期の固定費の引受け」である。純効果は、契約後の容量を貸し直せるかどうか(芯①)で決まる。</w:t>
      </w:r>
    </w:p>
    <w:p>
      <w:pPr>
        <w:spacing w:after="120" w:line="300"/>
      </w:pPr>
      <w:r>
        <w:rPr>
          <w:rFonts w:ascii="Arial" w:cs="Arial" w:eastAsia="Yu Gothic" w:hAnsi="Arial"/>
          <w:b/>
          <w:bCs/>
          <w:sz w:val="20"/>
          <w:szCs w:val="20"/>
        </w:rPr>
        <w:t xml:space="preserve">経済的耐用年数と会計耐用年数の差(両方向):</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2"/>
        <w:gridCol w:w="3997"/>
        <w:gridCol w:w="3997"/>
      </w:tblGrid>
      <w:tr>
        <w:trPr>
          <w:cantSplit/>
          <w:tblHeader/>
        </w:trPr>
        <w:tc>
          <w:tcPr>
            <w:tcW w:type="dxa" w:w="191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方向</w:t>
            </w:r>
          </w:p>
        </w:tc>
        <w:tc>
          <w:tcPr>
            <w:tcW w:type="dxa" w:w="399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証拠</w:t>
            </w:r>
          </w:p>
        </w:tc>
        <w:tc>
          <w:tcPr>
            <w:tcW w:type="dxa" w:w="399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1株当たり利益への効果</w:t>
            </w:r>
          </w:p>
        </w:tc>
      </w:tr>
      <w:tr>
        <w:trPr>
          <w:cantSplit/>
          <w:tblHeader w:val="false"/>
        </w:trPr>
        <w:tc>
          <w:tcPr>
            <w:tcW w:type="dxa" w:w="191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上方(経済的寿命 &gt; 6年)</w:t>
            </w:r>
          </w:p>
        </w:tc>
        <w:tc>
          <w:tcPr>
            <w:tcW w:type="dxa" w:w="399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更新期の GPU(過半が4年超)の全量が従来契約比 +20% で更新・再販(Q1 FY27、更新と再販の合算)、Q4 FY26 は顧客の 49% が GPU の 92% を更新、稼働率 97.9%、H100 指数 +40%(2025-12 → 2026-08)、SemiAnalysis「H100 の契約は当初単価のまま更新、一部は 2028年まで延長」</w:t>
            </w:r>
          </w:p>
        </w:tc>
        <w:tc>
          <w:tcPr>
            <w:tcW w:type="dxa" w:w="399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償却済み GPU が稼ぐ「会計に出ない利益」。2031年以降に効く</w:t>
            </w:r>
          </w:p>
        </w:tc>
      </w:tr>
      <w:tr>
        <w:trPr>
          <w:cantSplit/>
          <w:tblHeader w:val="false"/>
        </w:trPr>
        <w:tc>
          <w:tcPr>
            <w:tcW w:type="dxa" w:w="191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下方(経済的寿命 &lt; 6年)</w:t>
            </w:r>
          </w:p>
        </w:tc>
        <w:tc>
          <w:tcPr>
            <w:tcW w:type="dxa" w:w="399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中古 H100 の売買価格は $4万 → $1.2〜2.2万に下落。次世代 GPU(2026〜27年)で旧世代の単価が崩れる可能性</w:t>
            </w:r>
          </w:p>
        </w:tc>
        <w:tc>
          <w:tcPr>
            <w:tcW w:type="dxa" w:w="399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耐用年数を4年にすると FY27 EPS −$1.71(IT 機器の総額 $778億 ÷ 4年 − ÷6年、税引後)</w:t>
            </w:r>
          </w:p>
        </w:tc>
      </w:tr>
      <w:tr>
        <w:trPr>
          <w:cantSplit/>
          <w:tblHeader w:val="false"/>
        </w:trPr>
        <w:tc>
          <w:tcPr>
            <w:tcW w:type="dxa" w:w="191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履歴</w:t>
            </w:r>
          </w:p>
        </w:tc>
        <w:tc>
          <w:tcPr>
            <w:tcW w:type="dxa" w:w="399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FY25 に5年 → 6年へ延長(FY25 の営業費用 −$7.33億、EPS +$0.20)。FY26 は変更なし</w:t>
            </w:r>
          </w:p>
        </w:tc>
        <w:tc>
          <w:tcPr>
            <w:tcW w:type="dxa" w:w="399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延長は、更新データが示す使用実績と整合する。操作の兆候とは読まない</w:t>
            </w:r>
          </w:p>
        </w:tc>
      </w:tr>
    </w:tbl>
    <w:p>
      <w:pPr>
        <w:spacing w:after="80"/>
      </w:pPr>
    </w:p>
    <w:p>
      <w:pPr>
        <w:keepNext/>
        <w:spacing w:after="40" w:before="80"/>
        <w:jc w:val="center"/>
      </w:pPr>
      <w:r>
        <w:drawing>
          <wp:inline distT="0" distB="0" distL="0" distR="0">
            <wp:extent cx="53435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43525" cy="2895600"/>
                    </a:xfrm>
                    <a:prstGeom prst="rect">
                      <a:avLst/>
                    </a:prstGeom>
                  </pic:spPr>
                </pic:pic>
              </a:graphicData>
            </a:graphic>
          </wp:inline>
        </w:drawing>
      </w:r>
    </w:p>
    <w:p>
      <w:pPr>
        <w:spacing w:after="160"/>
        <w:jc w:val="center"/>
      </w:pPr>
      <w:r>
        <w:rPr>
          <w:rFonts w:ascii="Arial" w:cs="Arial" w:eastAsia="Yu Gothic" w:hAnsi="Arial"/>
          <w:i/>
          <w:iCs/>
          <w:color w:val="5A6B7D"/>
          <w:sz w:val="17"/>
          <w:szCs w:val="17"/>
        </w:rPr>
        <w:t xml:space="preserve">参考図3 H100 の GPU 時間単価の推移(ドル/時)。2025-12 を底に反転。系列の定義は出典ごとに異なる(出典: Silicon Data、SemiAnalysis ほか)</w:t>
      </w:r>
    </w:p>
    <w:p>
      <w:pPr>
        <w:spacing w:after="120" w:line="300"/>
      </w:pPr>
      <w:r>
        <w:rPr>
          <w:rFonts w:ascii="Arial" w:cs="Arial" w:eastAsia="Yu Gothic" w:hAnsi="Arial"/>
          <w:b/>
          <w:bCs/>
          <w:sz w:val="20"/>
          <w:szCs w:val="20"/>
        </w:rPr>
        <w:t xml:space="preserve">エンジン別の増分 ROIC:</w:t>
      </w:r>
      <w:r>
        <w:rPr>
          <w:rFonts w:ascii="Arial" w:cs="Arial" w:eastAsia="Yu Gothic" w:hAnsi="Arial"/>
          <w:sz w:val="20"/>
          <w:szCs w:val="20"/>
        </w:rPr>
        <w:t xml:space="preserve"> コアは資本軽量で、推定 ROIC 35%以上。AI は案件 IRR 17%(ベース)。会社は「定常状態の案件レベル ROIC は 20%台後半」と説明する(Maxson、単一出典)。前払い・持込で Oracle の正味資本が減る分、会社の値は IRR より高く出る。</w:t>
      </w:r>
      <w:r>
        <w:rPr>
          <w:rFonts w:ascii="Arial" w:cs="Arial" w:eastAsia="Yu Gothic" w:hAnsi="Arial"/>
          <w:b/>
          <w:bCs/>
          <w:sz w:val="20"/>
          <w:szCs w:val="20"/>
        </w:rPr>
        <w:t xml:space="preserve">増分 ROIC は資本コスト(AI 10%)を上回るが、その差は大きくない(価値創造は 1GW あたり $59億、投資 $250億の約24%)。</w:t>
      </w:r>
    </w:p>
    <w:p>
      <w:pPr>
        <w:spacing w:after="120" w:line="300"/>
      </w:pPr>
      <w:r>
        <w:rPr>
          <w:rFonts w:ascii="Arial" w:cs="Arial" w:eastAsia="Yu Gothic" w:hAnsi="Arial"/>
          <w:b/>
          <w:bCs/>
          <w:sz w:val="20"/>
          <w:szCs w:val="20"/>
        </w:rPr>
        <w:t xml:space="preserve">株価と資本コストの再帰性(原則15):</w:t>
      </w:r>
      <w:r>
        <w:rPr>
          <w:rFonts w:ascii="Arial" w:cs="Arial" w:eastAsia="Yu Gothic" w:hAnsi="Arial"/>
          <w:sz w:val="20"/>
          <w:szCs w:val="20"/>
        </w:rPr>
        <w:t xml:space="preserve"> 株価が $308(共同CEO のオプション行使価格)から $141 に下がったことで、株式は高価な資本になった。$200億の増資は 4.8% の希薄化を要した。CDS 200bp は借入コストを押し上げ、Oracle に新規契約の前払い・持込を要求させている。この再帰は下方にも上方にも働く。株価が戻れば、増資は1株価値を増やす手段に変わる。</w:t>
      </w:r>
    </w:p>
    <w:p>
      <w:pPr>
        <w:pStyle w:val="Heading2"/>
      </w:pPr>
      <w:r>
        <w:rPr>
          <w:rFonts w:ascii="Arial" w:cs="Arial" w:eastAsia="Yu Gothic" w:hAnsi="Arial"/>
        </w:rPr>
        <w:t xml:space="preserve">2-8 時間構造と定常状態利益(L6)</w:t>
      </w:r>
    </w:p>
    <w:p>
      <w:pPr>
        <w:pStyle w:val="ListParagraph"/>
        <w:numPr>
          <w:ilvl w:val="0"/>
          <w:numId w:val="3"/>
        </w:numPr>
        <w:spacing w:after="40" w:line="290"/>
      </w:pPr>
      <w:r>
        <w:rPr>
          <w:rFonts w:ascii="Arial" w:cs="Arial" w:eastAsia="Yu Gothic" w:hAnsi="Arial"/>
          <w:b/>
          <w:bCs/>
          <w:sz w:val="20"/>
          <w:szCs w:val="20"/>
        </w:rPr>
        <w:t xml:space="preserve">フロー → ストック:</w:t>
      </w:r>
      <w:r>
        <w:rPr>
          <w:rFonts w:ascii="Arial" w:cs="Arial" w:eastAsia="Yu Gothic" w:hAnsi="Arial"/>
          <w:sz w:val="20"/>
          <w:szCs w:val="20"/>
        </w:rPr>
        <w:t xml:space="preserve"> AI 容量は一度納入されると5〜6年のストック収益になる(RPO)。保守と SaaS も年次更新のストックである。FY27 売上の約8割はストック性の収益になる。</w:t>
      </w:r>
    </w:p>
    <w:p>
      <w:pPr>
        <w:pStyle w:val="ListParagraph"/>
        <w:numPr>
          <w:ilvl w:val="0"/>
          <w:numId w:val="3"/>
        </w:numPr>
        <w:spacing w:after="40" w:line="290"/>
      </w:pPr>
      <w:r>
        <w:rPr>
          <w:rFonts w:ascii="Arial" w:cs="Arial" w:eastAsia="Yu Gothic" w:hAnsi="Arial"/>
          <w:b/>
          <w:bCs/>
          <w:sz w:val="20"/>
          <w:szCs w:val="20"/>
        </w:rPr>
        <w:t xml:space="preserve">Jカーブ:</w:t>
      </w:r>
      <w:r>
        <w:rPr>
          <w:rFonts w:ascii="Arial" w:cs="Arial" w:eastAsia="Yu Gothic" w:hAnsi="Arial"/>
          <w:sz w:val="20"/>
          <w:szCs w:val="20"/>
        </w:rPr>
        <w:t xml:space="preserve"> 新しい容量は、リースの開始と GPU の償却が売上の立ち上がりより先に来る。全社粗利率は FY26 に約5pt 低下し、FY27 も低下する見込みである(CFO)。FY27 の立上げ費用を定常状態の利益率(EBIT 28〜29%。ここでは保守的に 28%)に戻すと、1株 +$0.85 の上振れになる(定常状態 EPS の補正、Appendix B)。</w:t>
      </w:r>
    </w:p>
    <w:p>
      <w:pPr>
        <w:pStyle w:val="ListParagraph"/>
        <w:numPr>
          <w:ilvl w:val="0"/>
          <w:numId w:val="3"/>
        </w:numPr>
        <w:spacing w:after="40" w:line="290"/>
      </w:pPr>
      <w:r>
        <w:rPr>
          <w:rFonts w:ascii="Arial" w:cs="Arial" w:eastAsia="Yu Gothic" w:hAnsi="Arial"/>
          <w:b/>
          <w:bCs/>
          <w:sz w:val="20"/>
          <w:szCs w:val="20"/>
        </w:rPr>
        <w:t xml:space="preserve">定常状態利益(成長投資を止めた場合):</w:t>
      </w:r>
      <w:r>
        <w:rPr>
          <w:rFonts w:ascii="Arial" w:cs="Arial" w:eastAsia="Yu Gothic" w:hAnsi="Arial"/>
          <w:sz w:val="20"/>
          <w:szCs w:val="20"/>
        </w:rPr>
        <w:t xml:space="preserve"> 次の合計で $292億になる。株主資本コスト 9.5% で割ると </w:t>
      </w:r>
      <w:r>
        <w:rPr>
          <w:rFonts w:ascii="Arial" w:cs="Arial" w:eastAsia="Yu Gothic" w:hAnsi="Arial"/>
          <w:b/>
          <w:bCs/>
          <w:sz w:val="20"/>
          <w:szCs w:val="20"/>
        </w:rPr>
        <w:t xml:space="preserve">$3,076億(1株 $101)</w:t>
      </w:r>
      <w:r>
        <w:rPr>
          <w:rFonts w:ascii="Arial" w:cs="Arial" w:eastAsia="Yu Gothic" w:hAnsi="Arial"/>
          <w:sz w:val="20"/>
          <w:szCs w:val="20"/>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91"/>
        <w:gridCol w:w="835"/>
        <w:gridCol w:w="3580"/>
      </w:tblGrid>
      <w:tr>
        <w:trPr>
          <w:cantSplit/>
          <w:tblHeader/>
        </w:trPr>
        <w:tc>
          <w:tcPr>
            <w:tcW w:type="dxa" w:w="549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項目</w:t>
            </w:r>
          </w:p>
        </w:tc>
        <w:tc>
          <w:tcPr>
            <w:tcW w:type="dxa" w:w="83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金額</w:t>
            </w:r>
          </w:p>
        </w:tc>
        <w:tc>
          <w:tcPr>
            <w:tcW w:type="dxa" w:w="358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内訳</w:t>
            </w:r>
          </w:p>
        </w:tc>
      </w:tr>
      <w:tr>
        <w:trPr>
          <w:cantSplit/>
          <w:tblHeader w:val="false"/>
        </w:trPr>
        <w:tc>
          <w:tcPr>
            <w:tcW w:type="dxa" w:w="549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コア NOPAT</w:t>
            </w:r>
          </w:p>
        </w:tc>
        <w:tc>
          <w:tcPr>
            <w:tcW w:type="dxa" w:w="8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$211億</w:t>
            </w:r>
          </w:p>
        </w:tc>
        <w:tc>
          <w:tcPr>
            <w:tcW w:type="dxa" w:w="35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
            </w:r>
          </w:p>
        </w:tc>
      </w:tr>
      <w:tr>
        <w:trPr>
          <w:cantSplit/>
          <w:tblHeader w:val="false"/>
        </w:trPr>
        <w:tc>
          <w:tcPr>
            <w:tcW w:type="dxa" w:w="549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成長目的の営業費削減分</w:t>
            </w:r>
          </w:p>
        </w:tc>
        <w:tc>
          <w:tcPr>
            <w:tcW w:type="dxa" w:w="8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+$15億</w:t>
            </w:r>
          </w:p>
        </w:tc>
        <w:tc>
          <w:tcPr>
            <w:tcW w:type="dxa" w:w="35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
            </w:r>
          </w:p>
        </w:tc>
      </w:tr>
      <w:tr>
        <w:trPr>
          <w:cantSplit/>
          <w:tblHeader w:val="false"/>
        </w:trPr>
        <w:tc>
          <w:tcPr>
            <w:tcW w:type="dxa" w:w="549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FY27 末までに稼働する AI 容量 5.0GW の定常 NOPAT</w:t>
            </w:r>
          </w:p>
        </w:tc>
        <w:tc>
          <w:tcPr>
            <w:tcW w:type="dxa" w:w="8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+$116億</w:t>
            </w:r>
          </w:p>
        </w:tc>
        <w:tc>
          <w:tcPr>
            <w:tcW w:type="dxa" w:w="35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5.0GW × $100億 × 29% × (1−20%)</w:t>
            </w:r>
          </w:p>
        </w:tc>
      </w:tr>
      <w:tr>
        <w:trPr>
          <w:cantSplit/>
          <w:tblHeader w:val="false"/>
        </w:trPr>
        <w:tc>
          <w:tcPr>
            <w:tcW w:type="dxa" w:w="549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税引後の支払利息</w:t>
            </w:r>
          </w:p>
        </w:tc>
        <w:tc>
          <w:tcPr>
            <w:tcW w:type="dxa" w:w="8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−$50億</w:t>
            </w:r>
          </w:p>
        </w:tc>
        <w:tc>
          <w:tcPr>
            <w:tcW w:type="dxa" w:w="35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
            </w:r>
          </w:p>
        </w:tc>
      </w:tr>
      <w:tr>
        <w:trPr>
          <w:cantSplit/>
          <w:tblHeader w:val="false"/>
        </w:trPr>
        <w:tc>
          <w:tcPr>
            <w:tcW w:type="dxa" w:w="549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定常状態利益</w:t>
            </w:r>
          </w:p>
        </w:tc>
        <w:tc>
          <w:tcPr>
            <w:tcW w:type="dxa" w:w="8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$292億</w:t>
            </w:r>
          </w:p>
        </w:tc>
        <w:tc>
          <w:tcPr>
            <w:tcW w:type="dxa" w:w="35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
            </w:r>
          </w:p>
        </w:tc>
      </w:tr>
    </w:tbl>
    <w:p>
      <w:pPr>
        <w:spacing w:after="80"/>
      </w:pPr>
    </w:p>
    <w:p>
      <w:pPr>
        <w:pStyle w:val="ListParagraph"/>
        <w:numPr>
          <w:ilvl w:val="0"/>
          <w:numId w:val="3"/>
        </w:numPr>
        <w:spacing w:after="40" w:line="290"/>
      </w:pPr>
      <w:r>
        <w:rPr>
          <w:rFonts w:ascii="Arial" w:cs="Arial" w:eastAsia="Yu Gothic" w:hAnsi="Arial"/>
          <w:b/>
          <w:bCs/>
          <w:sz w:val="20"/>
          <w:szCs w:val="20"/>
        </w:rPr>
        <w:t xml:space="preserve">S字カーブ上の位置:</w:t>
      </w:r>
      <w:r>
        <w:rPr>
          <w:rFonts w:ascii="Arial" w:cs="Arial" w:eastAsia="Yu Gothic" w:hAnsi="Arial"/>
          <w:sz w:val="20"/>
          <w:szCs w:val="20"/>
        </w:rPr>
        <w:t xml:space="preserve"> E4(AI)は急成長期の入口、E3 は急成長期、E2 は成熟期の手前、E1 は成熟期である。</w:t>
      </w:r>
    </w:p>
    <w:p>
      <w:pPr>
        <w:pStyle w:val="ListParagraph"/>
        <w:numPr>
          <w:ilvl w:val="0"/>
          <w:numId w:val="3"/>
        </w:numPr>
        <w:spacing w:after="40" w:line="290"/>
      </w:pPr>
      <w:r>
        <w:rPr>
          <w:rFonts w:ascii="Arial" w:cs="Arial" w:eastAsia="Yu Gothic" w:hAnsi="Arial"/>
          <w:b/>
          <w:bCs/>
          <w:sz w:val="20"/>
          <w:szCs w:val="20"/>
        </w:rPr>
        <w:t xml:space="preserve">受注 → 売上の時間差:</w:t>
      </w:r>
      <w:r>
        <w:rPr>
          <w:rFonts w:ascii="Arial" w:cs="Arial" w:eastAsia="Yu Gothic" w:hAnsi="Arial"/>
          <w:sz w:val="20"/>
          <w:szCs w:val="20"/>
        </w:rPr>
        <w:t xml:space="preserve"> RPO の約半分が36か月以内に売上化する。</w:t>
      </w:r>
    </w:p>
    <w:p>
      <w:pPr>
        <w:pStyle w:val="ListParagraph"/>
        <w:numPr>
          <w:ilvl w:val="0"/>
          <w:numId w:val="3"/>
        </w:numPr>
        <w:spacing w:after="40" w:line="290"/>
      </w:pPr>
      <w:r>
        <w:rPr>
          <w:rFonts w:ascii="Arial" w:cs="Arial" w:eastAsia="Yu Gothic" w:hAnsi="Arial"/>
          <w:b/>
          <w:bCs/>
          <w:sz w:val="20"/>
          <w:szCs w:val="20"/>
        </w:rPr>
        <w:t xml:space="preserve">契約期間と義務期間:</w:t>
      </w:r>
    </w:p>
    <w:p>
      <w:pPr>
        <w:pStyle w:val="ListParagraph"/>
        <w:numPr>
          <w:ilvl w:val="1"/>
          <w:numId w:val="3"/>
        </w:numPr>
        <w:spacing w:after="40" w:line="290"/>
      </w:pPr>
      <w:r>
        <w:rPr>
          <w:rFonts w:ascii="Arial" w:cs="Arial" w:eastAsia="Yu Gothic" w:hAnsi="Arial"/>
          <w:b/>
          <w:bCs/>
          <w:sz w:val="20"/>
          <w:szCs w:val="20"/>
        </w:rPr>
        <w:t xml:space="preserve">下振れ:</w:t>
      </w:r>
      <w:r>
        <w:rPr>
          <w:rFonts w:ascii="Arial" w:cs="Arial" w:eastAsia="Yu Gothic" w:hAnsi="Arial"/>
          <w:sz w:val="20"/>
          <w:szCs w:val="20"/>
        </w:rPr>
        <w:t xml:space="preserve"> 5〜6年の契約に対し、リースは 15〜19年続く。契約後に貸し直せなければ固定費が残る。</w:t>
      </w:r>
    </w:p>
    <w:p>
      <w:pPr>
        <w:pStyle w:val="ListParagraph"/>
        <w:numPr>
          <w:ilvl w:val="1"/>
          <w:numId w:val="3"/>
        </w:numPr>
        <w:spacing w:after="40" w:line="290"/>
      </w:pPr>
      <w:r>
        <w:rPr>
          <w:rFonts w:ascii="Arial" w:cs="Arial" w:eastAsia="Yu Gothic" w:hAnsi="Arial"/>
          <w:b/>
          <w:bCs/>
          <w:sz w:val="20"/>
          <w:szCs w:val="20"/>
        </w:rPr>
        <w:t xml:space="preserve">上振れ:</w:t>
      </w:r>
      <w:r>
        <w:rPr>
          <w:rFonts w:ascii="Arial" w:cs="Arial" w:eastAsia="Yu Gothic" w:hAnsi="Arial"/>
          <w:sz w:val="20"/>
          <w:szCs w:val="20"/>
        </w:rPr>
        <w:t xml:space="preserve"> 電力付き建屋を長期で確保していることになる。電力不足が続けば、世代交代のたびに貸し直せる。</w:t>
      </w:r>
    </w:p>
    <w:p>
      <w:pPr>
        <w:pStyle w:val="Heading2"/>
      </w:pPr>
      <w:r>
        <w:rPr>
          <w:rFonts w:ascii="Arial" w:cs="Arial" w:eastAsia="Yu Gothic" w:hAnsi="Arial"/>
        </w:rPr>
        <w:t xml:space="preserve">2-9 持続性と競争優位期間(L7)・成長余地(L8)</w:t>
      </w:r>
    </w:p>
    <w:p>
      <w:pPr>
        <w:spacing w:after="120" w:line="300"/>
      </w:pPr>
      <w:r>
        <w:rPr>
          <w:rFonts w:ascii="Arial" w:cs="Arial" w:eastAsia="Yu Gothic" w:hAnsi="Arial"/>
          <w:b/>
          <w:bCs/>
          <w:sz w:val="20"/>
          <w:szCs w:val="20"/>
        </w:rPr>
        <w:t xml:space="preserve">7 Powers(Hamilton Helmer の7つの持続的競争優位):</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0"/>
        <w:gridCol w:w="854"/>
        <w:gridCol w:w="854"/>
        <w:gridCol w:w="3928"/>
        <w:gridCol w:w="2050"/>
      </w:tblGrid>
      <w:tr>
        <w:trPr>
          <w:cantSplit/>
          <w:tblHeader/>
        </w:trPr>
        <w:tc>
          <w:tcPr>
            <w:tcW w:type="dxa" w:w="222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Power</w:t>
            </w:r>
          </w:p>
        </w:tc>
        <w:tc>
          <w:tcPr>
            <w:tcW w:type="dxa" w:w="85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エンジン</w:t>
            </w:r>
          </w:p>
        </w:tc>
        <w:tc>
          <w:tcPr>
            <w:tcW w:type="dxa" w:w="85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有無・強さ</w:t>
            </w:r>
          </w:p>
        </w:tc>
        <w:tc>
          <w:tcPr>
            <w:tcW w:type="dxa" w:w="392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証拠</w:t>
            </w:r>
          </w:p>
        </w:tc>
        <w:tc>
          <w:tcPr>
            <w:tcW w:type="dxa" w:w="205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推移</w:t>
            </w:r>
          </w:p>
        </w:tc>
      </w:tr>
      <w:tr>
        <w:trPr>
          <w:cantSplit/>
          <w:tblHeader w:val="false"/>
        </w:trPr>
        <w:tc>
          <w:tcPr>
            <w:tcW w:type="dxa" w:w="222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スイッチングコスト</w:t>
            </w:r>
          </w:p>
        </w:tc>
        <w:tc>
          <w:tcPr>
            <w:tcW w:type="dxa" w:w="8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E1・E2・E3</w:t>
            </w:r>
          </w:p>
        </w:tc>
        <w:tc>
          <w:tcPr>
            <w:tcW w:type="dxa" w:w="8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強</w:t>
            </w:r>
          </w:p>
        </w:tc>
        <w:tc>
          <w:tcPr>
            <w:tcW w:type="dxa" w:w="392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基幹 DB の移行は数年がかり。マルチクラウドで、他社クラウドを選んでも Oracle DB が残る</w:t>
            </w:r>
          </w:p>
        </w:tc>
        <w:tc>
          <w:tcPr>
            <w:tcW w:type="dxa" w:w="20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維持</w:t>
            </w:r>
          </w:p>
        </w:tc>
      </w:tr>
      <w:tr>
        <w:trPr>
          <w:cantSplit/>
          <w:tblHeader w:val="false"/>
        </w:trPr>
        <w:tc>
          <w:tcPr>
            <w:tcW w:type="dxa" w:w="222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プロセスパワー</w:t>
            </w:r>
          </w:p>
        </w:tc>
        <w:tc>
          <w:tcPr>
            <w:tcW w:type="dxa" w:w="8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E1・E4</w:t>
            </w:r>
          </w:p>
        </w:tc>
        <w:tc>
          <w:tcPr>
            <w:tcW w:type="dxa" w:w="8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中</w:t>
            </w:r>
          </w:p>
        </w:tc>
        <w:tc>
          <w:tcPr>
            <w:tcW w:type="dxa" w:w="392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DB の技術蓄積。Exadata 由来の RDMA ネットワークで大規模 GPU クラスタを構築</w:t>
            </w:r>
          </w:p>
        </w:tc>
        <w:tc>
          <w:tcPr>
            <w:tcW w:type="dxa" w:w="20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維持</w:t>
            </w:r>
          </w:p>
        </w:tc>
      </w:tr>
      <w:tr>
        <w:trPr>
          <w:cantSplit/>
          <w:tblHeader w:val="false"/>
        </w:trPr>
        <w:tc>
          <w:tcPr>
            <w:tcW w:type="dxa" w:w="222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規模の経済</w:t>
            </w:r>
          </w:p>
        </w:tc>
        <w:tc>
          <w:tcPr>
            <w:tcW w:type="dxa" w:w="8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E4</w:t>
            </w:r>
          </w:p>
        </w:tc>
        <w:tc>
          <w:tcPr>
            <w:tcW w:type="dxa" w:w="8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弱〜中</w:t>
            </w:r>
          </w:p>
        </w:tc>
        <w:tc>
          <w:tcPr>
            <w:tcW w:type="dxa" w:w="392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の規模は MSFT・AWS・Google より小さい</w:t>
            </w:r>
          </w:p>
        </w:tc>
        <w:tc>
          <w:tcPr>
            <w:tcW w:type="dxa" w:w="20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拡大中</w:t>
            </w:r>
          </w:p>
        </w:tc>
      </w:tr>
      <w:tr>
        <w:trPr>
          <w:cantSplit/>
          <w:tblHeader w:val="false"/>
        </w:trPr>
        <w:tc>
          <w:tcPr>
            <w:tcW w:type="dxa" w:w="222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独占的資源</w:t>
            </w:r>
          </w:p>
        </w:tc>
        <w:tc>
          <w:tcPr>
            <w:tcW w:type="dxa" w:w="8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E4</w:t>
            </w:r>
          </w:p>
        </w:tc>
        <w:tc>
          <w:tcPr>
            <w:tcW w:type="dxa" w:w="8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中(一時的)</w:t>
            </w:r>
          </w:p>
        </w:tc>
        <w:tc>
          <w:tcPr>
            <w:tcW w:type="dxa" w:w="392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確保済み電力 10GW 超。電力が希少な間だけ効く</w:t>
            </w:r>
          </w:p>
        </w:tc>
        <w:tc>
          <w:tcPr>
            <w:tcW w:type="dxa" w:w="20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2028年以降に減衰の可能性</w:t>
            </w:r>
          </w:p>
        </w:tc>
      </w:tr>
      <w:tr>
        <w:trPr>
          <w:cantSplit/>
          <w:tblHeader w:val="false"/>
        </w:trPr>
        <w:tc>
          <w:tcPr>
            <w:tcW w:type="dxa" w:w="222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カウンターポジショニング</w:t>
            </w:r>
          </w:p>
        </w:tc>
        <w:tc>
          <w:tcPr>
            <w:tcW w:type="dxa" w:w="8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E3</w:t>
            </w:r>
          </w:p>
        </w:tc>
        <w:tc>
          <w:tcPr>
            <w:tcW w:type="dxa" w:w="8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弱〜中</w:t>
            </w:r>
          </w:p>
        </w:tc>
        <w:tc>
          <w:tcPr>
            <w:tcW w:type="dxa" w:w="392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自社 DB を競合クラウドの中で売る戦略。ハイパースケーラーは自社 DB と競合するため模倣しにくい</w:t>
            </w:r>
          </w:p>
        </w:tc>
        <w:tc>
          <w:tcPr>
            <w:tcW w:type="dxa" w:w="20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強化</w:t>
            </w:r>
          </w:p>
        </w:tc>
      </w:tr>
      <w:tr>
        <w:trPr>
          <w:cantSplit/>
          <w:tblHeader w:val="false"/>
        </w:trPr>
        <w:tc>
          <w:tcPr>
            <w:tcW w:type="dxa" w:w="222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ネットワーク効果・ブランド</w:t>
            </w:r>
          </w:p>
        </w:tc>
        <w:tc>
          <w:tcPr>
            <w:tcW w:type="dxa" w:w="8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8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弱</w:t>
            </w:r>
          </w:p>
        </w:tc>
        <w:tc>
          <w:tcPr>
            <w:tcW w:type="dxa" w:w="392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20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r>
    </w:tbl>
    <w:p>
      <w:pPr>
        <w:spacing w:after="80"/>
      </w:pPr>
    </w:p>
    <w:p>
      <w:pPr>
        <w:spacing w:after="120" w:line="300"/>
      </w:pPr>
      <w:r>
        <w:rPr>
          <w:rFonts w:ascii="Arial" w:cs="Arial" w:eastAsia="Yu Gothic" w:hAnsi="Arial"/>
          <w:b/>
          <w:bCs/>
          <w:sz w:val="20"/>
          <w:szCs w:val="20"/>
        </w:rPr>
        <w:t xml:space="preserve">再現コストテスト:</w:t>
      </w:r>
      <w:r>
        <w:rPr>
          <w:rFonts w:ascii="Arial" w:cs="Arial" w:eastAsia="Yu Gothic" w:hAnsi="Arial"/>
          <w:sz w:val="20"/>
          <w:szCs w:val="20"/>
        </w:rPr>
        <w:t xml:space="preserve"> 十分な資金を持つ競合(ハイパースケーラー、ネオクラウド)が同等の AI 容量を作るには、電力の確保に2〜4年、資本に 1GW あたり約 $250億(GPU)と建屋が要る。再現は可能で、実際に起きている。データベース顧客基盤の再現は事実上不可能である。</w:t>
      </w:r>
    </w:p>
    <w:p>
      <w:pPr>
        <w:spacing w:after="120" w:line="300"/>
      </w:pPr>
      <w:r>
        <w:rPr>
          <w:rFonts w:ascii="Arial" w:cs="Arial" w:eastAsia="Yu Gothic" w:hAnsi="Arial"/>
          <w:b/>
          <w:bCs/>
          <w:sz w:val="20"/>
          <w:szCs w:val="20"/>
        </w:rPr>
        <w:t xml:space="preserve">競争優位期間(CAP):</w:t>
      </w:r>
      <w:r>
        <w:rPr>
          <w:rFonts w:ascii="Arial" w:cs="Arial" w:eastAsia="Yu Gothic" w:hAnsi="Arial"/>
          <w:sz w:val="20"/>
          <w:szCs w:val="20"/>
        </w:rPr>
        <w:t xml:space="preserve"> E1〜E3 は 10〜15年、E4 は3〜6年(契約期間と電力優位の残存期間)。価値の加重で 7〜9年と推計する。</w:t>
      </w:r>
    </w:p>
    <w:p>
      <w:pPr>
        <w:spacing w:after="120" w:line="300"/>
      </w:pPr>
      <w:r>
        <w:rPr>
          <w:rFonts w:ascii="Arial" w:cs="Arial" w:eastAsia="Yu Gothic" w:hAnsi="Arial"/>
          <w:b/>
          <w:bCs/>
          <w:sz w:val="20"/>
          <w:szCs w:val="20"/>
        </w:rPr>
        <w:t xml:space="preserve">敵対的検証(赤チーム):</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9"/>
        <w:gridCol w:w="3478"/>
        <w:gridCol w:w="3479"/>
      </w:tblGrid>
      <w:tr>
        <w:trPr>
          <w:cantSplit/>
          <w:tblHeader/>
        </w:trPr>
        <w:tc>
          <w:tcPr>
            <w:tcW w:type="dxa" w:w="294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立場</w:t>
            </w:r>
          </w:p>
        </w:tc>
        <w:tc>
          <w:tcPr>
            <w:tcW w:type="dxa" w:w="347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Oracle の利益を奪う最も安い方法</w:t>
            </w:r>
          </w:p>
        </w:tc>
        <w:tc>
          <w:tcPr>
            <w:tcW w:type="dxa" w:w="347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Oracle の耐性</w:t>
            </w:r>
          </w:p>
        </w:tc>
      </w:tr>
      <w:tr>
        <w:trPr>
          <w:cantSplit/>
          <w:tblHeader w:val="false"/>
        </w:trPr>
        <w:tc>
          <w:tcPr>
            <w:tcW w:type="dxa" w:w="29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競合 CEO(ハイパースケーラー・CoreWeave)</w:t>
            </w:r>
          </w:p>
        </w:tc>
        <w:tc>
          <w:tcPr>
            <w:tcW w:type="dxa" w:w="34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OpenAI の次期分の容量を、より強いバランスシートと低い資本コストで提示する</w:t>
            </w:r>
          </w:p>
        </w:tc>
        <w:tc>
          <w:tcPr>
            <w:tcW w:type="dxa" w:w="34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弱〜中。すでに建てて電力付きの容量と、署名済みの契約が防壁になる。次の契約では不利</w:t>
            </w:r>
          </w:p>
        </w:tc>
      </w:tr>
      <w:tr>
        <w:trPr>
          <w:cantSplit/>
          <w:tblHeader w:val="false"/>
        </w:trPr>
        <w:tc>
          <w:tcPr>
            <w:tcW w:type="dxa" w:w="29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顧客 CFO(OpenAI)</w:t>
            </w:r>
          </w:p>
        </w:tc>
        <w:tc>
          <w:tcPr>
            <w:tcW w:type="dxa" w:w="34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単価・時期の再交渉、自社建設(SoftBank の SB Energy と Stargate)への移管、契約の一部延期</w:t>
            </w:r>
          </w:p>
        </w:tc>
        <w:tc>
          <w:tcPr>
            <w:tcW w:type="dxa" w:w="34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中。Abilene の拡張は「他の拠点へ振り向けた」(OpenAI 幹部)。前払い分は担保になる。契約条項(take-or-pay=使わなくても支払う義務)は非開示</w:t>
            </w:r>
          </w:p>
        </w:tc>
      </w:tr>
      <w:tr>
        <w:trPr>
          <w:cantSplit/>
          <w:tblHeader w:val="false"/>
        </w:trPr>
        <w:tc>
          <w:tcPr>
            <w:tcW w:type="dxa" w:w="29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サプライヤ(NVIDIA・メモリ)</w:t>
            </w:r>
          </w:p>
        </w:tc>
        <w:tc>
          <w:tcPr>
            <w:tcW w:type="dxa" w:w="34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GPU・メモリの値上げ、割当の削減</w:t>
            </w:r>
          </w:p>
        </w:tc>
        <w:tc>
          <w:tcPr>
            <w:tcW w:type="dxa" w:w="34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中。部材高を顧客に転嫁できる契約だと説明。固定価格は、コストが確定している場合に限る</w:t>
            </w:r>
          </w:p>
        </w:tc>
      </w:tr>
      <w:tr>
        <w:trPr>
          <w:cantSplit/>
          <w:tblHeader w:val="false"/>
        </w:trPr>
        <w:tc>
          <w:tcPr>
            <w:tcW w:type="dxa" w:w="29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規制当局・地域</w:t>
            </w:r>
          </w:p>
        </w:tc>
        <w:tc>
          <w:tcPr>
            <w:tcW w:type="dxa" w:w="34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電力料金の住民転嫁の禁止、ガス管経路の不承認(ニューメキシコ州土地局が2度却下)、住民訴訟</w:t>
            </w:r>
          </w:p>
        </w:tc>
        <w:tc>
          <w:tcPr>
            <w:tcW w:type="dxa" w:w="34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弱〜中。電力の解放が遅れる。ウィスコンシンで $3億の電力コストを住民に転嫁しないと表明</w:t>
            </w:r>
          </w:p>
        </w:tc>
      </w:tr>
    </w:tbl>
    <w:p>
      <w:pPr>
        <w:spacing w:after="80"/>
      </w:pPr>
    </w:p>
    <w:p>
      <w:pPr>
        <w:spacing w:after="120" w:line="300"/>
      </w:pPr>
      <w:r>
        <w:rPr>
          <w:rFonts w:ascii="Arial" w:cs="Arial" w:eastAsia="Yu Gothic" w:hAnsi="Arial"/>
          <w:b/>
          <w:bCs/>
          <w:sz w:val="20"/>
          <w:szCs w:val="20"/>
        </w:rPr>
        <w:t xml:space="preserve">二次の効果:</w:t>
      </w:r>
      <w:r>
        <w:rPr>
          <w:rFonts w:ascii="Arial" w:cs="Arial" w:eastAsia="Yu Gothic" w:hAnsi="Arial"/>
          <w:sz w:val="20"/>
          <w:szCs w:val="20"/>
        </w:rPr>
        <w:t xml:space="preserve"> 会社シナリオ(FY30 OCI $1,660億)が成功した場合、次の反応が予想される。</w:t>
      </w:r>
    </w:p>
    <w:p>
      <w:pPr>
        <w:pStyle w:val="ListParagraph"/>
        <w:numPr>
          <w:ilvl w:val="0"/>
          <w:numId w:val="3"/>
        </w:numPr>
        <w:spacing w:after="40" w:line="290"/>
      </w:pPr>
      <w:r>
        <w:rPr>
          <w:rFonts w:ascii="Arial" w:cs="Arial" w:eastAsia="Yu Gothic" w:hAnsi="Arial"/>
          <w:sz w:val="20"/>
          <w:szCs w:val="20"/>
        </w:rPr>
        <w:t xml:space="preserve">ハイパースケーラーは AI 容量の単価で対抗する。</w:t>
      </w:r>
    </w:p>
    <w:p>
      <w:pPr>
        <w:pStyle w:val="ListParagraph"/>
        <w:numPr>
          <w:ilvl w:val="0"/>
          <w:numId w:val="3"/>
        </w:numPr>
        <w:spacing w:after="40" w:line="290"/>
      </w:pPr>
      <w:r>
        <w:rPr>
          <w:rFonts w:ascii="Arial" w:cs="Arial" w:eastAsia="Yu Gothic" w:hAnsi="Arial"/>
          <w:sz w:val="20"/>
          <w:szCs w:val="20"/>
        </w:rPr>
        <w:t xml:space="preserve">NVIDIA は Oracle 向けの価格を上げる。</w:t>
      </w:r>
    </w:p>
    <w:p>
      <w:pPr>
        <w:pStyle w:val="ListParagraph"/>
        <w:numPr>
          <w:ilvl w:val="0"/>
          <w:numId w:val="3"/>
        </w:numPr>
        <w:spacing w:after="40" w:line="290"/>
      </w:pPr>
      <w:r>
        <w:rPr>
          <w:rFonts w:ascii="Arial" w:cs="Arial" w:eastAsia="Yu Gothic" w:hAnsi="Arial"/>
          <w:sz w:val="20"/>
          <w:szCs w:val="20"/>
        </w:rPr>
        <w:t xml:space="preserve">電力会社は大口料金を引き上げる。</w:t>
      </w:r>
    </w:p>
    <w:p>
      <w:pPr>
        <w:pStyle w:val="ListParagraph"/>
        <w:numPr>
          <w:ilvl w:val="0"/>
          <w:numId w:val="3"/>
        </w:numPr>
        <w:spacing w:after="40" w:line="290"/>
      </w:pPr>
      <w:r>
        <w:rPr>
          <w:rFonts w:ascii="Arial" w:cs="Arial" w:eastAsia="Yu Gothic" w:hAnsi="Arial"/>
          <w:sz w:val="20"/>
          <w:szCs w:val="20"/>
        </w:rPr>
        <w:t xml:space="preserve">OpenAI は更新時に単価の引下げを求める。</w:t>
      </w:r>
    </w:p>
    <w:p>
      <w:pPr>
        <w:spacing w:after="120" w:line="300"/>
      </w:pPr>
      <w:r>
        <w:rPr>
          <w:rFonts w:ascii="Arial" w:cs="Arial" w:eastAsia="Yu Gothic" w:hAnsi="Arial"/>
          <w:sz w:val="20"/>
          <w:szCs w:val="20"/>
        </w:rPr>
        <w:t xml:space="preserve">これらの反応は AI の利益率を 2〜4pt 削りうる。機構台帳 M4 の確率を 25% と置いたのはこのためである。</w:t>
      </w:r>
    </w:p>
    <w:p>
      <w:pPr>
        <w:spacing w:after="120" w:line="300"/>
      </w:pPr>
      <w:r>
        <w:rPr>
          <w:rFonts w:ascii="Arial" w:cs="Arial" w:eastAsia="Yu Gothic" w:hAnsi="Arial"/>
          <w:b/>
          <w:bCs/>
          <w:sz w:val="20"/>
          <w:szCs w:val="20"/>
        </w:rPr>
        <w:t xml:space="preserve">成長余地(L8):</w:t>
      </w:r>
    </w:p>
    <w:p>
      <w:pPr>
        <w:pStyle w:val="ListParagraph"/>
        <w:numPr>
          <w:ilvl w:val="0"/>
          <w:numId w:val="3"/>
        </w:numPr>
        <w:spacing w:after="40" w:line="290"/>
      </w:pPr>
      <w:r>
        <w:rPr>
          <w:rFonts w:ascii="Arial" w:cs="Arial" w:eastAsia="Yu Gothic" w:hAnsi="Arial"/>
          <w:sz w:val="20"/>
          <w:szCs w:val="20"/>
        </w:rPr>
        <w:t xml:space="preserve">稼働 GW は 2.55GW(2026-08)から 13.8GW(FY32、事業エンジン経路)へ広がる。会社目標は FY30 に OCI $1,660億(AI 約 14〜15GW 相当)である。</w:t>
      </w:r>
    </w:p>
    <w:p>
      <w:pPr>
        <w:pStyle w:val="ListParagraph"/>
        <w:numPr>
          <w:ilvl w:val="0"/>
          <w:numId w:val="3"/>
        </w:numPr>
        <w:spacing w:after="40" w:line="290"/>
      </w:pPr>
      <w:r>
        <w:rPr>
          <w:rFonts w:ascii="Arial" w:cs="Arial" w:eastAsia="Yu Gothic" w:hAnsi="Arial"/>
          <w:sz w:val="20"/>
          <w:szCs w:val="20"/>
        </w:rPr>
        <w:t xml:space="preserve">天井を上げる仕掛けは3つある。推論需要、自社データ上の AI(AI Database)、マルチクラウド DB。</w:t>
      </w:r>
    </w:p>
    <w:p>
      <w:pPr>
        <w:pStyle w:val="ListParagraph"/>
        <w:numPr>
          <w:ilvl w:val="0"/>
          <w:numId w:val="3"/>
        </w:numPr>
        <w:spacing w:after="40" w:line="290"/>
      </w:pPr>
      <w:r>
        <w:rPr>
          <w:rFonts w:ascii="Arial" w:cs="Arial" w:eastAsia="Yu Gothic" w:hAnsi="Arial"/>
          <w:sz w:val="20"/>
          <w:szCs w:val="20"/>
        </w:rPr>
        <w:t xml:space="preserve">単価の天井は、顧客(AI 研究所)の資金調達能力で決まる。</w:t>
      </w:r>
    </w:p>
    <w:p>
      <w:pPr>
        <w:pStyle w:val="Heading2"/>
      </w:pPr>
      <w:r>
        <w:rPr>
          <w:rFonts w:ascii="Arial" w:cs="Arial" w:eastAsia="Yu Gothic" w:hAnsi="Arial"/>
        </w:rPr>
        <w:t xml:space="preserve">2-10 根幹 KPI の加速度表(L10)</w:t>
      </w:r>
    </w:p>
    <w:p>
      <w:pPr>
        <w:keepNext/>
        <w:spacing w:after="40" w:before="80"/>
        <w:jc w:val="center"/>
      </w:pPr>
      <w:r>
        <w:drawing>
          <wp:inline distT="0" distB="0" distL="0" distR="0">
            <wp:extent cx="57912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91200" cy="3362325"/>
                    </a:xfrm>
                    <a:prstGeom prst="rect">
                      <a:avLst/>
                    </a:prstGeom>
                  </pic:spPr>
                </pic:pic>
              </a:graphicData>
            </a:graphic>
          </wp:inline>
        </w:drawing>
      </w:r>
    </w:p>
    <w:p>
      <w:pPr>
        <w:spacing w:after="160"/>
        <w:jc w:val="center"/>
      </w:pPr>
      <w:r>
        <w:rPr>
          <w:rFonts w:ascii="Arial" w:cs="Arial" w:eastAsia="Yu Gothic" w:hAnsi="Arial"/>
          <w:i/>
          <w:iCs/>
          <w:color w:val="5A6B7D"/>
          <w:sz w:val="17"/>
          <w:szCs w:val="17"/>
        </w:rPr>
        <w:t xml:space="preserve">図F18b OCI 売上(棒)と RPO(線)の四半期推移。Q3 FY25 の RPO は未取得(出典: Oracle 決算発表、検索要約経由)</w:t>
      </w:r>
    </w:p>
    <w:p>
      <w:pPr>
        <w:spacing w:after="120" w:line="300"/>
      </w:pPr>
      <w:r>
        <w:rPr>
          <w:rFonts w:ascii="Arial" w:cs="Arial" w:eastAsia="Yu Gothic" w:hAnsi="Arial"/>
          <w:b/>
          <w:bCs/>
          <w:sz w:val="20"/>
          <w:szCs w:val="20"/>
        </w:rPr>
        <w:t xml:space="preserve">図F18 根幹 KPI 加速度表(Q1 FY26 〜 Q1 FY27):</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8"/>
        <w:gridCol w:w="584"/>
        <w:gridCol w:w="584"/>
        <w:gridCol w:w="584"/>
        <w:gridCol w:w="1038"/>
        <w:gridCol w:w="840"/>
        <w:gridCol w:w="692"/>
        <w:gridCol w:w="791"/>
        <w:gridCol w:w="1433"/>
        <w:gridCol w:w="2272"/>
      </w:tblGrid>
      <w:tr>
        <w:trPr>
          <w:cantSplit/>
          <w:tblHeader/>
        </w:trPr>
        <w:tc>
          <w:tcPr>
            <w:tcW w:type="dxa" w:w="108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KPI</w:t>
            </w:r>
          </w:p>
        </w:tc>
        <w:tc>
          <w:tcPr>
            <w:tcW w:type="dxa" w:w="58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Q1 FY26</w:t>
            </w:r>
          </w:p>
        </w:tc>
        <w:tc>
          <w:tcPr>
            <w:tcW w:type="dxa" w:w="58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Q2 FY26</w:t>
            </w:r>
          </w:p>
        </w:tc>
        <w:tc>
          <w:tcPr>
            <w:tcW w:type="dxa" w:w="58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Q3 FY26</w:t>
            </w:r>
          </w:p>
        </w:tc>
        <w:tc>
          <w:tcPr>
            <w:tcW w:type="dxa" w:w="103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Q4 FY26</w:t>
            </w:r>
          </w:p>
        </w:tc>
        <w:tc>
          <w:tcPr>
            <w:tcW w:type="dxa" w:w="84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Q1 FY27</w:t>
            </w:r>
          </w:p>
        </w:tc>
        <w:tc>
          <w:tcPr>
            <w:tcW w:type="dxa" w:w="69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QoQ 年率(最新)</w:t>
            </w:r>
          </w:p>
        </w:tc>
        <w:tc>
          <w:tcPr>
            <w:tcW w:type="dxa" w:w="79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TTM 前年比(最新)</w:t>
            </w:r>
          </w:p>
        </w:tc>
        <w:tc>
          <w:tcPr>
            <w:tcW w:type="dxa" w:w="143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2階差分(前年比の変化、最新)</w:t>
            </w:r>
          </w:p>
        </w:tc>
        <w:tc>
          <w:tcPr>
            <w:tcW w:type="dxa" w:w="227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コンセンサスの修正状況</w:t>
            </w:r>
          </w:p>
        </w:tc>
      </w:tr>
      <w:tr>
        <w:trPr>
          <w:cantSplit/>
          <w:tblHeader w:val="false"/>
        </w:trPr>
        <w:tc>
          <w:tcPr>
            <w:tcW w:type="dxa" w:w="10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OCI 売上(B$)/ 前年比</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3.3 / +55%</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4.1 / +68%</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4.9 / +84%</w:t>
            </w:r>
          </w:p>
        </w:tc>
        <w:tc>
          <w:tcPr>
            <w:tcW w:type="dxa" w:w="10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5.8 / +93%</w:t>
            </w:r>
          </w:p>
        </w:tc>
        <w:tc>
          <w:tcPr>
            <w:tcW w:type="dxa" w:w="8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7.4 / +121%</w:t>
            </w:r>
          </w:p>
        </w:tc>
        <w:tc>
          <w:tcPr>
            <w:tcW w:type="dxa" w:w="6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+165%</w:t>
            </w:r>
          </w:p>
        </w:tc>
        <w:tc>
          <w:tcPr>
            <w:tcW w:type="dxa" w:w="79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+95%</w:t>
            </w:r>
          </w:p>
        </w:tc>
        <w:tc>
          <w:tcPr>
            <w:tcW w:type="dxa" w:w="143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+28pt(加速)</w:t>
            </w:r>
          </w:p>
        </w:tc>
        <w:tc>
          <w:tcPr>
            <w:tcW w:type="dxa" w:w="22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FY27 OCI の会社見通しは未更新(旧 $320億)。売上 $900億の達成には約 $400億が必要で、旧見通しを上回る</w:t>
            </w:r>
          </w:p>
        </w:tc>
      </w:tr>
      <w:tr>
        <w:trPr>
          <w:cantSplit/>
          <w:tblHeader w:val="false"/>
        </w:trPr>
        <w:tc>
          <w:tcPr>
            <w:tcW w:type="dxa" w:w="10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総売上 前年比</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+12%</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+14%</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+22%</w:t>
            </w:r>
          </w:p>
        </w:tc>
        <w:tc>
          <w:tcPr>
            <w:tcW w:type="dxa" w:w="10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+21%</w:t>
            </w:r>
          </w:p>
        </w:tc>
        <w:tc>
          <w:tcPr>
            <w:tcW w:type="dxa" w:w="8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+30%</w:t>
            </w:r>
          </w:p>
        </w:tc>
        <w:tc>
          <w:tcPr>
            <w:tcW w:type="dxa" w:w="6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季節性で不適</w:t>
            </w:r>
          </w:p>
        </w:tc>
        <w:tc>
          <w:tcPr>
            <w:tcW w:type="dxa" w:w="79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+22%</w:t>
            </w:r>
          </w:p>
        </w:tc>
        <w:tc>
          <w:tcPr>
            <w:tcW w:type="dxa" w:w="143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+9pt(加速)</w:t>
            </w:r>
          </w:p>
        </w:tc>
        <w:tc>
          <w:tcPr>
            <w:tcW w:type="dxa" w:w="22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FY27 コンセンサス $905億、ガイダンス「$900億以上」</w:t>
            </w:r>
          </w:p>
        </w:tc>
      </w:tr>
      <w:tr>
        <w:trPr>
          <w:cantSplit/>
          <w:tblHeader w:val="false"/>
        </w:trPr>
        <w:tc>
          <w:tcPr>
            <w:tcW w:type="dxa" w:w="10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RPO(B$)/ 四半期純増</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455 / +317</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523 / +68</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553 / +30</w:t>
            </w:r>
          </w:p>
        </w:tc>
        <w:tc>
          <w:tcPr>
            <w:tcW w:type="dxa" w:w="10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638 / +85</w:t>
            </w:r>
          </w:p>
        </w:tc>
        <w:tc>
          <w:tcPr>
            <w:tcW w:type="dxa" w:w="8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664 / +26</w:t>
            </w:r>
          </w:p>
        </w:tc>
        <w:tc>
          <w:tcPr>
            <w:tcW w:type="dxa" w:w="6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79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+46%</w:t>
            </w:r>
          </w:p>
        </w:tc>
        <w:tc>
          <w:tcPr>
            <w:tcW w:type="dxa" w:w="143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純増は減速(不安定)</w:t>
            </w:r>
          </w:p>
        </w:tc>
        <w:tc>
          <w:tcPr>
            <w:tcW w:type="dxa" w:w="22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r>
      <w:tr>
        <w:trPr>
          <w:cantSplit/>
          <w:tblHeader w:val="false"/>
        </w:trPr>
        <w:tc>
          <w:tcPr>
            <w:tcW w:type="dxa" w:w="10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SaaS 前年比</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+11%</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+11%</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+13%</w:t>
            </w:r>
          </w:p>
        </w:tc>
        <w:tc>
          <w:tcPr>
            <w:tcW w:type="dxa" w:w="10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約+10%</w:t>
            </w:r>
          </w:p>
        </w:tc>
        <w:tc>
          <w:tcPr>
            <w:tcW w:type="dxa" w:w="8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+10%</w:t>
            </w:r>
          </w:p>
        </w:tc>
        <w:tc>
          <w:tcPr>
            <w:tcW w:type="dxa" w:w="6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79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43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横ばい</w:t>
            </w:r>
          </w:p>
        </w:tc>
        <w:tc>
          <w:tcPr>
            <w:tcW w:type="dxa" w:w="22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r>
      <w:tr>
        <w:trPr>
          <w:cantSplit/>
          <w:tblHeader w:val="false"/>
        </w:trPr>
        <w:tc>
          <w:tcPr>
            <w:tcW w:type="dxa" w:w="10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ソフトウェア 前年比</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−3%</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+3%</w:t>
            </w:r>
          </w:p>
        </w:tc>
        <w:tc>
          <w:tcPr>
            <w:tcW w:type="dxa" w:w="10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8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−3%</w:t>
            </w:r>
          </w:p>
        </w:tc>
        <w:tc>
          <w:tcPr>
            <w:tcW w:type="dxa" w:w="6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79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43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横ばい(侵食)</w:t>
            </w:r>
          </w:p>
        </w:tc>
        <w:tc>
          <w:tcPr>
            <w:tcW w:type="dxa" w:w="22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r>
      <w:tr>
        <w:trPr>
          <w:cantSplit/>
          <w:tblHeader w:val="false"/>
        </w:trPr>
        <w:tc>
          <w:tcPr>
            <w:tcW w:type="dxa" w:w="10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非GAAP 営業利益率</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41.6%</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41.6%</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43.0%</w:t>
            </w:r>
          </w:p>
        </w:tc>
        <w:tc>
          <w:tcPr>
            <w:tcW w:type="dxa" w:w="10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44.8%</w:t>
            </w:r>
          </w:p>
        </w:tc>
        <w:tc>
          <w:tcPr>
            <w:tcW w:type="dxa" w:w="8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42.5%</w:t>
            </w:r>
          </w:p>
        </w:tc>
        <w:tc>
          <w:tcPr>
            <w:tcW w:type="dxa" w:w="6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79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43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横ばい</w:t>
            </w:r>
          </w:p>
        </w:tc>
        <w:tc>
          <w:tcPr>
            <w:tcW w:type="dxa" w:w="22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r>
      <w:tr>
        <w:trPr>
          <w:cantSplit/>
          <w:tblHeader w:val="false"/>
        </w:trPr>
        <w:tc>
          <w:tcPr>
            <w:tcW w:type="dxa" w:w="10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四半期 capex(B$)</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8.5</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12.0</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18.6</w:t>
            </w:r>
          </w:p>
        </w:tc>
        <w:tc>
          <w:tcPr>
            <w:tcW w:type="dxa" w:w="10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16.5</w:t>
            </w:r>
          </w:p>
        </w:tc>
        <w:tc>
          <w:tcPr>
            <w:tcW w:type="dxa" w:w="8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28.5</w:t>
            </w:r>
          </w:p>
        </w:tc>
        <w:tc>
          <w:tcPr>
            <w:tcW w:type="dxa" w:w="6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79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TTM 75.7</w:t>
            </w:r>
          </w:p>
        </w:tc>
        <w:tc>
          <w:tcPr>
            <w:tcW w:type="dxa" w:w="143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加速</w:t>
            </w:r>
          </w:p>
        </w:tc>
        <w:tc>
          <w:tcPr>
            <w:tcW w:type="dxa" w:w="22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FY27 総額 $900〜950億</w:t>
            </w:r>
          </w:p>
        </w:tc>
      </w:tr>
      <w:tr>
        <w:trPr>
          <w:cantSplit/>
          <w:tblHeader w:val="false"/>
        </w:trPr>
        <w:tc>
          <w:tcPr>
            <w:tcW w:type="dxa" w:w="10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前受収益(B$)</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12.1(短期)</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9.9(短期)</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11.2</w:t>
            </w:r>
          </w:p>
        </w:tc>
        <w:tc>
          <w:tcPr>
            <w:tcW w:type="dxa" w:w="10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15.4</w:t>
            </w:r>
          </w:p>
        </w:tc>
        <w:tc>
          <w:tcPr>
            <w:tcW w:type="dxa" w:w="8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30.8</w:t>
            </w:r>
          </w:p>
        </w:tc>
        <w:tc>
          <w:tcPr>
            <w:tcW w:type="dxa" w:w="6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79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43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倍増(1四半期)</w:t>
            </w:r>
          </w:p>
        </w:tc>
        <w:tc>
          <w:tcPr>
            <w:tcW w:type="dxa" w:w="22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r>
      <w:tr>
        <w:trPr>
          <w:cantSplit/>
          <w:tblHeader w:val="false"/>
        </w:trPr>
        <w:tc>
          <w:tcPr>
            <w:tcW w:type="dxa" w:w="10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納入容量</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400MW</w:t>
            </w:r>
          </w:p>
        </w:tc>
        <w:tc>
          <w:tcPr>
            <w:tcW w:type="dxa" w:w="10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(FY26 計 1.2GW)</w:t>
            </w:r>
          </w:p>
        </w:tc>
        <w:tc>
          <w:tcPr>
            <w:tcW w:type="dxa" w:w="8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850MW</w:t>
            </w:r>
          </w:p>
        </w:tc>
        <w:tc>
          <w:tcPr>
            <w:tcW w:type="dxa" w:w="6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79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43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加速(会社見込み約1GWには未達)</w:t>
            </w:r>
          </w:p>
        </w:tc>
        <w:tc>
          <w:tcPr>
            <w:tcW w:type="dxa" w:w="22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r>
      <w:tr>
        <w:trPr>
          <w:cantSplit/>
          <w:tblHeader w:val="false"/>
        </w:trPr>
        <w:tc>
          <w:tcPr>
            <w:tcW w:type="dxa" w:w="10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GPU 稼働率 / 更新</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0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97.5% / 92%(GPU 基準)</w:t>
            </w:r>
          </w:p>
        </w:tc>
        <w:tc>
          <w:tcPr>
            <w:tcW w:type="dxa" w:w="8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97.9% / 全量 +20%</w:t>
            </w:r>
          </w:p>
        </w:tc>
        <w:tc>
          <w:tcPr>
            <w:tcW w:type="dxa" w:w="6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79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43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改善</w:t>
            </w:r>
          </w:p>
        </w:tc>
        <w:tc>
          <w:tcPr>
            <w:tcW w:type="dxa" w:w="22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r>
      <w:tr>
        <w:trPr>
          <w:cantSplit/>
          <w:tblHeader w:val="false"/>
        </w:trPr>
        <w:tc>
          <w:tcPr>
            <w:tcW w:type="dxa" w:w="108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非GAAP EPS(一時益除く)</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1.47</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1.54</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1.79</w:t>
            </w:r>
          </w:p>
        </w:tc>
        <w:tc>
          <w:tcPr>
            <w:tcW w:type="dxa" w:w="10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2.03</w:t>
            </w:r>
          </w:p>
        </w:tc>
        <w:tc>
          <w:tcPr>
            <w:tcW w:type="dxa" w:w="8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1.92</w:t>
            </w:r>
          </w:p>
        </w:tc>
        <w:tc>
          <w:tcPr>
            <w:tcW w:type="dxa" w:w="6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79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43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+30%(Q1)</w:t>
            </w:r>
          </w:p>
        </w:tc>
        <w:tc>
          <w:tcPr>
            <w:tcW w:type="dxa" w:w="22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FY27 $8.05(コンセンサス)〜$8.10(会社)、FY28 $10.78</w:t>
            </w:r>
          </w:p>
        </w:tc>
      </w:tr>
    </w:tbl>
    <w:p>
      <w:pPr>
        <w:spacing w:after="80"/>
      </w:pPr>
    </w:p>
    <w:p>
      <w:pPr>
        <w:spacing w:after="120" w:line="300"/>
      </w:pPr>
      <w:r>
        <w:rPr>
          <w:rFonts w:ascii="Arial" w:cs="Arial" w:eastAsia="Yu Gothic" w:hAnsi="Arial"/>
          <w:b/>
          <w:bCs/>
          <w:sz w:val="20"/>
          <w:szCs w:val="20"/>
        </w:rPr>
        <w:t xml:space="preserve">変曲点の判定:</w:t>
      </w:r>
      <w:r>
        <w:rPr>
          <w:rFonts w:ascii="Arial" w:cs="Arial" w:eastAsia="Yu Gothic" w:hAnsi="Arial"/>
          <w:sz w:val="20"/>
          <w:szCs w:val="20"/>
        </w:rPr>
        <w:t xml:space="preserve"> OCI 売上は2階差分 +28pt で加速している。一方、コンセンサスは FY28 EPS $10.78 にとどまり、会社の FY30 目標の補間値($11.13)をわずかに下回る。加速がコンセンサスに未反映である可能性はある。ただし、加速の源泉は容量の納入、すなわち電力の解放である。Q1 の納入は見込みを下回った(850MW &lt; 約1GW)。そのため、上方修正の余地は「納入 MW が四半期 1GW を超えるかどうか」に依存する(判別KPI K2)。</w:t>
      </w:r>
    </w:p>
    <w:p>
      <w:pPr>
        <w:spacing w:after="120" w:line="300"/>
      </w:pPr>
      <w:r>
        <w:rPr>
          <w:rFonts w:ascii="Arial" w:cs="Arial" w:eastAsia="Yu Gothic" w:hAnsi="Arial"/>
          <w:b/>
          <w:bCs/>
          <w:sz w:val="20"/>
          <w:szCs w:val="20"/>
        </w:rPr>
        <w:t xml:space="preserve">仮説更新ループ(次の決算で確度を動かす値):</w:t>
      </w:r>
      <w:r>
        <w:rPr>
          <w:rFonts w:ascii="Arial" w:cs="Arial" w:eastAsia="Yu Gothic" w:hAnsi="Arial"/>
          <w:sz w:val="20"/>
          <w:szCs w:val="20"/>
        </w:rPr>
        <w:t xml:space="preserve"> 7章 F4 に一覧化した。</w:t>
      </w:r>
    </w:p>
    <w:p>
      <w:r>
        <w:br w:type="page"/>
      </w:r>
    </w:p>
    <w:p>
      <w:pPr>
        <w:pStyle w:val="Heading1"/>
      </w:pPr>
      <w:r>
        <w:rPr>
          <w:rFonts w:ascii="Arial" w:cs="Arial" w:eastAsia="Yu Gothic" w:hAnsi="Arial"/>
        </w:rPr>
        <w:t xml:space="preserve">3. 現状の収益構造 — 増収の8割強は新設した AI 容量から生まれ、営業利益の9割弱はデータベース保守・SaaS・一般クラウドが稼ぐ二層構造である(FY27 推定)</w:t>
      </w:r>
    </w:p>
    <w:p>
      <w:pPr>
        <w:pStyle w:val="Heading2"/>
      </w:pPr>
      <w:r>
        <w:rPr>
          <w:rFonts w:ascii="Arial" w:cs="Arial" w:eastAsia="Yu Gothic" w:hAnsi="Arial"/>
        </w:rPr>
        <w:t xml:space="preserve">3-1 収益・費用フロー解剖(F10)</w:t>
      </w:r>
    </w:p>
    <w:p>
      <w:pPr>
        <w:spacing w:after="120" w:line="300"/>
      </w:pPr>
      <w:r>
        <w:rPr>
          <w:rFonts w:ascii="Arial" w:cs="Arial" w:eastAsia="Yu Gothic" w:hAnsi="Arial"/>
          <w:sz w:val="20"/>
          <w:szCs w:val="20"/>
        </w:rPr>
        <w:t xml:space="preserve">分析の中心は規模で決める。FY26 の売上の 36% を占める最大のエンジンはソフトウェア(E1、$245億)で、利益貢献でも最大である。FY27 にはクラウド基盤(E3+E4、推定 $410億)がこれを抜く。</w:t>
      </w:r>
    </w:p>
    <w:p>
      <w:pPr>
        <w:spacing w:after="120" w:line="300"/>
      </w:pPr>
      <w:r>
        <w:rPr>
          <w:rFonts w:ascii="Arial" w:cs="Arial" w:eastAsia="Yu Gothic" w:hAnsi="Arial"/>
          <w:b/>
          <w:bCs/>
          <w:sz w:val="20"/>
          <w:szCs w:val="20"/>
        </w:rPr>
        <w:t xml:space="preserve">図F10 収益ライン × 費用ライン(FY26 実績、FY27 は事業エンジン経路):</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1"/>
        <w:gridCol w:w="1381"/>
        <w:gridCol w:w="1381"/>
        <w:gridCol w:w="600"/>
        <w:gridCol w:w="1381"/>
        <w:gridCol w:w="1141"/>
        <w:gridCol w:w="1381"/>
        <w:gridCol w:w="1260"/>
      </w:tblGrid>
      <w:tr>
        <w:trPr>
          <w:cantSplit/>
          <w:tblHeader/>
        </w:trPr>
        <w:tc>
          <w:tcPr>
            <w:tcW w:type="dxa" w:w="138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収益ライン</w:t>
            </w:r>
          </w:p>
        </w:tc>
        <w:tc>
          <w:tcPr>
            <w:tcW w:type="dxa" w:w="138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誰に / 何のために / 何を / 代替手段</w:t>
            </w:r>
          </w:p>
        </w:tc>
        <w:tc>
          <w:tcPr>
            <w:tcW w:type="dxa" w:w="138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課金単位(顧客の成長に乗るか)</w:t>
            </w:r>
          </w:p>
        </w:tc>
        <w:tc>
          <w:tcPr>
            <w:tcW w:type="dxa" w:w="60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FY26 売上 → FY27E</w:t>
            </w:r>
          </w:p>
        </w:tc>
        <w:tc>
          <w:tcPr>
            <w:tcW w:type="dxa" w:w="138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増収の源泉(新規 / 既存拡張 / 離脱)</w:t>
            </w:r>
          </w:p>
        </w:tc>
        <w:tc>
          <w:tcPr>
            <w:tcW w:type="dxa" w:w="114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フロー / ストック</w:t>
            </w:r>
          </w:p>
        </w:tc>
        <w:tc>
          <w:tcPr>
            <w:tcW w:type="dxa" w:w="138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粗利率(推定)・限界利益率</w:t>
            </w:r>
          </w:p>
        </w:tc>
        <w:tc>
          <w:tcPr>
            <w:tcW w:type="dxa" w:w="126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拘束資本</w:t>
            </w:r>
          </w:p>
        </w:tc>
      </w:tr>
      <w:tr>
        <w:trPr>
          <w:cantSplit/>
          <w:tblHeader w:val="false"/>
        </w:trPr>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E1 DB・ミドルウェア・アプリの保守とライセンス</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大企業・政府 / 基幹取引を止めない / DB と保守・更新 / 他社 DB への移行(数年)</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ライセンス残高に連動(乗らない)</w:t>
            </w:r>
          </w:p>
        </w:tc>
        <w:tc>
          <w:tcPr>
            <w:tcW w:type="dxa" w:w="6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$245億 → $238億</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新規ライセンス小 / 保守料の改定 / クラウド移行で −3%</w:t>
            </w:r>
          </w:p>
        </w:tc>
        <w:tc>
          <w:tcPr>
            <w:tcW w:type="dxa" w:w="114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ストック(保守)+ フロー(ライセンス)</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約90%(非開示・推定)/ 限界利益率は高い</w:t>
            </w:r>
          </w:p>
        </w:tc>
        <w:tc>
          <w:tcPr>
            <w:tcW w:type="dxa" w:w="12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ほぼなし</w:t>
            </w:r>
          </w:p>
        </w:tc>
      </w:tr>
      <w:tr>
        <w:trPr>
          <w:cantSplit/>
          <w:tblHeader w:val="false"/>
        </w:trPr>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E2 SaaS(Fusion・NetSuite・業種別・Health)</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大中堅企業 / 業務の一元化 / クラウド業務アプリ / SAP・Workday</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利用者・モジュール数(乗る)</w:t>
            </w:r>
          </w:p>
        </w:tc>
        <w:tc>
          <w:tcPr>
            <w:tcW w:type="dxa" w:w="6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$159億 → $175億</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新規顧客と既存のモジュール追加(内訳非開示)</w:t>
            </w:r>
          </w:p>
        </w:tc>
        <w:tc>
          <w:tcPr>
            <w:tcW w:type="dxa" w:w="114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ストック</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約70%(推定)/ 中</w:t>
            </w:r>
          </w:p>
        </w:tc>
        <w:tc>
          <w:tcPr>
            <w:tcW w:type="dxa" w:w="12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小</w:t>
            </w:r>
          </w:p>
        </w:tc>
      </w:tr>
      <w:tr>
        <w:trPr>
          <w:cantSplit/>
          <w:tblHeader w:val="false"/>
        </w:trPr>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E3 一般クラウド基盤(DB クラウド・マルチクラウド DB・企業向け IaaS)</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既存 DB 顧客 / DB をクラウドで動かす / OCI・他社クラウド内の Oracle DB / 他社 DB</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利用量(乗る)</w:t>
            </w:r>
          </w:p>
        </w:tc>
        <w:tc>
          <w:tcPr>
            <w:tcW w:type="dxa" w:w="6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推定 $109億 → $142億</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既存 DB 顧客の移行が中心(マルチクラウド DB +353%、顧客数 +180%)</w:t>
            </w:r>
          </w:p>
        </w:tc>
        <w:tc>
          <w:tcPr>
            <w:tcW w:type="dxa" w:w="114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ストック(従量)</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65〜80%(会社: 非AI の粗利率)/ 高</w:t>
            </w:r>
          </w:p>
        </w:tc>
        <w:tc>
          <w:tcPr>
            <w:tcW w:type="dxa" w:w="12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中(一部の設備)</w:t>
            </w:r>
          </w:p>
        </w:tc>
      </w:tr>
      <w:tr>
        <w:trPr>
          <w:cantSplit/>
          <w:tblHeader w:val="false"/>
        </w:trPr>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E4 AI クラウド基盤(GPU 容量)</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AI 研究所(OpenAI・Meta・xAI ほか 700社超)/ 学習・推論の計算能力を電力ごと確保 / GPU クラスタの容量貸し / ハイパースケーラー・ネオクラウド・自社建設</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容量(GW)の確約契約5〜6年(顧客の成長に乗るが、上限は契約容量)</w:t>
            </w:r>
          </w:p>
        </w:tc>
        <w:tc>
          <w:tcPr>
            <w:tcW w:type="dxa" w:w="6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推定 $72億 → $268億</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新規の原子単位(新設容量)が約9割</w:t>
            </w:r>
            <w:r>
              <w:rPr>
                <w:rFonts w:ascii="Arial" w:cs="Arial" w:eastAsia="Yu Gothic" w:hAnsi="Arial"/>
                <w:color w:val="222222"/>
                <w:sz w:val="14"/>
                <w:szCs w:val="14"/>
              </w:rPr>
              <w:t xml:space="preserve">。更新は +20%(拡張)</w:t>
            </w:r>
          </w:p>
        </w:tc>
        <w:tc>
          <w:tcPr>
            <w:tcW w:type="dxa" w:w="114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ストック(契約期間)。契約後は更新・再販</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30〜35%(会社。Q3 FY26 32%、立上げ中は低い)/ 立上げ費用を除けば平均並み</w:t>
            </w:r>
          </w:p>
        </w:tc>
        <w:tc>
          <w:tcPr>
            <w:tcW w:type="dxa" w:w="12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重い</w:t>
            </w:r>
            <w:r>
              <w:rPr>
                <w:rFonts w:ascii="Arial" w:cs="Arial" w:eastAsia="Yu Gothic" w:hAnsi="Arial"/>
                <w:color w:val="222222"/>
                <w:sz w:val="14"/>
                <w:szCs w:val="14"/>
              </w:rPr>
              <w:t xml:space="preserve">(1GW あたり GPU $250億 + 建屋はリース)</w:t>
            </w:r>
          </w:p>
        </w:tc>
      </w:tr>
      <w:tr>
        <w:trPr>
          <w:cantSplit/>
          <w:tblHeader w:val="false"/>
        </w:trPr>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E5 ハードウェア・サービス</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DB 顧客 / Exadata 等の機器・導入支援</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件数(乗らない)</w:t>
            </w:r>
          </w:p>
        </w:tc>
        <w:tc>
          <w:tcPr>
            <w:tcW w:type="dxa" w:w="6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$88億 → $90億</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横ばい</w:t>
            </w:r>
          </w:p>
        </w:tc>
        <w:tc>
          <w:tcPr>
            <w:tcW w:type="dxa" w:w="114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フロー</w:t>
            </w:r>
          </w:p>
        </w:tc>
        <w:tc>
          <w:tcPr>
            <w:tcW w:type="dxa" w:w="13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低〜中</w:t>
            </w:r>
          </w:p>
        </w:tc>
        <w:tc>
          <w:tcPr>
            <w:tcW w:type="dxa" w:w="126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小</w:t>
            </w:r>
          </w:p>
        </w:tc>
      </w:tr>
    </w:tbl>
    <w:p>
      <w:pPr>
        <w:spacing w:after="80"/>
      </w:pPr>
    </w:p>
    <w:p>
      <w:pPr>
        <w:spacing w:after="120" w:line="300"/>
      </w:pPr>
      <w:r>
        <w:rPr>
          <w:rFonts w:ascii="Arial" w:cs="Arial" w:eastAsia="Yu Gothic" w:hAnsi="Arial"/>
          <w:b/>
          <w:bCs/>
          <w:sz w:val="20"/>
          <w:szCs w:val="20"/>
        </w:rPr>
        <w:t xml:space="preserve">費用ラインの解剖:</w:t>
      </w:r>
    </w:p>
    <w:p>
      <w:pPr>
        <w:pStyle w:val="ListParagraph"/>
        <w:numPr>
          <w:ilvl w:val="0"/>
          <w:numId w:val="3"/>
        </w:numPr>
        <w:spacing w:after="40" w:line="290"/>
      </w:pPr>
      <w:r>
        <w:rPr>
          <w:rFonts w:ascii="Arial" w:cs="Arial" w:eastAsia="Yu Gothic" w:hAnsi="Arial"/>
          <w:b/>
          <w:bCs/>
          <w:sz w:val="20"/>
          <w:szCs w:val="20"/>
        </w:rPr>
        <w:t xml:space="preserve">クラウドの売上原価:</w:t>
      </w:r>
      <w:r>
        <w:rPr>
          <w:rFonts w:ascii="Arial" w:cs="Arial" w:eastAsia="Yu Gothic" w:hAnsi="Arial"/>
          <w:sz w:val="20"/>
          <w:szCs w:val="20"/>
        </w:rPr>
        <w:t xml:space="preserve"> GPU・サーバーの償却(FY26 $76億 → 四半期 $32億)、データセンターのリース、電力、人員。</w:t>
      </w:r>
    </w:p>
    <w:p>
      <w:pPr>
        <w:pStyle w:val="ListParagraph"/>
        <w:numPr>
          <w:ilvl w:val="0"/>
          <w:numId w:val="3"/>
        </w:numPr>
        <w:spacing w:after="40" w:line="290"/>
      </w:pPr>
      <w:r>
        <w:rPr>
          <w:rFonts w:ascii="Arial" w:cs="Arial" w:eastAsia="Yu Gothic" w:hAnsi="Arial"/>
          <w:b/>
          <w:bCs/>
          <w:sz w:val="20"/>
          <w:szCs w:val="20"/>
        </w:rPr>
        <w:t xml:space="preserve">営業費(S&amp;M・R&amp;D・G&amp;A):</w:t>
      </w:r>
      <w:r>
        <w:rPr>
          <w:rFonts w:ascii="Arial" w:cs="Arial" w:eastAsia="Yu Gothic" w:hAnsi="Arial"/>
          <w:sz w:val="20"/>
          <w:szCs w:val="20"/>
        </w:rPr>
        <w:t xml:space="preserve"> 人員削減(2025〜2026年)で対売上比が低下している。</w:t>
      </w:r>
    </w:p>
    <w:p>
      <w:pPr>
        <w:pStyle w:val="ListParagraph"/>
        <w:numPr>
          <w:ilvl w:val="0"/>
          <w:numId w:val="3"/>
        </w:numPr>
        <w:spacing w:after="40" w:line="290"/>
      </w:pPr>
      <w:r>
        <w:rPr>
          <w:rFonts w:ascii="Arial" w:cs="Arial" w:eastAsia="Yu Gothic" w:hAnsi="Arial"/>
          <w:b/>
          <w:bCs/>
          <w:sz w:val="20"/>
          <w:szCs w:val="20"/>
        </w:rPr>
        <w:t xml:space="preserve">営業外費用:</w:t>
      </w:r>
      <w:r>
        <w:rPr>
          <w:rFonts w:ascii="Arial" w:cs="Arial" w:eastAsia="Yu Gothic" w:hAnsi="Arial"/>
          <w:sz w:val="20"/>
          <w:szCs w:val="20"/>
        </w:rPr>
        <w:t xml:space="preserve"> 支払利息(四半期 約$10億、Q1 FY27 の非GAAP 営業利益と税引前利益の差から逆算)。</w:t>
      </w:r>
    </w:p>
    <w:p>
      <w:pPr>
        <w:spacing w:after="120" w:line="300"/>
      </w:pPr>
      <w:r>
        <w:rPr>
          <w:rFonts w:ascii="Arial" w:cs="Arial" w:eastAsia="Yu Gothic" w:hAnsi="Arial"/>
          <w:sz w:val="20"/>
          <w:szCs w:val="20"/>
        </w:rPr>
        <w:t xml:space="preserve">ライン別の費用は開示されていない(既知の制約)。</w:t>
      </w:r>
    </w:p>
    <w:p>
      <w:pPr>
        <w:spacing w:after="120" w:line="300"/>
      </w:pPr>
      <w:r>
        <w:rPr>
          <w:rFonts w:ascii="Arial" w:cs="Arial" w:eastAsia="Yu Gothic" w:hAnsi="Arial"/>
          <w:b/>
          <w:bCs/>
          <w:sz w:val="20"/>
          <w:szCs w:val="20"/>
        </w:rPr>
        <w:t xml:space="preserve">低迷・急伸しているラインの要素分解:</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1156"/>
        <w:gridCol w:w="2531"/>
        <w:gridCol w:w="2531"/>
        <w:gridCol w:w="2532"/>
      </w:tblGrid>
      <w:tr>
        <w:trPr>
          <w:cantSplit/>
          <w:tblHeader/>
        </w:trPr>
        <w:tc>
          <w:tcPr>
            <w:tcW w:type="dxa" w:w="115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ライン</w:t>
            </w:r>
          </w:p>
        </w:tc>
        <w:tc>
          <w:tcPr>
            <w:tcW w:type="dxa" w:w="115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動き</w:t>
            </w:r>
          </w:p>
        </w:tc>
        <w:tc>
          <w:tcPr>
            <w:tcW w:type="dxa" w:w="253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数量 × 単価 × ミックス</w:t>
            </w:r>
          </w:p>
        </w:tc>
        <w:tc>
          <w:tcPr>
            <w:tcW w:type="dxa" w:w="253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離脱・客層・代替・需要量</w:t>
            </w:r>
          </w:p>
        </w:tc>
        <w:tc>
          <w:tcPr>
            <w:tcW w:type="dxa" w:w="253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なぜ(2層)</w:t>
            </w:r>
          </w:p>
        </w:tc>
      </w:tr>
      <w:tr>
        <w:trPr>
          <w:cantSplit/>
          <w:tblHeader w:val="false"/>
        </w:trPr>
        <w:tc>
          <w:tcPr>
            <w:tcW w:type="dxa" w:w="115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E4 AI(急伸)</w:t>
            </w:r>
          </w:p>
        </w:tc>
        <w:tc>
          <w:tcPr>
            <w:tcW w:type="dxa" w:w="115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+約355%(Q1 FY27 推定)</w:t>
            </w:r>
          </w:p>
        </w:tc>
        <w:tc>
          <w:tcPr>
            <w:tcW w:type="dxa" w:w="25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数量:</w:t>
            </w:r>
            <w:r>
              <w:rPr>
                <w:rFonts w:ascii="Arial" w:cs="Arial" w:eastAsia="Yu Gothic" w:hAnsi="Arial"/>
                <w:color w:val="222222"/>
                <w:sz w:val="16"/>
                <w:szCs w:val="16"/>
              </w:rPr>
              <w:t xml:space="preserve"> 平均稼働 GW が約2倍。</w:t>
            </w:r>
            <w:r>
              <w:rPr>
                <w:rFonts w:ascii="Arial" w:cs="Arial" w:eastAsia="Yu Gothic" w:hAnsi="Arial"/>
                <w:color w:val="222222"/>
                <w:sz w:val="16"/>
                <w:szCs w:val="16"/>
              </w:rPr>
              <w:t xml:space="preserve">単価:</w:t>
            </w:r>
            <w:r>
              <w:rPr>
                <w:rFonts w:ascii="Arial" w:cs="Arial" w:eastAsia="Yu Gothic" w:hAnsi="Arial"/>
                <w:color w:val="222222"/>
                <w:sz w:val="16"/>
                <w:szCs w:val="16"/>
              </w:rPr>
              <w:t xml:space="preserve"> GW あたり $7.7B(FY26 $6.5B)。</w:t>
            </w:r>
            <w:r>
              <w:rPr>
                <w:rFonts w:ascii="Arial" w:cs="Arial" w:eastAsia="Yu Gothic" w:hAnsi="Arial"/>
                <w:color w:val="222222"/>
                <w:sz w:val="16"/>
                <w:szCs w:val="16"/>
              </w:rPr>
              <w:t xml:space="preserve">ミックス:</w:t>
            </w:r>
            <w:r>
              <w:rPr>
                <w:rFonts w:ascii="Arial" w:cs="Arial" w:eastAsia="Yu Gothic" w:hAnsi="Arial"/>
                <w:color w:val="222222"/>
                <w:sz w:val="16"/>
                <w:szCs w:val="16"/>
              </w:rPr>
              <w:t xml:space="preserve"> 新世代 GPU と大型契約</w:t>
            </w:r>
          </w:p>
        </w:tc>
        <w:tc>
          <w:tcPr>
            <w:tcW w:type="dxa" w:w="25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離脱は少ない(Q4 FY26: 顧客の 49% が GPU の 92% を更新)。客層は大型の AI 研究所へ移る</w:t>
            </w:r>
          </w:p>
        </w:tc>
        <w:tc>
          <w:tcPr>
            <w:tcW w:type="dxa" w:w="253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なぜ伸びるか → 需要が供給を上回り(稼働率 97.9%)、契約済み容量の納入が進んでいるから → なぜ納入できるか → 他人の資本(リース・前払い)で建屋と GPU を調達しているから</w:t>
            </w:r>
          </w:p>
        </w:tc>
      </w:tr>
      <w:tr>
        <w:trPr>
          <w:cantSplit/>
          <w:tblHeader w:val="false"/>
        </w:trPr>
        <w:tc>
          <w:tcPr>
            <w:tcW w:type="dxa" w:w="115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E1 ソフトウェア(低迷)</w:t>
            </w:r>
          </w:p>
        </w:tc>
        <w:tc>
          <w:tcPr>
            <w:tcW w:type="dxa" w:w="115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w:t>
            </w:r>
          </w:p>
        </w:tc>
        <w:tc>
          <w:tcPr>
            <w:tcW w:type="dxa" w:w="25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数量(ライセンス残高)が微減。単価は不明</w:t>
            </w:r>
          </w:p>
        </w:tc>
        <w:tc>
          <w:tcPr>
            <w:tcW w:type="dxa" w:w="25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代替: オンプレから自社クラウド(OCI・マルチクラウド)への移行(共食い)。他社 DB への離脱は未開示</w:t>
            </w:r>
          </w:p>
        </w:tc>
        <w:tc>
          <w:tcPr>
            <w:tcW w:type="dxa" w:w="253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なぜ減るか → 顧客が DB をクラウドで動かすから → その移行先の多くは Oracle 自身のクラウド(E3)で、価値は失われず E3 に移っている(E1 −$7億に対し E3 +$33億)</w:t>
            </w:r>
          </w:p>
        </w:tc>
      </w:tr>
    </w:tbl>
    <w:p>
      <w:pPr>
        <w:spacing w:after="80"/>
      </w:pPr>
    </w:p>
    <w:p>
      <w:pPr>
        <w:pStyle w:val="Heading2"/>
      </w:pPr>
      <w:r>
        <w:rPr>
          <w:rFonts w:ascii="Arial" w:cs="Arial" w:eastAsia="Yu Gothic" w:hAnsi="Arial"/>
        </w:rPr>
        <w:t xml:space="preserve">3-2 収益ミックスの時系列変化と営業レバレッジの分解</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93"/>
        <w:gridCol w:w="1263"/>
        <w:gridCol w:w="1815"/>
        <w:gridCol w:w="1184"/>
        <w:gridCol w:w="1342"/>
        <w:gridCol w:w="2209"/>
      </w:tblGrid>
      <w:tr>
        <w:trPr>
          <w:cantSplit/>
          <w:tblHeader/>
        </w:trPr>
        <w:tc>
          <w:tcPr>
            <w:tcW w:type="dxa" w:w="150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年度</w:t>
            </w:r>
          </w:p>
        </w:tc>
        <w:tc>
          <w:tcPr>
            <w:tcW w:type="dxa" w:w="59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売上</w:t>
            </w:r>
          </w:p>
        </w:tc>
        <w:tc>
          <w:tcPr>
            <w:tcW w:type="dxa" w:w="126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ソフトウェア比率</w:t>
            </w:r>
          </w:p>
        </w:tc>
        <w:tc>
          <w:tcPr>
            <w:tcW w:type="dxa" w:w="181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クラウド(IaaS+SaaS)比率</w:t>
            </w:r>
          </w:p>
        </w:tc>
        <w:tc>
          <w:tcPr>
            <w:tcW w:type="dxa" w:w="118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非GAAP 営業利益</w:t>
            </w:r>
          </w:p>
        </w:tc>
        <w:tc>
          <w:tcPr>
            <w:tcW w:type="dxa" w:w="134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非GAAP 営業利益率</w:t>
            </w:r>
          </w:p>
        </w:tc>
        <w:tc>
          <w:tcPr>
            <w:tcW w:type="dxa" w:w="220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増収に対する増益(限界利益率)</w:t>
            </w:r>
          </w:p>
        </w:tc>
      </w:tr>
      <w:tr>
        <w:trPr>
          <w:cantSplit/>
          <w:tblHeader w:val="false"/>
        </w:trPr>
        <w:tc>
          <w:tcPr>
            <w:tcW w:type="dxa" w:w="15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FY24</w:t>
            </w:r>
          </w:p>
        </w:tc>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$530億</w:t>
            </w:r>
          </w:p>
        </w:tc>
        <w:tc>
          <w:tcPr>
            <w:tcW w:type="dxa" w:w="12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47%</w:t>
            </w:r>
          </w:p>
        </w:tc>
        <w:tc>
          <w:tcPr>
            <w:tcW w:type="dxa" w:w="181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37%</w:t>
            </w:r>
          </w:p>
        </w:tc>
        <w:tc>
          <w:tcPr>
            <w:tcW w:type="dxa" w:w="11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$231億</w:t>
            </w:r>
          </w:p>
        </w:tc>
        <w:tc>
          <w:tcPr>
            <w:tcW w:type="dxa" w:w="13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43.6%</w:t>
            </w:r>
          </w:p>
        </w:tc>
        <w:tc>
          <w:tcPr>
            <w:tcW w:type="dxa" w:w="220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r>
      <w:tr>
        <w:trPr>
          <w:cantSplit/>
          <w:tblHeader w:val="false"/>
        </w:trPr>
        <w:tc>
          <w:tcPr>
            <w:tcW w:type="dxa" w:w="15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FY25</w:t>
            </w:r>
          </w:p>
        </w:tc>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$574億</w:t>
            </w:r>
          </w:p>
        </w:tc>
        <w:tc>
          <w:tcPr>
            <w:tcW w:type="dxa" w:w="12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43%</w:t>
            </w:r>
          </w:p>
        </w:tc>
        <w:tc>
          <w:tcPr>
            <w:tcW w:type="dxa" w:w="181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43%</w:t>
            </w:r>
          </w:p>
        </w:tc>
        <w:tc>
          <w:tcPr>
            <w:tcW w:type="dxa" w:w="11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$250億</w:t>
            </w:r>
          </w:p>
        </w:tc>
        <w:tc>
          <w:tcPr>
            <w:tcW w:type="dxa" w:w="13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43.6%</w:t>
            </w:r>
          </w:p>
        </w:tc>
        <w:tc>
          <w:tcPr>
            <w:tcW w:type="dxa" w:w="220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43%(+$44億 → +$19億)</w:t>
            </w:r>
          </w:p>
        </w:tc>
      </w:tr>
      <w:tr>
        <w:trPr>
          <w:cantSplit/>
          <w:tblHeader w:val="false"/>
        </w:trPr>
        <w:tc>
          <w:tcPr>
            <w:tcW w:type="dxa" w:w="15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FY26</w:t>
            </w:r>
          </w:p>
        </w:tc>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$674億</w:t>
            </w:r>
          </w:p>
        </w:tc>
        <w:tc>
          <w:tcPr>
            <w:tcW w:type="dxa" w:w="12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36%</w:t>
            </w:r>
          </w:p>
        </w:tc>
        <w:tc>
          <w:tcPr>
            <w:tcW w:type="dxa" w:w="181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50%</w:t>
            </w:r>
          </w:p>
        </w:tc>
        <w:tc>
          <w:tcPr>
            <w:tcW w:type="dxa" w:w="11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$289億</w:t>
            </w:r>
          </w:p>
        </w:tc>
        <w:tc>
          <w:tcPr>
            <w:tcW w:type="dxa" w:w="13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42.9%</w:t>
            </w:r>
          </w:p>
        </w:tc>
        <w:tc>
          <w:tcPr>
            <w:tcW w:type="dxa" w:w="220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39%(+$100億 → +$39億)</w:t>
            </w:r>
          </w:p>
        </w:tc>
      </w:tr>
      <w:tr>
        <w:trPr>
          <w:cantSplit/>
          <w:tblHeader w:val="false"/>
        </w:trPr>
        <w:tc>
          <w:tcPr>
            <w:tcW w:type="dxa" w:w="15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Q1 FY27(前年同期比)</w:t>
            </w:r>
          </w:p>
        </w:tc>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$193億</w:t>
            </w:r>
          </w:p>
        </w:tc>
        <w:tc>
          <w:tcPr>
            <w:tcW w:type="dxa" w:w="12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29%</w:t>
            </w:r>
          </w:p>
        </w:tc>
        <w:tc>
          <w:tcPr>
            <w:tcW w:type="dxa" w:w="181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60%</w:t>
            </w:r>
          </w:p>
        </w:tc>
        <w:tc>
          <w:tcPr>
            <w:tcW w:type="dxa" w:w="11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$82億</w:t>
            </w:r>
          </w:p>
        </w:tc>
        <w:tc>
          <w:tcPr>
            <w:tcW w:type="dxa" w:w="13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42.5%</w:t>
            </w:r>
          </w:p>
        </w:tc>
        <w:tc>
          <w:tcPr>
            <w:tcW w:type="dxa" w:w="220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45%</w:t>
            </w:r>
            <w:r>
              <w:rPr>
                <w:rFonts w:ascii="Arial" w:cs="Arial" w:eastAsia="Yu Gothic" w:hAnsi="Arial"/>
                <w:color w:val="222222"/>
                <w:sz w:val="14"/>
                <w:szCs w:val="14"/>
              </w:rPr>
              <w:t xml:space="preserve">(+$44.5億 → +$20億)</w:t>
            </w:r>
          </w:p>
        </w:tc>
      </w:tr>
      <w:tr>
        <w:trPr>
          <w:cantSplit/>
          <w:tblHeader w:val="false"/>
        </w:trPr>
        <w:tc>
          <w:tcPr>
            <w:tcW w:type="dxa" w:w="15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FY27E(事業エンジン)</w:t>
            </w:r>
          </w:p>
        </w:tc>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$913億</w:t>
            </w:r>
          </w:p>
        </w:tc>
        <w:tc>
          <w:tcPr>
            <w:tcW w:type="dxa" w:w="12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26%</w:t>
            </w:r>
          </w:p>
        </w:tc>
        <w:tc>
          <w:tcPr>
            <w:tcW w:type="dxa" w:w="181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64%</w:t>
            </w:r>
          </w:p>
        </w:tc>
        <w:tc>
          <w:tcPr>
            <w:tcW w:type="dxa" w:w="11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$352億</w:t>
            </w:r>
          </w:p>
        </w:tc>
        <w:tc>
          <w:tcPr>
            <w:tcW w:type="dxa" w:w="13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38.6%</w:t>
            </w:r>
          </w:p>
        </w:tc>
        <w:tc>
          <w:tcPr>
            <w:tcW w:type="dxa" w:w="220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約27%(+$239億 → +$63億)</w:t>
            </w:r>
          </w:p>
        </w:tc>
      </w:tr>
    </w:tbl>
    <w:p>
      <w:pPr>
        <w:spacing w:after="80"/>
      </w:pPr>
    </w:p>
    <w:p>
      <w:pPr>
        <w:spacing w:after="120" w:line="300"/>
      </w:pPr>
      <w:r>
        <w:rPr>
          <w:rFonts w:ascii="Arial" w:cs="Arial" w:eastAsia="Yu Gothic" w:hAnsi="Arial"/>
          <w:b/>
          <w:bCs/>
          <w:sz w:val="20"/>
          <w:szCs w:val="20"/>
        </w:rPr>
        <w:t xml:space="preserve">読み方(原因を2層):</w:t>
      </w:r>
    </w:p>
    <w:p>
      <w:pPr>
        <w:pStyle w:val="ListParagraph"/>
        <w:numPr>
          <w:ilvl w:val="0"/>
          <w:numId w:val="3"/>
        </w:numPr>
        <w:spacing w:after="40" w:line="290"/>
      </w:pPr>
      <w:r>
        <w:rPr>
          <w:rFonts w:ascii="Arial" w:cs="Arial" w:eastAsia="Yu Gothic" w:hAnsi="Arial"/>
          <w:b/>
          <w:bCs/>
          <w:sz w:val="20"/>
          <w:szCs w:val="20"/>
        </w:rPr>
        <w:t xml:space="preserve">観測:</w:t>
      </w:r>
      <w:r>
        <w:rPr>
          <w:rFonts w:ascii="Arial" w:cs="Arial" w:eastAsia="Yu Gothic" w:hAnsi="Arial"/>
          <w:sz w:val="20"/>
          <w:szCs w:val="20"/>
        </w:rPr>
        <w:t xml:space="preserve"> FY27 の限界利益率は約27%に下がる見込みである(事業エンジン経路)。</w:t>
      </w:r>
    </w:p>
    <w:p>
      <w:pPr>
        <w:pStyle w:val="ListParagraph"/>
        <w:numPr>
          <w:ilvl w:val="0"/>
          <w:numId w:val="3"/>
        </w:numPr>
        <w:spacing w:after="40" w:line="290"/>
      </w:pPr>
      <w:r>
        <w:rPr>
          <w:rFonts w:ascii="Arial" w:cs="Arial" w:eastAsia="Yu Gothic" w:hAnsi="Arial"/>
          <w:b/>
          <w:bCs/>
          <w:sz w:val="20"/>
          <w:szCs w:val="20"/>
        </w:rPr>
        <w:t xml:space="preserve">なぜ1:</w:t>
      </w:r>
      <w:r>
        <w:rPr>
          <w:rFonts w:ascii="Arial" w:cs="Arial" w:eastAsia="Yu Gothic" w:hAnsi="Arial"/>
          <w:sz w:val="20"/>
          <w:szCs w:val="20"/>
        </w:rPr>
        <w:t xml:space="preserve"> 増収の82%が AI 容量で、その EBIT 利益率は立上げ期に 16% と低い。</w:t>
      </w:r>
    </w:p>
    <w:p>
      <w:pPr>
        <w:pStyle w:val="ListParagraph"/>
        <w:numPr>
          <w:ilvl w:val="0"/>
          <w:numId w:val="3"/>
        </w:numPr>
        <w:spacing w:after="40" w:line="290"/>
      </w:pPr>
      <w:r>
        <w:rPr>
          <w:rFonts w:ascii="Arial" w:cs="Arial" w:eastAsia="Yu Gothic" w:hAnsi="Arial"/>
          <w:b/>
          <w:bCs/>
          <w:sz w:val="20"/>
          <w:szCs w:val="20"/>
        </w:rPr>
        <w:t xml:space="preserve">なぜ2:</w:t>
      </w:r>
      <w:r>
        <w:rPr>
          <w:rFonts w:ascii="Arial" w:cs="Arial" w:eastAsia="Yu Gothic" w:hAnsi="Arial"/>
          <w:sz w:val="20"/>
          <w:szCs w:val="20"/>
        </w:rPr>
        <w:t xml:space="preserve"> リースの開始と GPU の償却が、売上の立ち上がりより先に来る(Jカーブ)。</w:t>
      </w:r>
    </w:p>
    <w:p>
      <w:pPr>
        <w:pStyle w:val="ListParagraph"/>
        <w:numPr>
          <w:ilvl w:val="0"/>
          <w:numId w:val="3"/>
        </w:numPr>
        <w:spacing w:after="40" w:line="290"/>
      </w:pPr>
      <w:r>
        <w:rPr>
          <w:rFonts w:ascii="Arial" w:cs="Arial" w:eastAsia="Yu Gothic" w:hAnsi="Arial"/>
          <w:b/>
          <w:bCs/>
          <w:sz w:val="20"/>
          <w:szCs w:val="20"/>
        </w:rPr>
        <w:t xml:space="preserve">示唆:</w:t>
      </w:r>
      <w:r>
        <w:rPr>
          <w:rFonts w:ascii="Arial" w:cs="Arial" w:eastAsia="Yu Gothic" w:hAnsi="Arial"/>
          <w:sz w:val="20"/>
          <w:szCs w:val="20"/>
        </w:rPr>
        <w:t xml:space="preserve"> Q1 FY27 の限界利益率 45% は、営業費の削減が AI のミックス悪化を上回った結果である。営業費の削減は一度きりの効果なので、FY27 後半の限界利益率は、AI 容量の利益率がどれだけ早く 30% に近づくかで決まる(判別KPI K1)。</w:t>
      </w:r>
    </w:p>
    <w:p>
      <w:pPr>
        <w:pStyle w:val="Heading2"/>
      </w:pPr>
      <w:r>
        <w:rPr>
          <w:rFonts w:ascii="Arial" w:cs="Arial" w:eastAsia="Yu Gothic" w:hAnsi="Arial"/>
        </w:rPr>
        <w:t xml:space="preserve">3-3 鳥の目事業構造マップ(現在)(F1)</w:t>
      </w:r>
    </w:p>
    <w:p>
      <w:pPr>
        <w:keepNext/>
        <w:spacing w:after="40" w:before="80"/>
        <w:jc w:val="center"/>
      </w:pPr>
      <w:r>
        <w:drawing>
          <wp:inline distT="0" distB="0" distL="0" distR="0">
            <wp:extent cx="57912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91200" cy="3124200"/>
                    </a:xfrm>
                    <a:prstGeom prst="rect">
                      <a:avLst/>
                    </a:prstGeom>
                  </pic:spPr>
                </pic:pic>
              </a:graphicData>
            </a:graphic>
          </wp:inline>
        </w:drawing>
      </w:r>
    </w:p>
    <w:p>
      <w:pPr>
        <w:spacing w:after="160"/>
        <w:jc w:val="center"/>
      </w:pPr>
      <w:r>
        <w:rPr>
          <w:rFonts w:ascii="Arial" w:cs="Arial" w:eastAsia="Yu Gothic" w:hAnsi="Arial"/>
          <w:i/>
          <w:iCs/>
          <w:color w:val="5A6B7D"/>
          <w:sz w:val="17"/>
          <w:szCs w:val="17"/>
        </w:rPr>
        <w:t xml:space="preserve">参考図4 四半期のキャッシュフロー(左: 年度、右: 四半期)。capex が営業CFを上回り、FCF は6四半期連続のマイナス(出典: Oracle 10-K・10-Q、検索要約経由)</w:t>
      </w:r>
    </w:p>
    <w:p>
      <w:pPr>
        <w:spacing w:after="120" w:line="300"/>
      </w:pPr>
      <w:r>
        <w:rPr>
          <w:rFonts w:ascii="Arial" w:cs="Arial" w:eastAsia="Yu Gothic" w:hAnsi="Arial"/>
          <w:b/>
          <w:bCs/>
          <w:sz w:val="20"/>
          <w:szCs w:val="20"/>
        </w:rPr>
        <w:t xml:space="preserve">図F1 業界バリューチェーンと Oracle の位置(現在):</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2"/>
        <w:gridCol w:w="1635"/>
        <w:gridCol w:w="1635"/>
        <w:gridCol w:w="1635"/>
        <w:gridCol w:w="1635"/>
        <w:gridCol w:w="1138"/>
        <w:gridCol w:w="1636"/>
      </w:tblGrid>
      <w:tr>
        <w:trPr>
          <w:cantSplit/>
          <w:tblHeader/>
        </w:trPr>
        <w:tc>
          <w:tcPr>
            <w:tcW w:type="dxa" w:w="59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段階</w:t>
            </w:r>
          </w:p>
        </w:tc>
        <w:tc>
          <w:tcPr>
            <w:tcW w:type="dxa" w:w="163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主なアクター</w:t>
            </w:r>
          </w:p>
        </w:tc>
        <w:tc>
          <w:tcPr>
            <w:tcW w:type="dxa" w:w="163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利益プール(段階別の利益率 × 規模)</w:t>
            </w:r>
          </w:p>
        </w:tc>
        <w:tc>
          <w:tcPr>
            <w:tcW w:type="dxa" w:w="163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Oracle の位置</w:t>
            </w:r>
          </w:p>
        </w:tc>
        <w:tc>
          <w:tcPr>
            <w:tcW w:type="dxa" w:w="163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カネの流れ</w:t>
            </w:r>
          </w:p>
        </w:tc>
        <w:tc>
          <w:tcPr>
            <w:tcW w:type="dxa" w:w="113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モノ・情報</w:t>
            </w:r>
          </w:p>
        </w:tc>
        <w:tc>
          <w:tcPr>
            <w:tcW w:type="dxa" w:w="163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リスクの所在(誰が負うか / 意図 / 純効果)</w:t>
            </w:r>
          </w:p>
        </w:tc>
      </w:tr>
      <w:tr>
        <w:trPr>
          <w:cantSplit/>
          <w:tblHeader w:val="false"/>
        </w:trPr>
        <w:tc>
          <w:tcPr>
            <w:tcW w:type="dxa" w:w="5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①チップ</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NVIDIA・AMD</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最大</w:t>
            </w:r>
            <w:r>
              <w:rPr>
                <w:rFonts w:ascii="Arial" w:cs="Arial" w:eastAsia="Yu Gothic" w:hAnsi="Arial"/>
                <w:color w:val="222222"/>
                <w:sz w:val="14"/>
                <w:szCs w:val="14"/>
              </w:rPr>
              <w:t xml:space="preserve">(推定。本調査では NVIDIA の粗利率を出典で確認していない)</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調達側(NVIDIA・AMD は顧客でもある)</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Oracle → NVIDIA(GPU 代金)。持込契約では顧客 → NVIDIA</w:t>
            </w:r>
          </w:p>
        </w:tc>
        <w:tc>
          <w:tcPr>
            <w:tcW w:type="dxa" w:w="11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GPU</w:t>
            </w:r>
          </w:p>
        </w:tc>
        <w:tc>
          <w:tcPr>
            <w:tcW w:type="dxa" w:w="1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世代交代の陳腐化 → 持込分は顧客が負う</w:t>
            </w:r>
          </w:p>
        </w:tc>
      </w:tr>
      <w:tr>
        <w:trPr>
          <w:cantSplit/>
          <w:tblHeader w:val="false"/>
        </w:trPr>
        <w:tc>
          <w:tcPr>
            <w:tcW w:type="dxa" w:w="5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②電力・建屋</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Vantage・Crusoe・Related・STACK(Blue Owl)、ガス・燃料電池(Bloom)</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中(リース利回り。非開示)</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借り手</w:t>
            </w:r>
            <w:r>
              <w:rPr>
                <w:rFonts w:ascii="Arial" w:cs="Arial" w:eastAsia="Yu Gothic" w:hAnsi="Arial"/>
                <w:color w:val="222222"/>
                <w:sz w:val="14"/>
                <w:szCs w:val="14"/>
              </w:rPr>
              <w:t xml:space="preserve">(未開始リース $2,880億、15〜19年)</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Oracle → 貸主(賃料)。貸主 → 銀行(プロジェクトローン。例: ニューメキシコ $180億、額面の89〜91%で取引)</w:t>
            </w:r>
          </w:p>
        </w:tc>
        <w:tc>
          <w:tcPr>
            <w:tcW w:type="dxa" w:w="11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電力付き建屋</w:t>
            </w:r>
          </w:p>
        </w:tc>
        <w:tc>
          <w:tcPr>
            <w:tcW w:type="dxa" w:w="1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建屋の空室リスクは Oracle が負う(ニューメキシコ拠点は解約不能と報道、他は非開示)。意図は資本の外部化。純効果は芯①しだい</w:t>
            </w:r>
          </w:p>
        </w:tc>
      </w:tr>
      <w:tr>
        <w:trPr>
          <w:cantSplit/>
          <w:tblHeader w:val="false"/>
        </w:trPr>
        <w:tc>
          <w:tcPr>
            <w:tcW w:type="dxa" w:w="5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③クラウド運営</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Oracle</w:t>
            </w:r>
            <w:r>
              <w:rPr>
                <w:rFonts w:ascii="Arial" w:cs="Arial" w:eastAsia="Yu Gothic" w:hAnsi="Arial"/>
                <w:color w:val="222222"/>
                <w:sz w:val="14"/>
                <w:szCs w:val="14"/>
              </w:rPr>
              <w:t xml:space="preserve">・MSFT・AWS・Google・CoreWeave</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AI は中(粗利 30〜35%)/ 非AI は高(65〜80%)</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運営者</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顧客 → Oracle(従量・確約・前払い)</w:t>
            </w:r>
          </w:p>
        </w:tc>
        <w:tc>
          <w:tcPr>
            <w:tcW w:type="dxa" w:w="11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計算能力、データベース</w:t>
            </w:r>
          </w:p>
        </w:tc>
        <w:tc>
          <w:tcPr>
            <w:tcW w:type="dxa" w:w="1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稼働率・価格のリスクは Oracle</w:t>
            </w:r>
          </w:p>
        </w:tc>
      </w:tr>
      <w:tr>
        <w:trPr>
          <w:cantSplit/>
          <w:tblHeader w:val="false"/>
        </w:trPr>
        <w:tc>
          <w:tcPr>
            <w:tcW w:type="dxa" w:w="5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④AI 研究所</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OpenAI・Meta・xAI ほか</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マイナス〜小(OpenAI の FCF は大幅な赤字)</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顧客</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投資家 → 研究所 → Oracle</w:t>
            </w:r>
          </w:p>
        </w:tc>
        <w:tc>
          <w:tcPr>
            <w:tcW w:type="dxa" w:w="11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モデル</w:t>
            </w:r>
          </w:p>
        </w:tc>
        <w:tc>
          <w:tcPr>
            <w:tcW w:type="dxa" w:w="1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研究所の資金繰りリスクは、結果として Oracle が負う(受注残の約45%)</w:t>
            </w:r>
          </w:p>
        </w:tc>
      </w:tr>
      <w:tr>
        <w:trPr>
          <w:cantSplit/>
          <w:tblHeader w:val="false"/>
        </w:trPr>
        <w:tc>
          <w:tcPr>
            <w:tcW w:type="dxa" w:w="5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⑤企業・消費者</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企業(DB 顧客)・消費者</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DB・アプリの提供者(最高プール: 保守の粗利率 約90%)</w:t>
            </w:r>
          </w:p>
        </w:tc>
        <w:tc>
          <w:tcPr>
            <w:tcW w:type="dxa" w:w="16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企業 → Oracle(保守・SaaS)</w:t>
            </w:r>
          </w:p>
        </w:tc>
        <w:tc>
          <w:tcPr>
            <w:tcW w:type="dxa" w:w="11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企業データ(Oracle DB の中にある)</w:t>
            </w:r>
          </w:p>
        </w:tc>
        <w:tc>
          <w:tcPr>
            <w:tcW w:type="dxa" w:w="16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r>
    </w:tbl>
    <w:p>
      <w:pPr>
        <w:spacing w:after="80"/>
      </w:pPr>
    </w:p>
    <w:p>
      <w:pPr>
        <w:spacing w:after="120" w:line="300"/>
      </w:pPr>
      <w:r>
        <w:rPr>
          <w:rFonts w:ascii="Arial" w:cs="Arial" w:eastAsia="Yu Gothic" w:hAnsi="Arial"/>
          <w:b/>
          <w:bCs/>
          <w:sz w:val="20"/>
          <w:szCs w:val="20"/>
        </w:rPr>
        <w:t xml:space="preserve">利益プールの判定:</w:t>
      </w:r>
      <w:r>
        <w:rPr>
          <w:rFonts w:ascii="Arial" w:cs="Arial" w:eastAsia="Yu Gothic" w:hAnsi="Arial"/>
          <w:sz w:val="20"/>
          <w:szCs w:val="20"/>
        </w:rPr>
        <w:t xml:space="preserve"> AI では、Oracle は中間の利益プール(運営者)にいて、上流(NVIDIA の価格決定力)と下流(資金調達に頼る AI 研究所)に挟まれている。一方、データベースでは最高のプール(⑤)を押さえている。</w:t>
      </w:r>
      <w:r>
        <w:rPr>
          <w:rFonts w:ascii="Arial" w:cs="Arial" w:eastAsia="Yu Gothic" w:hAnsi="Arial"/>
          <w:b/>
          <w:bCs/>
          <w:sz w:val="20"/>
          <w:szCs w:val="20"/>
        </w:rPr>
        <w:t xml:space="preserve">Oracle の戦略は、最高プール(DB)の利益と信用で中間プール(AI 運営)の規模を取りに行くことである。</w:t>
      </w:r>
      <w:r>
        <w:rPr>
          <w:rFonts w:ascii="Arial" w:cs="Arial" w:eastAsia="Yu Gothic" w:hAnsi="Arial"/>
          <w:sz w:val="20"/>
          <w:szCs w:val="20"/>
        </w:rPr>
        <w:t xml:space="preserve"> 自己強化ループ R1 と律速段階(電力・資本)は 2-5 に示した。</w:t>
      </w:r>
    </w:p>
    <w:p>
      <w:r>
        <w:br w:type="page"/>
      </w:r>
    </w:p>
    <w:p>
      <w:pPr>
        <w:pStyle w:val="Heading1"/>
      </w:pPr>
      <w:r>
        <w:rPr>
          <w:rFonts w:ascii="Arial" w:cs="Arial" w:eastAsia="Yu Gothic" w:hAnsi="Arial"/>
        </w:rPr>
        <w:t xml:space="preserve">4. 経営陣のシナリオ — 「FY30 売上$2,250億・EPS$21」は、需要と資金の外部化が作動する一方、電力と資本が容量の立ち上がりを律速している</w:t>
      </w:r>
    </w:p>
    <w:p>
      <w:pPr>
        <w:pStyle w:val="Heading2"/>
      </w:pPr>
      <w:r>
        <w:rPr>
          <w:rFonts w:ascii="Arial" w:cs="Arial" w:eastAsia="Yu Gothic" w:hAnsi="Arial"/>
        </w:rPr>
        <w:t xml:space="preserve">4-1 シナリオの骨格(経営陣の言葉、一次出所)</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9"/>
        <w:gridCol w:w="3079"/>
        <w:gridCol w:w="3079"/>
        <w:gridCol w:w="3079"/>
      </w:tblGrid>
      <w:tr>
        <w:trPr>
          <w:cantSplit/>
          <w:tblHeader/>
        </w:trPr>
        <w:tc>
          <w:tcPr>
            <w:tcW w:type="dxa" w:w="66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日付</w:t>
            </w:r>
          </w:p>
        </w:tc>
        <w:tc>
          <w:tcPr>
            <w:tcW w:type="dxa" w:w="307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話者・場</w:t>
            </w:r>
          </w:p>
        </w:tc>
        <w:tc>
          <w:tcPr>
            <w:tcW w:type="dxa" w:w="307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発言(和訳。原文は要所のみ)</w:t>
            </w:r>
          </w:p>
        </w:tc>
        <w:tc>
          <w:tcPr>
            <w:tcW w:type="dxa" w:w="307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事業エンジンの言葉への翻訳</w:t>
            </w:r>
          </w:p>
        </w:tc>
      </w:tr>
      <w:tr>
        <w:trPr>
          <w:cantSplit/>
          <w:tblHeader w:val="false"/>
        </w:trPr>
        <w:tc>
          <w:tcPr>
            <w:tcW w:type="dxa" w:w="6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2025-10-16</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Clay Magouyrk(共同CEO)、Financial Analyst Meeting</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データセンター事業は、最終的に粗利率 30〜40% を生む("eventually ... 30% to 40%")。契約期間を通じて概ね安定</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容量の利益率(芯③)= 粗利 30〜40%</w:t>
            </w:r>
          </w:p>
        </w:tc>
      </w:tr>
      <w:tr>
        <w:trPr>
          <w:cantSplit/>
          <w:tblHeader w:val="false"/>
        </w:trPr>
        <w:tc>
          <w:tcPr>
            <w:tcW w:type="dxa" w:w="6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2025-10-16</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同</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前四半期中の30日間で $650億の新規コミットを獲得、うち Meta が $200億</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原子単位(GW)の受注。顧客の分散</w:t>
            </w:r>
          </w:p>
        </w:tc>
      </w:tr>
      <w:tr>
        <w:trPr>
          <w:cantSplit/>
          <w:tblHeader w:val="false"/>
        </w:trPr>
        <w:tc>
          <w:tcPr>
            <w:tcW w:type="dxa" w:w="6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2026-06-10</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決算プレスリリース</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Q3・Q4 の RPO 増加の大半は大型 AI 契約で、顧客が GPU の購入代金を前払いするか、顧客が GPU を購入して Oracle に提供する形。その部分は合計 $750億("prepaid ... or ... bought and supplied the GPUs")</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拘束資本の外部化(資本の出し手=顧客)</w:t>
            </w:r>
          </w:p>
        </w:tc>
      </w:tr>
      <w:tr>
        <w:trPr>
          <w:cantSplit/>
          <w:tblHeader w:val="false"/>
        </w:trPr>
        <w:tc>
          <w:tcPr>
            <w:tcW w:type="dxa" w:w="6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2026-06-10</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Magouyrk、Q4 FY26 決算説明会</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前払い・持込の契約は、他の契約と比べて利益率の劣化がない("no degradation in margin")。capex の増加は部品価格ではなく主にタイミングによる</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外部化しても単価・利益率は維持</w:t>
            </w:r>
          </w:p>
        </w:tc>
      </w:tr>
      <w:tr>
        <w:trPr>
          <w:cantSplit/>
          <w:tblHeader w:val="false"/>
        </w:trPr>
        <w:tc>
          <w:tcPr>
            <w:tcW w:type="dxa" w:w="6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2026-09-10</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Q1 FY27 決算説明会</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更新時期を迎えた GPU の全量が、従来契約比 20% のプレミアムで更新または再販された。その過半は4年以上前の GPU("renewed or resold at a 20% premium to prior contracts")</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経済的寿命×更新単価(芯①)は上方</w:t>
            </w:r>
          </w:p>
        </w:tc>
      </w:tr>
      <w:tr>
        <w:trPr>
          <w:cantSplit/>
          <w:tblHeader w:val="false"/>
        </w:trPr>
        <w:tc>
          <w:tcPr>
            <w:tcW w:type="dxa" w:w="6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2026-09-10</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決算プレスリリース</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企業顧客のほぼ全員が、自社のプライベートデータで AI に推論させたいと考えている("reason on their private data")</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天井を上げる仕掛け(AI Database・マルチクラウド)</w:t>
            </w:r>
          </w:p>
        </w:tc>
      </w:tr>
      <w:tr>
        <w:trPr>
          <w:cantSplit/>
          <w:tblHeader w:val="false"/>
        </w:trPr>
        <w:tc>
          <w:tcPr>
            <w:tcW w:type="dxa" w:w="6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2026-09-10</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Hilary Maxson(CFO)</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粗利率の低下は想定どおりで、要因はデータセンターの立上げと AI インフラ売上の加速。各案件は立ち上がれば強い FCF を生む設計</w:t>
            </w:r>
          </w:p>
        </w:tc>
        <w:tc>
          <w:tcPr>
            <w:tcW w:type="dxa" w:w="30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Jカーブ。定常状態の利益率は報告値より高い</w:t>
            </w:r>
          </w:p>
        </w:tc>
      </w:tr>
    </w:tbl>
    <w:p>
      <w:pPr>
        <w:spacing w:after="80"/>
      </w:pPr>
    </w:p>
    <w:p>
      <w:pPr>
        <w:pStyle w:val="Heading2"/>
      </w:pPr>
      <w:r>
        <w:rPr>
          <w:rFonts w:ascii="Arial" w:cs="Arial" w:eastAsia="Yu Gothic" w:hAnsi="Arial"/>
        </w:rPr>
        <w:t xml:space="preserve">4-2 数値目標と事業エンジン変数への翻訳</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604"/>
        <w:gridCol w:w="2604"/>
        <w:gridCol w:w="2264"/>
      </w:tblGrid>
      <w:tr>
        <w:trPr>
          <w:cantSplit/>
          <w:tblHeader/>
        </w:trPr>
        <w:tc>
          <w:tcPr>
            <w:tcW w:type="dxa" w:w="243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目標(時点)</w:t>
            </w:r>
          </w:p>
        </w:tc>
        <w:tc>
          <w:tcPr>
            <w:tcW w:type="dxa" w:w="260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数値</w:t>
            </w:r>
          </w:p>
        </w:tc>
        <w:tc>
          <w:tcPr>
            <w:tcW w:type="dxa" w:w="260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事業エンジン変数への翻訳(本報告書の逆算)</w:t>
            </w:r>
          </w:p>
        </w:tc>
        <w:tc>
          <w:tcPr>
            <w:tcW w:type="dxa" w:w="226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達成に必要な条件</w:t>
            </w:r>
          </w:p>
        </w:tc>
      </w:tr>
      <w:tr>
        <w:trPr>
          <w:cantSplit/>
          <w:tblHeader w:val="false"/>
        </w:trPr>
        <w:tc>
          <w:tcPr>
            <w:tcW w:type="dxa" w:w="24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FY27 売上(2026-09)</w:t>
            </w:r>
          </w:p>
        </w:tc>
        <w:tc>
          <w:tcPr>
            <w:tcW w:type="dxa" w:w="26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$900億以上(+34%)</w:t>
            </w:r>
          </w:p>
        </w:tc>
        <w:tc>
          <w:tcPr>
            <w:tcW w:type="dxa" w:w="26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売上 約$270億 = 平均稼働 3.35GW × $8.0B</w:t>
            </w:r>
          </w:p>
        </w:tc>
        <w:tc>
          <w:tcPr>
            <w:tcW w:type="dxa" w:w="22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Q2〜Q4 で前年比 約+35%(Q1 は +30%)</w:t>
            </w:r>
          </w:p>
        </w:tc>
      </w:tr>
      <w:tr>
        <w:trPr>
          <w:cantSplit/>
          <w:tblHeader w:val="false"/>
        </w:trPr>
        <w:tc>
          <w:tcPr>
            <w:tcW w:type="dxa" w:w="24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FY27 非GAAP EPS(2026-09)</w:t>
            </w:r>
          </w:p>
        </w:tc>
        <w:tc>
          <w:tcPr>
            <w:tcW w:type="dxa" w:w="26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$8.10(一時益除く FY26 比 +18.6%、報告値比 +6.1%)</w:t>
            </w:r>
          </w:p>
        </w:tc>
        <w:tc>
          <w:tcPr>
            <w:tcW w:type="dxa" w:w="26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純利益 約$245億</w:t>
            </w:r>
          </w:p>
        </w:tc>
        <w:tc>
          <w:tcPr>
            <w:tcW w:type="dxa" w:w="22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粗利率の低下を営業費の削減で吸収</w:t>
            </w:r>
          </w:p>
        </w:tc>
      </w:tr>
      <w:tr>
        <w:trPr>
          <w:cantSplit/>
          <w:tblHeader w:val="false"/>
        </w:trPr>
        <w:tc>
          <w:tcPr>
            <w:tcW w:type="dxa" w:w="24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FY27 capex(2026-06)</w:t>
            </w:r>
          </w:p>
        </w:tc>
        <w:tc>
          <w:tcPr>
            <w:tcW w:type="dxa" w:w="26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総額 $900〜950億、純現金 $700億以下</w:t>
            </w:r>
          </w:p>
        </w:tc>
        <w:tc>
          <w:tcPr>
            <w:tcW w:type="dxa" w:w="26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1GW あたり Oracle 負担 約$250億 × 新設 3.3GW + 建屋の一部</w:t>
            </w:r>
          </w:p>
        </w:tc>
        <w:tc>
          <w:tcPr>
            <w:tcW w:type="dxa" w:w="22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顧客前払い $200〜250億</w:t>
            </w:r>
          </w:p>
        </w:tc>
      </w:tr>
      <w:tr>
        <w:trPr>
          <w:cantSplit/>
          <w:tblHeader w:val="false"/>
        </w:trPr>
        <w:tc>
          <w:tcPr>
            <w:tcW w:type="dxa" w:w="24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FY30 売上(2025-10)</w:t>
            </w:r>
          </w:p>
        </w:tc>
        <w:tc>
          <w:tcPr>
            <w:tcW w:type="dxa" w:w="26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$2,250億(5年 CAGR 31%)</w:t>
            </w:r>
          </w:p>
        </w:tc>
        <w:tc>
          <w:tcPr>
            <w:tcW w:type="dxa" w:w="26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コア 約$800億 + AI 約$1,450億 = 稼働 14〜15GW × $10B</w:t>
            </w:r>
          </w:p>
        </w:tc>
        <w:tc>
          <w:tcPr>
            <w:tcW w:type="dxa" w:w="22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電力 14〜15GW の解放(確保済みは 10GW 超)</w:t>
            </w:r>
          </w:p>
        </w:tc>
      </w:tr>
      <w:tr>
        <w:trPr>
          <w:cantSplit/>
          <w:tblHeader w:val="false"/>
        </w:trPr>
        <w:tc>
          <w:tcPr>
            <w:tcW w:type="dxa" w:w="24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FY30 非GAAP EPS(2025-10)</w:t>
            </w:r>
          </w:p>
        </w:tc>
        <w:tc>
          <w:tcPr>
            <w:tcW w:type="dxa" w:w="26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$21(CAGR 28%)</w:t>
            </w:r>
          </w:p>
        </w:tc>
        <w:tc>
          <w:tcPr>
            <w:tcW w:type="dxa" w:w="26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の EBIT 利益率 約35%(会社レンジの上端)</w:t>
            </w:r>
          </w:p>
        </w:tc>
        <w:tc>
          <w:tcPr>
            <w:tcW w:type="dxa" w:w="22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粗利 38% 以上</w:t>
            </w:r>
          </w:p>
        </w:tc>
      </w:tr>
      <w:tr>
        <w:trPr>
          <w:cantSplit/>
          <w:tblHeader w:val="false"/>
        </w:trPr>
        <w:tc>
          <w:tcPr>
            <w:tcW w:type="dxa" w:w="24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FY30 OCI 売上</w:t>
            </w:r>
          </w:p>
        </w:tc>
        <w:tc>
          <w:tcPr>
            <w:tcW w:type="dxa" w:w="26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$1,660億</w:t>
            </w:r>
          </w:p>
        </w:tc>
        <w:tc>
          <w:tcPr>
            <w:tcW w:type="dxa" w:w="26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OCI の売上構成比は 38% → 74%</w:t>
            </w:r>
          </w:p>
        </w:tc>
        <w:tc>
          <w:tcPr>
            <w:tcW w:type="dxa" w:w="22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r>
      <w:tr>
        <w:trPr>
          <w:cantSplit/>
          <w:tblHeader w:val="false"/>
        </w:trPr>
        <w:tc>
          <w:tcPr>
            <w:tcW w:type="dxa" w:w="24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共同CEO の PSO(業績連動オプション)(DEF 14A)</w:t>
            </w:r>
          </w:p>
        </w:tc>
        <w:tc>
          <w:tcPr>
            <w:tcW w:type="dxa" w:w="26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FY28 の非GAAP 総売上: 閾値 $1,000億(80%)、目標 $1,250億(100%)、最大 $2,500億(200%)</w:t>
            </w:r>
          </w:p>
        </w:tc>
        <w:tc>
          <w:tcPr>
            <w:tcW w:type="dxa" w:w="26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FY28 稼働 約6.5〜8GW</w:t>
            </w:r>
          </w:p>
        </w:tc>
        <w:tc>
          <w:tcPr>
            <w:tcW w:type="dxa" w:w="22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総額指標</w:t>
            </w:r>
            <w:r>
              <w:rPr>
                <w:rFonts w:ascii="Arial" w:cs="Arial" w:eastAsia="Yu Gothic" w:hAnsi="Arial"/>
                <w:color w:val="222222"/>
                <w:sz w:val="16"/>
                <w:szCs w:val="16"/>
              </w:rPr>
              <w:t xml:space="preserve">で、1株当たり指標ではない</w:t>
            </w:r>
          </w:p>
        </w:tc>
      </w:tr>
    </w:tbl>
    <w:p>
      <w:pPr>
        <w:spacing w:after="80"/>
      </w:pPr>
    </w:p>
    <w:p>
      <w:pPr>
        <w:pStyle w:val="Heading2"/>
      </w:pPr>
      <w:r>
        <w:rPr>
          <w:rFonts w:ascii="Arial" w:cs="Arial" w:eastAsia="Yu Gothic" w:hAnsi="Arial"/>
        </w:rPr>
        <w:t xml:space="preserve">4-3 シナリオを構成するピース(シナリオ台帳。採点は5章 F11)</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71"/>
        <w:gridCol w:w="2371"/>
        <w:gridCol w:w="2216"/>
        <w:gridCol w:w="2370"/>
      </w:tblGrid>
      <w:tr>
        <w:trPr>
          <w:cantSplit/>
          <w:tblHeader/>
        </w:trPr>
        <w:tc>
          <w:tcPr>
            <w:tcW w:type="dxa" w:w="57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w:t>
            </w:r>
          </w:p>
        </w:tc>
        <w:tc>
          <w:tcPr>
            <w:tcW w:type="dxa" w:w="237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ピース</w:t>
            </w:r>
          </w:p>
        </w:tc>
        <w:tc>
          <w:tcPr>
            <w:tcW w:type="dxa" w:w="237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目的(意図の解読)</w:t>
            </w:r>
          </w:p>
        </w:tc>
        <w:tc>
          <w:tcPr>
            <w:tcW w:type="dxa" w:w="221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動かすエンジン変数 / ループ / 制約</w:t>
            </w:r>
          </w:p>
        </w:tc>
        <w:tc>
          <w:tcPr>
            <w:tcW w:type="dxa" w:w="237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現状</w:t>
            </w:r>
          </w:p>
        </w:tc>
      </w:tr>
      <w:tr>
        <w:trPr>
          <w:cantSplit/>
          <w:tblHeader w:val="false"/>
        </w:trPr>
        <w:tc>
          <w:tcPr>
            <w:tcW w:type="dxa" w:w="5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P1</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OpenAI(Stargate、約$3,000億・5年・4.5GW、2027年開始。金額は WSJ 報道で Oracle は未確認)</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需要の錨。容量を建てる正当性と、サプライヤ・電力の優先を得る</w:t>
            </w:r>
          </w:p>
        </w:tc>
        <w:tc>
          <w:tcPr>
            <w:tcW w:type="dxa" w:w="22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原子単位(GW)、GW あたり単価($13.3B)、集中度</w:t>
            </w:r>
          </w:p>
        </w:tc>
        <w:tc>
          <w:tcPr>
            <w:tcW w:type="dxa" w:w="237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Abilene の最初の2棟は稼働。拡張の中止報道(2026-03、会社は否定)。ニューメキシコで不可抗力通知(2026-09)</w:t>
            </w:r>
          </w:p>
        </w:tc>
      </w:tr>
      <w:tr>
        <w:trPr>
          <w:cantSplit/>
          <w:tblHeader w:val="false"/>
        </w:trPr>
        <w:tc>
          <w:tcPr>
            <w:tcW w:type="dxa" w:w="5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P2</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非 OpenAI の AI 顧客(Meta $200億 ほか 700社超)</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集中を下げ、資本コストを下げる</w:t>
            </w:r>
          </w:p>
        </w:tc>
        <w:tc>
          <w:tcPr>
            <w:tcW w:type="dxa" w:w="22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集中度、ループ R1</w:t>
            </w:r>
          </w:p>
        </w:tc>
        <w:tc>
          <w:tcPr>
            <w:tcW w:type="dxa" w:w="237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非 OpenAI の RPO は前年比2倍超。Q1 の新規 $300億超</w:t>
            </w:r>
          </w:p>
        </w:tc>
      </w:tr>
      <w:tr>
        <w:trPr>
          <w:cantSplit/>
          <w:tblHeader w:val="false"/>
        </w:trPr>
        <w:tc>
          <w:tcPr>
            <w:tcW w:type="dxa" w:w="5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P3</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前払い・持込(BYOH)の契約構造($750億)</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GPU の資本と陳腐化リスクを顧客に移す</w:t>
            </w:r>
          </w:p>
        </w:tc>
        <w:tc>
          <w:tcPr>
            <w:tcW w:type="dxa" w:w="22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拘束資本、陳腐化リスクの所在</w:t>
            </w:r>
          </w:p>
        </w:tc>
        <w:tc>
          <w:tcPr>
            <w:tcW w:type="dxa" w:w="237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前受収益は1四半期で倍増。純現金 capex を新たに開示</w:t>
            </w:r>
          </w:p>
        </w:tc>
      </w:tr>
      <w:tr>
        <w:trPr>
          <w:cantSplit/>
          <w:tblHeader w:val="false"/>
        </w:trPr>
        <w:tc>
          <w:tcPr>
            <w:tcW w:type="dxa" w:w="5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P4</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開発業者とのリース(未開始 $2,880億・15〜19年)</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建屋を他人の資本で建てる</w:t>
            </w:r>
          </w:p>
        </w:tc>
        <w:tc>
          <w:tcPr>
            <w:tcW w:type="dxa" w:w="22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拘束資本の外部化、期間ミスマッチ</w:t>
            </w:r>
          </w:p>
        </w:tc>
        <w:tc>
          <w:tcPr>
            <w:tcW w:type="dxa" w:w="237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未開始リースは1年で 2.9倍</w:t>
            </w:r>
          </w:p>
        </w:tc>
      </w:tr>
      <w:tr>
        <w:trPr>
          <w:cantSplit/>
          <w:tblHeader w:val="false"/>
        </w:trPr>
        <w:tc>
          <w:tcPr>
            <w:tcW w:type="dxa" w:w="5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P5</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電力の確保(10GW 超、燃料電池最大 2.8GW、ガスのマイクログリッド)</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律速段階(電力)の解放</w:t>
            </w:r>
          </w:p>
        </w:tc>
        <w:tc>
          <w:tcPr>
            <w:tcW w:type="dxa" w:w="22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制約の解放時期</w:t>
            </w:r>
          </w:p>
        </w:tc>
        <w:tc>
          <w:tcPr>
            <w:tcW w:type="dxa" w:w="237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稼働は Abilene ほか一部。ガス管の延期とトラック輸送</w:t>
            </w:r>
          </w:p>
        </w:tc>
      </w:tr>
      <w:tr>
        <w:trPr>
          <w:cantSplit/>
          <w:tblHeader w:val="false"/>
        </w:trPr>
        <w:tc>
          <w:tcPr>
            <w:tcW w:type="dxa" w:w="5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P6</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資金調達(社債 $430億、優先株 $50億、ATM $200億)</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投資適格格付けを保ったまま capex を賄う</w:t>
            </w:r>
          </w:p>
        </w:tc>
        <w:tc>
          <w:tcPr>
            <w:tcW w:type="dxa" w:w="22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資本コスト、希薄化、ループ B1</w:t>
            </w:r>
          </w:p>
        </w:tc>
        <w:tc>
          <w:tcPr>
            <w:tcW w:type="dxa" w:w="237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S&amp;P BBB-(2026-07)、Moody's は見通しネガティブ</w:t>
            </w:r>
          </w:p>
        </w:tc>
      </w:tr>
      <w:tr>
        <w:trPr>
          <w:cantSplit/>
          <w:tblHeader w:val="false"/>
        </w:trPr>
        <w:tc>
          <w:tcPr>
            <w:tcW w:type="dxa" w:w="5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P7</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マルチクラウド DB(AWS 20リージョン、Google 15リージョン ほか)</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DB の利益プールを他社クラウドへ延ばす</w:t>
            </w:r>
          </w:p>
        </w:tc>
        <w:tc>
          <w:tcPr>
            <w:tcW w:type="dxa" w:w="22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収益の多重性、E3 の成長</w:t>
            </w:r>
          </w:p>
        </w:tc>
        <w:tc>
          <w:tcPr>
            <w:tcW w:type="dxa" w:w="237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売上 +353%、顧客 +180%(絶対額は非開示)</w:t>
            </w:r>
          </w:p>
        </w:tc>
      </w:tr>
      <w:tr>
        <w:trPr>
          <w:cantSplit/>
          <w:tblHeader w:val="false"/>
        </w:trPr>
        <w:tc>
          <w:tcPr>
            <w:tcW w:type="dxa" w:w="5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P8</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Database・自社データ上の AI</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企業 AI 推論を DB に取り込む</w:t>
            </w:r>
          </w:p>
        </w:tc>
        <w:tc>
          <w:tcPr>
            <w:tcW w:type="dxa" w:w="22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天井を上げる仕掛け</w:t>
            </w:r>
          </w:p>
        </w:tc>
        <w:tc>
          <w:tcPr>
            <w:tcW w:type="dxa" w:w="237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売上は非開示(保留)</w:t>
            </w:r>
          </w:p>
        </w:tc>
      </w:tr>
      <w:tr>
        <w:trPr>
          <w:cantSplit/>
          <w:tblHeader w:val="false"/>
        </w:trPr>
        <w:tc>
          <w:tcPr>
            <w:tcW w:type="dxa" w:w="5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P9</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アプリ(Fusion・NetSuite・Health)</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安定収益</w:t>
            </w:r>
          </w:p>
        </w:tc>
        <w:tc>
          <w:tcPr>
            <w:tcW w:type="dxa" w:w="22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E2</w:t>
            </w:r>
          </w:p>
        </w:tc>
        <w:tc>
          <w:tcPr>
            <w:tcW w:type="dxa" w:w="237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SaaS +10%、Fusion ERP +17%</w:t>
            </w:r>
          </w:p>
        </w:tc>
      </w:tr>
      <w:tr>
        <w:trPr>
          <w:cantSplit/>
          <w:tblHeader w:val="false"/>
        </w:trPr>
        <w:tc>
          <w:tcPr>
            <w:tcW w:type="dxa" w:w="5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P10</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GPU の更新・再販</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契約後の容量の価値を示す</w:t>
            </w:r>
          </w:p>
        </w:tc>
        <w:tc>
          <w:tcPr>
            <w:tcW w:type="dxa" w:w="22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芯①(経済的寿命×更新単価)</w:t>
            </w:r>
          </w:p>
        </w:tc>
        <w:tc>
          <w:tcPr>
            <w:tcW w:type="dxa" w:w="237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全量が +20% で更新・再販(Q1 FY27)</w:t>
            </w:r>
          </w:p>
        </w:tc>
      </w:tr>
      <w:tr>
        <w:trPr>
          <w:cantSplit/>
          <w:tblHeader w:val="false"/>
        </w:trPr>
        <w:tc>
          <w:tcPr>
            <w:tcW w:type="dxa" w:w="5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P11</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営業費の効率化(人員削減)</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のミックス悪化を吸収する</w:t>
            </w:r>
          </w:p>
        </w:tc>
        <w:tc>
          <w:tcPr>
            <w:tcW w:type="dxa" w:w="22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コアの利益率</w:t>
            </w:r>
          </w:p>
        </w:tc>
        <w:tc>
          <w:tcPr>
            <w:tcW w:type="dxa" w:w="237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非GAAP 営業利益率 42.5% を維持</w:t>
            </w:r>
          </w:p>
        </w:tc>
      </w:tr>
      <w:tr>
        <w:trPr>
          <w:cantSplit/>
          <w:tblHeader w:val="false"/>
        </w:trPr>
        <w:tc>
          <w:tcPr>
            <w:tcW w:type="dxa" w:w="5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P12</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Ampere(半導体子会社)の売却</w:t>
            </w:r>
          </w:p>
        </w:tc>
        <w:tc>
          <w:tcPr>
            <w:tcW w:type="dxa" w:w="237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非中核の整理と資金化</w:t>
            </w:r>
          </w:p>
        </w:tc>
        <w:tc>
          <w:tcPr>
            <w:tcW w:type="dxa" w:w="22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一時益($27億、税引前)</w:t>
            </w:r>
          </w:p>
        </w:tc>
        <w:tc>
          <w:tcPr>
            <w:tcW w:type="dxa" w:w="237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完了(Q2 FY26)</w:t>
            </w:r>
          </w:p>
        </w:tc>
      </w:tr>
    </w:tbl>
    <w:p>
      <w:pPr>
        <w:spacing w:after="80"/>
      </w:pPr>
    </w:p>
    <w:p>
      <w:pPr>
        <w:spacing w:after="120" w:line="300"/>
      </w:pPr>
      <w:r>
        <w:rPr>
          <w:rFonts w:ascii="Arial" w:cs="Arial" w:eastAsia="Yu Gothic" w:hAnsi="Arial"/>
          <w:b/>
          <w:bCs/>
          <w:sz w:val="20"/>
          <w:szCs w:val="20"/>
        </w:rPr>
        <w:t xml:space="preserve">まだ数字に出ていないオプション価値(規模僅少でも評価対象):</w:t>
      </w:r>
      <w:r>
        <w:rPr>
          <w:rFonts w:ascii="Arial" w:cs="Arial" w:eastAsia="Yu Gothic" w:hAnsi="Arial"/>
          <w:sz w:val="20"/>
          <w:szCs w:val="20"/>
        </w:rPr>
        <w:t xml:space="preserve"> P8(AI Database)には、規模僅少のまま、成功時の規模を見積もるための材料がない(売上・顧客数が非開示)。そのため保留とし、必要な調査(AI Database の顧客数・課金額の開示)を記す。機構台帳では M14(マルチクラウド DB)に含めて扱う。</w:t>
      </w:r>
    </w:p>
    <w:p>
      <w:r>
        <w:br w:type="page"/>
      </w:r>
    </w:p>
    <w:p>
      <w:pPr>
        <w:pStyle w:val="Heading1"/>
      </w:pPr>
      <w:r>
        <w:rPr>
          <w:rFonts w:ascii="Arial" w:cs="Arial" w:eastAsia="Yu Gothic" w:hAnsi="Arial"/>
        </w:rPr>
        <w:t xml:space="preserve">5. シナリオの採点 — 需要・更新・前払いの3ピースは数字で作動し、電力・OpenAI・資金の3ピースが判定を「条件付きのプラス」にとどめる</w:t>
      </w:r>
    </w:p>
    <w:p>
      <w:pPr>
        <w:pStyle w:val="Heading2"/>
      </w:pPr>
      <w:r>
        <w:rPr>
          <w:rFonts w:ascii="Arial" w:cs="Arial" w:eastAsia="Yu Gothic" w:hAnsi="Arial"/>
        </w:rPr>
        <w:t xml:space="preserve">5-1 ピース採点表(F11)</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8"/>
        <w:gridCol w:w="1218"/>
        <w:gridCol w:w="1462"/>
        <w:gridCol w:w="568"/>
        <w:gridCol w:w="2802"/>
        <w:gridCol w:w="2680"/>
        <w:gridCol w:w="608"/>
      </w:tblGrid>
      <w:tr>
        <w:trPr>
          <w:cantSplit/>
          <w:tblHeader/>
        </w:trPr>
        <w:tc>
          <w:tcPr>
            <w:tcW w:type="dxa" w:w="56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w:t>
            </w:r>
          </w:p>
        </w:tc>
        <w:tc>
          <w:tcPr>
            <w:tcW w:type="dxa" w:w="121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ピース</w:t>
            </w:r>
          </w:p>
        </w:tc>
        <w:tc>
          <w:tcPr>
            <w:tcW w:type="dxa" w:w="146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評価(+/−)</w:t>
            </w:r>
          </w:p>
        </w:tc>
        <w:tc>
          <w:tcPr>
            <w:tcW w:type="dxa" w:w="56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程度</w:t>
            </w:r>
          </w:p>
        </w:tc>
        <w:tc>
          <w:tcPr>
            <w:tcW w:type="dxa" w:w="280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進捗(数字で作動しているか)</w:t>
            </w:r>
          </w:p>
        </w:tc>
        <w:tc>
          <w:tcPr>
            <w:tcW w:type="dxa" w:w="268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根拠(出所)</w:t>
            </w:r>
          </w:p>
        </w:tc>
        <w:tc>
          <w:tcPr>
            <w:tcW w:type="dxa" w:w="60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規模の重み</w:t>
            </w:r>
          </w:p>
        </w:tc>
      </w:tr>
      <w:tr>
        <w:trPr>
          <w:cantSplit/>
          <w:tblHeader w:val="false"/>
        </w:trPr>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P1</w:t>
            </w:r>
          </w:p>
        </w:tc>
        <w:tc>
          <w:tcPr>
            <w:tcW w:type="dxa" w:w="12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OpenAI</w:t>
            </w:r>
          </w:p>
        </w:tc>
        <w:tc>
          <w:tcPr>
            <w:tcW w:type="dxa" w:w="14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 / −(両面)</w:t>
            </w:r>
          </w:p>
        </w:tc>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大</w:t>
            </w:r>
          </w:p>
        </w:tc>
        <w:tc>
          <w:tcPr>
            <w:tcW w:type="dxa" w:w="280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部分作動。Abilene の一部が稼働、他は遅延</w:t>
            </w:r>
          </w:p>
        </w:tc>
        <w:tc>
          <w:tcPr>
            <w:tcW w:type="dxa" w:w="26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WSJ・S&amp;P・Bloomberg・Reuters</w:t>
            </w:r>
          </w:p>
        </w:tc>
        <w:tc>
          <w:tcPr>
            <w:tcW w:type="dxa" w:w="6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25%</w:t>
            </w:r>
          </w:p>
        </w:tc>
      </w:tr>
      <w:tr>
        <w:trPr>
          <w:cantSplit/>
          <w:tblHeader w:val="false"/>
        </w:trPr>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P2</w:t>
            </w:r>
          </w:p>
        </w:tc>
        <w:tc>
          <w:tcPr>
            <w:tcW w:type="dxa" w:w="12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非 OpenAI の AI 顧客</w:t>
            </w:r>
          </w:p>
        </w:tc>
        <w:tc>
          <w:tcPr>
            <w:tcW w:type="dxa" w:w="14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中〜大</w:t>
            </w:r>
          </w:p>
        </w:tc>
        <w:tc>
          <w:tcPr>
            <w:tcW w:type="dxa" w:w="280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作動(非 OpenAI の RPO が2倍超、新規 $300億超)</w:t>
            </w:r>
          </w:p>
        </w:tc>
        <w:tc>
          <w:tcPr>
            <w:tcW w:type="dxa" w:w="26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会社説明(24/7 Wall St 要約)、決算プレス</w:t>
            </w:r>
          </w:p>
        </w:tc>
        <w:tc>
          <w:tcPr>
            <w:tcW w:type="dxa" w:w="6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15%</w:t>
            </w:r>
          </w:p>
        </w:tc>
      </w:tr>
      <w:tr>
        <w:trPr>
          <w:cantSplit/>
          <w:tblHeader w:val="false"/>
        </w:trPr>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P3</w:t>
            </w:r>
          </w:p>
        </w:tc>
        <w:tc>
          <w:tcPr>
            <w:tcW w:type="dxa" w:w="12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前払い・持込</w:t>
            </w:r>
          </w:p>
        </w:tc>
        <w:tc>
          <w:tcPr>
            <w:tcW w:type="dxa" w:w="14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大</w:t>
            </w:r>
          </w:p>
        </w:tc>
        <w:tc>
          <w:tcPr>
            <w:tcW w:type="dxa" w:w="280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作動</w:t>
            </w:r>
            <w:r>
              <w:rPr>
                <w:rFonts w:ascii="Arial" w:cs="Arial" w:eastAsia="Yu Gothic" w:hAnsi="Arial"/>
                <w:color w:val="222222"/>
                <w:sz w:val="14"/>
                <w:szCs w:val="14"/>
              </w:rPr>
              <w:t xml:space="preserve">(前受収益 $154億 → $308億、10-Q の前払い $114億)</w:t>
            </w:r>
          </w:p>
        </w:tc>
        <w:tc>
          <w:tcPr>
            <w:tcW w:type="dxa" w:w="26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10-Q・プレス</w:t>
            </w:r>
          </w:p>
        </w:tc>
        <w:tc>
          <w:tcPr>
            <w:tcW w:type="dxa" w:w="6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15%</w:t>
            </w:r>
          </w:p>
        </w:tc>
      </w:tr>
      <w:tr>
        <w:trPr>
          <w:cantSplit/>
          <w:tblHeader w:val="false"/>
        </w:trPr>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P4</w:t>
            </w:r>
          </w:p>
        </w:tc>
        <w:tc>
          <w:tcPr>
            <w:tcW w:type="dxa" w:w="12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リース</w:t>
            </w:r>
          </w:p>
        </w:tc>
        <w:tc>
          <w:tcPr>
            <w:tcW w:type="dxa" w:w="14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±(両面)</w:t>
            </w:r>
          </w:p>
        </w:tc>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大</w:t>
            </w:r>
          </w:p>
        </w:tc>
        <w:tc>
          <w:tcPr>
            <w:tcW w:type="dxa" w:w="280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作動(未開始 $2,880億)。価値は芯①しだい</w:t>
            </w:r>
          </w:p>
        </w:tc>
        <w:tc>
          <w:tcPr>
            <w:tcW w:type="dxa" w:w="26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10-Q</w:t>
            </w:r>
          </w:p>
        </w:tc>
        <w:tc>
          <w:tcPr>
            <w:tcW w:type="dxa" w:w="6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10%</w:t>
            </w:r>
          </w:p>
        </w:tc>
      </w:tr>
      <w:tr>
        <w:trPr>
          <w:cantSplit/>
          <w:tblHeader w:val="false"/>
        </w:trPr>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P5</w:t>
            </w:r>
          </w:p>
        </w:tc>
        <w:tc>
          <w:tcPr>
            <w:tcW w:type="dxa" w:w="12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電力の確保</w:t>
            </w:r>
          </w:p>
        </w:tc>
        <w:tc>
          <w:tcPr>
            <w:tcW w:type="dxa" w:w="14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 だが遅延</w:t>
            </w:r>
          </w:p>
        </w:tc>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大</w:t>
            </w:r>
          </w:p>
        </w:tc>
        <w:tc>
          <w:tcPr>
            <w:tcW w:type="dxa" w:w="280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遅延</w:t>
            </w:r>
            <w:r>
              <w:rPr>
                <w:rFonts w:ascii="Arial" w:cs="Arial" w:eastAsia="Yu Gothic" w:hAnsi="Arial"/>
                <w:color w:val="222222"/>
                <w:sz w:val="14"/>
                <w:szCs w:val="14"/>
              </w:rPr>
              <w:t xml:space="preserve">(納入 850MW &lt; 約1GW、不可抗力通知、ガス管延期)</w:t>
            </w:r>
          </w:p>
        </w:tc>
        <w:tc>
          <w:tcPr>
            <w:tcW w:type="dxa" w:w="26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FERC 提出書類・Bloomberg・Reuters</w:t>
            </w:r>
          </w:p>
        </w:tc>
        <w:tc>
          <w:tcPr>
            <w:tcW w:type="dxa" w:w="6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10%</w:t>
            </w:r>
          </w:p>
        </w:tc>
      </w:tr>
      <w:tr>
        <w:trPr>
          <w:cantSplit/>
          <w:tblHeader w:val="false"/>
        </w:trPr>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P6</w:t>
            </w:r>
          </w:p>
        </w:tc>
        <w:tc>
          <w:tcPr>
            <w:tcW w:type="dxa" w:w="12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資金調達</w:t>
            </w:r>
          </w:p>
        </w:tc>
        <w:tc>
          <w:tcPr>
            <w:tcW w:type="dxa" w:w="14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−(コスト)/ +(格付け維持)</w:t>
            </w:r>
          </w:p>
        </w:tc>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中</w:t>
            </w:r>
          </w:p>
        </w:tc>
        <w:tc>
          <w:tcPr>
            <w:tcW w:type="dxa" w:w="280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作動(ATM 完了)。格付けは BBB- へ低下</w:t>
            </w:r>
          </w:p>
        </w:tc>
        <w:tc>
          <w:tcPr>
            <w:tcW w:type="dxa" w:w="26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S&amp;P・Moody's・プレス</w:t>
            </w:r>
          </w:p>
        </w:tc>
        <w:tc>
          <w:tcPr>
            <w:tcW w:type="dxa" w:w="6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10%</w:t>
            </w:r>
          </w:p>
        </w:tc>
      </w:tr>
      <w:tr>
        <w:trPr>
          <w:cantSplit/>
          <w:tblHeader w:val="false"/>
        </w:trPr>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P7</w:t>
            </w:r>
          </w:p>
        </w:tc>
        <w:tc>
          <w:tcPr>
            <w:tcW w:type="dxa" w:w="12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マルチクラウド DB</w:t>
            </w:r>
          </w:p>
        </w:tc>
        <w:tc>
          <w:tcPr>
            <w:tcW w:type="dxa" w:w="14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小〜中</w:t>
            </w:r>
          </w:p>
        </w:tc>
        <w:tc>
          <w:tcPr>
            <w:tcW w:type="dxa" w:w="280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作動(+353%)</w:t>
            </w:r>
          </w:p>
        </w:tc>
        <w:tc>
          <w:tcPr>
            <w:tcW w:type="dxa" w:w="26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Quartr(単一出典)</w:t>
            </w:r>
          </w:p>
        </w:tc>
        <w:tc>
          <w:tcPr>
            <w:tcW w:type="dxa" w:w="6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w:t>
            </w:r>
          </w:p>
        </w:tc>
      </w:tr>
      <w:tr>
        <w:trPr>
          <w:cantSplit/>
          <w:tblHeader w:val="false"/>
        </w:trPr>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P8</w:t>
            </w:r>
          </w:p>
        </w:tc>
        <w:tc>
          <w:tcPr>
            <w:tcW w:type="dxa" w:w="12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AI Database</w:t>
            </w:r>
          </w:p>
        </w:tc>
        <w:tc>
          <w:tcPr>
            <w:tcW w:type="dxa" w:w="14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保留</w:t>
            </w:r>
          </w:p>
        </w:tc>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不明</w:t>
            </w:r>
          </w:p>
        </w:tc>
        <w:tc>
          <w:tcPr>
            <w:tcW w:type="dxa" w:w="280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数字なし</w:t>
            </w:r>
          </w:p>
        </w:tc>
        <w:tc>
          <w:tcPr>
            <w:tcW w:type="dxa" w:w="26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プレス</w:t>
            </w:r>
          </w:p>
        </w:tc>
        <w:tc>
          <w:tcPr>
            <w:tcW w:type="dxa" w:w="6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w:t>
            </w:r>
          </w:p>
        </w:tc>
      </w:tr>
      <w:tr>
        <w:trPr>
          <w:cantSplit/>
          <w:tblHeader w:val="false"/>
        </w:trPr>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P9</w:t>
            </w:r>
          </w:p>
        </w:tc>
        <w:tc>
          <w:tcPr>
            <w:tcW w:type="dxa" w:w="12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アプリ</w:t>
            </w:r>
          </w:p>
        </w:tc>
        <w:tc>
          <w:tcPr>
            <w:tcW w:type="dxa" w:w="14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中</w:t>
            </w:r>
          </w:p>
        </w:tc>
        <w:tc>
          <w:tcPr>
            <w:tcW w:type="dxa" w:w="280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作動(+10%、横ばい)</w:t>
            </w:r>
          </w:p>
        </w:tc>
        <w:tc>
          <w:tcPr>
            <w:tcW w:type="dxa" w:w="26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プレス</w:t>
            </w:r>
          </w:p>
        </w:tc>
        <w:tc>
          <w:tcPr>
            <w:tcW w:type="dxa" w:w="6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5%</w:t>
            </w:r>
          </w:p>
        </w:tc>
      </w:tr>
      <w:tr>
        <w:trPr>
          <w:cantSplit/>
          <w:tblHeader w:val="false"/>
        </w:trPr>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P10</w:t>
            </w:r>
          </w:p>
        </w:tc>
        <w:tc>
          <w:tcPr>
            <w:tcW w:type="dxa" w:w="12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GPU の更新・再販</w:t>
            </w:r>
          </w:p>
        </w:tc>
        <w:tc>
          <w:tcPr>
            <w:tcW w:type="dxa" w:w="14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中</w:t>
            </w:r>
          </w:p>
        </w:tc>
        <w:tc>
          <w:tcPr>
            <w:tcW w:type="dxa" w:w="280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作動</w:t>
            </w:r>
            <w:r>
              <w:rPr>
                <w:rFonts w:ascii="Arial" w:cs="Arial" w:eastAsia="Yu Gothic" w:hAnsi="Arial"/>
                <w:color w:val="222222"/>
                <w:sz w:val="14"/>
                <w:szCs w:val="14"/>
              </w:rPr>
              <w:t xml:space="preserve">(Q1 FY27 は全量が +20% で更新・再販。Q4 FY26 は顧客の 49% が GPU の 92% を更新)</w:t>
            </w:r>
          </w:p>
        </w:tc>
        <w:tc>
          <w:tcPr>
            <w:tcW w:type="dxa" w:w="26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決算説明会(Constellation・Longbridge の引用)</w:t>
            </w:r>
          </w:p>
        </w:tc>
        <w:tc>
          <w:tcPr>
            <w:tcW w:type="dxa" w:w="6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w:t>
            </w:r>
          </w:p>
        </w:tc>
      </w:tr>
      <w:tr>
        <w:trPr>
          <w:cantSplit/>
          <w:tblHeader w:val="false"/>
        </w:trPr>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P11</w:t>
            </w:r>
          </w:p>
        </w:tc>
        <w:tc>
          <w:tcPr>
            <w:tcW w:type="dxa" w:w="12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営業費の効率化</w:t>
            </w:r>
          </w:p>
        </w:tc>
        <w:tc>
          <w:tcPr>
            <w:tcW w:type="dxa" w:w="14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中</w:t>
            </w:r>
          </w:p>
        </w:tc>
        <w:tc>
          <w:tcPr>
            <w:tcW w:type="dxa" w:w="280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作動(営業利益率 42.5%)</w:t>
            </w:r>
          </w:p>
        </w:tc>
        <w:tc>
          <w:tcPr>
            <w:tcW w:type="dxa" w:w="26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プレス</w:t>
            </w:r>
          </w:p>
        </w:tc>
        <w:tc>
          <w:tcPr>
            <w:tcW w:type="dxa" w:w="6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w:t>
            </w:r>
          </w:p>
        </w:tc>
      </w:tr>
      <w:tr>
        <w:trPr>
          <w:cantSplit/>
          <w:tblHeader w:val="false"/>
        </w:trPr>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P12</w:t>
            </w:r>
          </w:p>
        </w:tc>
        <w:tc>
          <w:tcPr>
            <w:tcW w:type="dxa" w:w="12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Ampere 売却</w:t>
            </w:r>
          </w:p>
        </w:tc>
        <w:tc>
          <w:tcPr>
            <w:tcW w:type="dxa" w:w="14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0</w:t>
            </w:r>
          </w:p>
        </w:tc>
        <w:tc>
          <w:tcPr>
            <w:tcW w:type="dxa" w:w="5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小</w:t>
            </w:r>
          </w:p>
        </w:tc>
        <w:tc>
          <w:tcPr>
            <w:tcW w:type="dxa" w:w="280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完了(一時益)</w:t>
            </w:r>
          </w:p>
        </w:tc>
        <w:tc>
          <w:tcPr>
            <w:tcW w:type="dxa" w:w="26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プレス</w:t>
            </w:r>
          </w:p>
        </w:tc>
        <w:tc>
          <w:tcPr>
            <w:tcW w:type="dxa" w:w="6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0%</w:t>
            </w:r>
          </w:p>
        </w:tc>
      </w:tr>
    </w:tbl>
    <w:p>
      <w:pPr>
        <w:spacing w:after="80"/>
      </w:pPr>
    </w:p>
    <w:p>
      <w:pPr>
        <w:spacing w:after="120" w:line="300"/>
      </w:pPr>
      <w:r>
        <w:rPr>
          <w:rFonts w:ascii="Arial" w:cs="Arial" w:eastAsia="Yu Gothic" w:hAnsi="Arial"/>
          <w:b/>
          <w:bCs/>
          <w:sz w:val="20"/>
          <w:szCs w:val="20"/>
        </w:rPr>
        <w:t xml:space="preserve">規模で加重した総合判定:</w:t>
      </w:r>
      <w:r>
        <w:rPr>
          <w:rFonts w:ascii="Arial" w:cs="Arial" w:eastAsia="Yu Gothic" w:hAnsi="Arial"/>
          <w:sz w:val="20"/>
          <w:szCs w:val="20"/>
        </w:rPr>
        <w:t xml:space="preserve"> 作動している「+」(P2・P3・P7・P9・P10・P11)が重みの44%、両面・遅延・コスト(P1・P4・P5・P6)が55%を占める。後者は「失敗」ではなく「遅れと条件」であるため、</w:t>
      </w:r>
      <w:r>
        <w:rPr>
          <w:rFonts w:ascii="Arial" w:cs="Arial" w:eastAsia="Yu Gothic" w:hAnsi="Arial"/>
          <w:b/>
          <w:bCs/>
          <w:sz w:val="20"/>
          <w:szCs w:val="20"/>
        </w:rPr>
        <w:t xml:space="preserve">総合判定は「条件付きのプラス」</w:t>
      </w:r>
      <w:r>
        <w:rPr>
          <w:rFonts w:ascii="Arial" w:cs="Arial" w:eastAsia="Yu Gothic" w:hAnsi="Arial"/>
          <w:sz w:val="20"/>
          <w:szCs w:val="20"/>
        </w:rPr>
        <w:t xml:space="preserve">とする。</w:t>
      </w:r>
    </w:p>
    <w:p>
      <w:pPr>
        <w:spacing w:after="120" w:line="300"/>
      </w:pPr>
      <w:r>
        <w:rPr>
          <w:rFonts w:ascii="Arial" w:cs="Arial" w:eastAsia="Yu Gothic" w:hAnsi="Arial"/>
          <w:b/>
          <w:bCs/>
          <w:sz w:val="20"/>
          <w:szCs w:val="20"/>
        </w:rPr>
        <w:t xml:space="preserve">軸シナリオの宣言:</w:t>
      </w:r>
      <w:r>
        <w:rPr>
          <w:rFonts w:ascii="Arial" w:cs="Arial" w:eastAsia="Yu Gothic" w:hAnsi="Arial"/>
          <w:sz w:val="20"/>
          <w:szCs w:val="20"/>
        </w:rPr>
        <w:t xml:space="preserve"> 需要・更新・前払いは作動しているが、電力と資本の制約で容量の立ち上がりが約1年遅れる「遅延付き実現」を軸に置く(事業エンジン経路。FY30 の事業実態EPS は $15.5 で、会社目標 $19.6 の 79%)。</w:t>
      </w:r>
    </w:p>
    <w:p>
      <w:pPr>
        <w:pStyle w:val="Heading2"/>
      </w:pPr>
      <w:r>
        <w:rPr>
          <w:rFonts w:ascii="Arial" w:cs="Arial" w:eastAsia="Yu Gothic" w:hAnsi="Arial"/>
        </w:rPr>
        <w:t xml:space="preserve">5-2 クラックス(判断の軸)の因果分解(二層)</w:t>
      </w:r>
    </w:p>
    <w:p>
      <w:pPr>
        <w:spacing w:after="120" w:line="300"/>
      </w:pPr>
      <w:r>
        <w:rPr>
          <w:rFonts w:ascii="Arial" w:cs="Arial" w:eastAsia="Yu Gothic" w:hAnsi="Arial"/>
          <w:b/>
          <w:bCs/>
          <w:sz w:val="20"/>
          <w:szCs w:val="20"/>
        </w:rPr>
        <w:t xml:space="preserve">クラックス C1: 「AI 容量は契約後も稼ぐ(経済的寿命 ≥ 会計耐用年数 6年)」</w:t>
      </w:r>
      <w:r>
        <w:rPr>
          <w:rFonts w:ascii="Arial" w:cs="Arial" w:eastAsia="Yu Gothic" w:hAnsi="Arial"/>
          <w:sz w:val="20"/>
          <w:szCs w:val="20"/>
        </w:rPr>
        <w:t xml:space="preserve">(ループ R1 の最も弱いリンク=契約後の価値)</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9"/>
        <w:gridCol w:w="2649"/>
        <w:gridCol w:w="2649"/>
        <w:gridCol w:w="1959"/>
      </w:tblGrid>
      <w:tr>
        <w:trPr>
          <w:cantSplit/>
          <w:tblHeader/>
        </w:trPr>
        <w:tc>
          <w:tcPr>
            <w:tcW w:type="dxa" w:w="264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層</w:t>
            </w:r>
          </w:p>
        </w:tc>
        <w:tc>
          <w:tcPr>
            <w:tcW w:type="dxa" w:w="264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仮説</w:t>
            </w:r>
          </w:p>
        </w:tc>
        <w:tc>
          <w:tcPr>
            <w:tcW w:type="dxa" w:w="264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データ</w:t>
            </w:r>
          </w:p>
        </w:tc>
        <w:tc>
          <w:tcPr>
            <w:tcW w:type="dxa" w:w="195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判定</w:t>
            </w:r>
          </w:p>
        </w:tc>
      </w:tr>
      <w:tr>
        <w:trPr>
          <w:cantSplit/>
          <w:tblHeader w:val="false"/>
        </w:trPr>
        <w:tc>
          <w:tcPr>
            <w:tcW w:type="dxa" w:w="26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層1: 中小の顧客・旧世代 GPU(A100・H100)</w:t>
            </w:r>
          </w:p>
        </w:tc>
        <w:tc>
          <w:tcPr>
            <w:tcW w:type="dxa" w:w="26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需給が逼迫している間は、旧世代でも当初単価以上で更新される</w:t>
            </w:r>
          </w:p>
        </w:tc>
        <w:tc>
          <w:tcPr>
            <w:tcW w:type="dxa" w:w="26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Q4 FY26: 59顧客・3.5万 GPU(1顧客あたり平均 約590基)のうち、顧客の 49% が GPU の 92% を更新。Q1 FY27: 更新期の全量が従来契約比 +20% で更新・再販(更新と再販の合算)、過半は4年超</w:t>
            </w:r>
          </w:p>
        </w:tc>
        <w:tc>
          <w:tcPr>
            <w:tcW w:type="dxa" w:w="195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支持</w:t>
            </w:r>
            <w:r>
              <w:rPr>
                <w:rFonts w:ascii="Arial" w:cs="Arial" w:eastAsia="Yu Gothic" w:hAnsi="Arial"/>
                <w:color w:val="222222"/>
                <w:sz w:val="16"/>
                <w:szCs w:val="16"/>
              </w:rPr>
              <w:t xml:space="preserve">(需給逼迫下)</w:t>
            </w:r>
          </w:p>
        </w:tc>
      </w:tr>
      <w:tr>
        <w:trPr>
          <w:cantSplit/>
          <w:tblHeader w:val="false"/>
        </w:trPr>
        <w:tc>
          <w:tcPr>
            <w:tcW w:type="dxa" w:w="26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層2: 大型契約・新世代 GPU(GB200・GB300、2031年以降に更新期)</w:t>
            </w:r>
          </w:p>
        </w:tc>
        <w:tc>
          <w:tcPr>
            <w:tcW w:type="dxa" w:w="26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次世代 GPU(Rubin 等)の登場後も、旧世代が当初単価の6割以上で貸せる</w:t>
            </w:r>
          </w:p>
        </w:tc>
        <w:tc>
          <w:tcPr>
            <w:tcW w:type="dxa" w:w="26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大型契約の更新事例はまだない。中古 GPU の売買価格は下落したまま(H100 $4万 → $1.2〜2.2万)</w:t>
            </w:r>
          </w:p>
        </w:tc>
        <w:tc>
          <w:tcPr>
            <w:tcW w:type="dxa" w:w="195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未検証</w:t>
            </w:r>
            <w:r>
              <w:rPr>
                <w:rFonts w:ascii="Arial" w:cs="Arial" w:eastAsia="Yu Gothic" w:hAnsi="Arial"/>
                <w:color w:val="222222"/>
                <w:sz w:val="16"/>
                <w:szCs w:val="16"/>
              </w:rPr>
              <w:t xml:space="preserve">(2029〜2031年まで分からない)</w:t>
            </w:r>
          </w:p>
        </w:tc>
      </w:tr>
    </w:tbl>
    <w:p>
      <w:pPr>
        <w:spacing w:after="80"/>
      </w:pPr>
    </w:p>
    <w:p>
      <w:pPr>
        <w:spacing w:after="120" w:line="300"/>
      </w:pPr>
      <w:r>
        <w:rPr>
          <w:rFonts w:ascii="Arial" w:cs="Arial" w:eastAsia="Yu Gothic" w:hAnsi="Arial"/>
          <w:sz w:val="20"/>
          <w:szCs w:val="20"/>
        </w:rPr>
        <w:t xml:space="preserve">→ 結論: C1 は層1では支持され、層2では未検証である。価値の大半は層2にかかっている(OpenAI・Meta の大型契約)。そのため、ベースでは「残存価格比 0.6・2年」を置き、強気(0.9・3年)を採らない。</w:t>
      </w:r>
    </w:p>
    <w:p>
      <w:pPr>
        <w:spacing w:after="120" w:line="300"/>
      </w:pPr>
      <w:r>
        <w:rPr>
          <w:rFonts w:ascii="Arial" w:cs="Arial" w:eastAsia="Yu Gothic" w:hAnsi="Arial"/>
          <w:b/>
          <w:bCs/>
          <w:sz w:val="20"/>
          <w:szCs w:val="20"/>
        </w:rPr>
        <w:t xml:space="preserve">クラックス C2: 「受注残の上位顧客が支払い続ける」</w:t>
      </w:r>
      <w:r>
        <w:rPr>
          <w:rFonts w:ascii="Arial" w:cs="Arial" w:eastAsia="Yu Gothic" w:hAnsi="Arial"/>
          <w:sz w:val="20"/>
          <w:szCs w:val="20"/>
        </w:rPr>
        <w:t xml:space="preserve">(現在の最大の集中リスク)</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8"/>
        <w:gridCol w:w="1857"/>
        <w:gridCol w:w="2848"/>
        <w:gridCol w:w="2353"/>
      </w:tblGrid>
      <w:tr>
        <w:trPr>
          <w:cantSplit/>
          <w:tblHeader/>
        </w:trPr>
        <w:tc>
          <w:tcPr>
            <w:tcW w:type="dxa" w:w="284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層</w:t>
            </w:r>
          </w:p>
        </w:tc>
        <w:tc>
          <w:tcPr>
            <w:tcW w:type="dxa" w:w="185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仮説</w:t>
            </w:r>
          </w:p>
        </w:tc>
        <w:tc>
          <w:tcPr>
            <w:tcW w:type="dxa" w:w="284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データ</w:t>
            </w:r>
          </w:p>
        </w:tc>
        <w:tc>
          <w:tcPr>
            <w:tcW w:type="dxa" w:w="235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判定</w:t>
            </w:r>
          </w:p>
        </w:tc>
      </w:tr>
      <w:tr>
        <w:trPr>
          <w:cantSplit/>
          <w:tblHeader w:val="false"/>
        </w:trPr>
        <w:tc>
          <w:tcPr>
            <w:tcW w:type="dxa" w:w="28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層1: OpenAI(RPO の 45〜50%)</w:t>
            </w:r>
          </w:p>
        </w:tc>
        <w:tc>
          <w:tcPr>
            <w:tcW w:type="dxa" w:w="18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外部調達を続けられる限り支払う</w:t>
            </w:r>
          </w:p>
        </w:tc>
        <w:tc>
          <w:tcPr>
            <w:tcW w:type="dxa" w:w="28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調達済み $1,220億(評価額 $8,520億、2026-03)。年換算売上 約$500億(FT、2026-10。従来報道の $680〜700億を訂正)。2026〜30年の累計 FCF −$2,780億、資金は 2028年に枯渇見込み。評価額 $1.2兆での追加調達を協議中</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条件付き</w:t>
            </w:r>
            <w:r>
              <w:rPr>
                <w:rFonts w:ascii="Arial" w:cs="Arial" w:eastAsia="Yu Gothic" w:hAnsi="Arial"/>
                <w:color w:val="222222"/>
                <w:sz w:val="16"/>
                <w:szCs w:val="16"/>
              </w:rPr>
              <w:t xml:space="preserve">(2027〜28年の資金調達が分岐点)</w:t>
            </w:r>
          </w:p>
        </w:tc>
      </w:tr>
      <w:tr>
        <w:trPr>
          <w:cantSplit/>
          <w:tblHeader w:val="false"/>
        </w:trPr>
        <w:tc>
          <w:tcPr>
            <w:tcW w:type="dxa" w:w="28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層2: 非 OpenAI(Meta、xAI ほか 700社超。スタートアップから投資適格の大企業まで)</w:t>
            </w:r>
          </w:p>
        </w:tc>
        <w:tc>
          <w:tcPr>
            <w:tcW w:type="dxa" w:w="18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支払能力に大きな問題はない</w:t>
            </w:r>
          </w:p>
        </w:tc>
        <w:tc>
          <w:tcPr>
            <w:tcW w:type="dxa" w:w="28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非 OpenAI の RPO は前年比2倍超(支払能力の証拠ではない)。顧客の信用力の内訳は非開示。Meta の $200億は「獲得」(Reuters 要約)と「協議」(DCD)で出典が食い違う</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弱い支持(未検証)</w:t>
            </w:r>
          </w:p>
        </w:tc>
      </w:tr>
    </w:tbl>
    <w:p>
      <w:pPr>
        <w:spacing w:after="80"/>
      </w:pPr>
    </w:p>
    <w:p>
      <w:pPr>
        <w:spacing w:after="120" w:line="300"/>
      </w:pPr>
      <w:r>
        <w:rPr>
          <w:rFonts w:ascii="Arial" w:cs="Arial" w:eastAsia="Yu Gothic" w:hAnsi="Arial"/>
          <w:sz w:val="20"/>
          <w:szCs w:val="20"/>
        </w:rPr>
        <w:t xml:space="preserve">→ 結論: C2 は層2では弱い支持(未検証)、層1では条件付きである。層1の失敗は −$16〜−25/株(Appendix E の M5)。</w:t>
      </w:r>
    </w:p>
    <w:p>
      <w:pPr>
        <w:spacing w:after="120" w:line="300"/>
      </w:pPr>
      <w:r>
        <w:rPr>
          <w:rFonts w:ascii="Arial" w:cs="Arial" w:eastAsia="Yu Gothic" w:hAnsi="Arial"/>
          <w:b/>
          <w:bCs/>
          <w:sz w:val="20"/>
          <w:szCs w:val="20"/>
        </w:rPr>
        <w:t xml:space="preserve">クラックス C3: 「電力が予定どおり解放される」</w:t>
      </w:r>
      <w:r>
        <w:rPr>
          <w:rFonts w:ascii="Arial" w:cs="Arial" w:eastAsia="Yu Gothic" w:hAnsi="Arial"/>
          <w:sz w:val="20"/>
          <w:szCs w:val="20"/>
        </w:rPr>
        <w:t xml:space="preserve">(現在の律速段階)</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6"/>
        <w:gridCol w:w="1474"/>
        <w:gridCol w:w="3766"/>
        <w:gridCol w:w="900"/>
      </w:tblGrid>
      <w:tr>
        <w:trPr>
          <w:cantSplit/>
          <w:tblHeader/>
        </w:trPr>
        <w:tc>
          <w:tcPr>
            <w:tcW w:type="dxa" w:w="376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層</w:t>
            </w:r>
          </w:p>
        </w:tc>
        <w:tc>
          <w:tcPr>
            <w:tcW w:type="dxa" w:w="147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仮説</w:t>
            </w:r>
          </w:p>
        </w:tc>
        <w:tc>
          <w:tcPr>
            <w:tcW w:type="dxa" w:w="376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データ</w:t>
            </w:r>
          </w:p>
        </w:tc>
        <w:tc>
          <w:tcPr>
            <w:tcW w:type="dxa" w:w="90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判定</w:t>
            </w:r>
          </w:p>
        </w:tc>
      </w:tr>
      <w:tr>
        <w:trPr>
          <w:cantSplit/>
          <w:tblHeader w:val="false"/>
        </w:trPr>
        <w:tc>
          <w:tcPr>
            <w:tcW w:type="dxa" w:w="376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層1: 系統接続・既存インフラのある拠点(Abilene 等)</w:t>
            </w:r>
          </w:p>
        </w:tc>
        <w:tc>
          <w:tcPr>
            <w:tcW w:type="dxa" w:w="14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予定どおり稼働</w:t>
            </w:r>
          </w:p>
        </w:tc>
        <w:tc>
          <w:tcPr>
            <w:tcW w:type="dxa" w:w="376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Abilene の最初の2棟は稼働、2026-05 時点で 42% 納入</w:t>
            </w:r>
          </w:p>
        </w:tc>
        <w:tc>
          <w:tcPr>
            <w:tcW w:type="dxa" w:w="9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支持</w:t>
            </w:r>
          </w:p>
        </w:tc>
      </w:tr>
      <w:tr>
        <w:trPr>
          <w:cantSplit/>
          <w:tblHeader w:val="false"/>
        </w:trPr>
        <w:tc>
          <w:tcPr>
            <w:tcW w:type="dxa" w:w="376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層2: 系統なし・新規ガス・燃料電池の拠点(Shackelford・ニューメキシコ)</w:t>
            </w:r>
          </w:p>
        </w:tc>
        <w:tc>
          <w:tcPr>
            <w:tcW w:type="dxa" w:w="14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2027〜2028年に解放</w:t>
            </w:r>
          </w:p>
        </w:tc>
        <w:tc>
          <w:tcPr>
            <w:tcW w:type="dxa" w:w="376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ガス管(Green Chile)が 2026-08-15 → 2027-02-01 に延期、州土地局が経路を2度却下、Oracle が不可抗力通知(2026-09)、ガスのトラック輸送(Bloomberg 2026-10-08)</w:t>
            </w:r>
          </w:p>
        </w:tc>
        <w:tc>
          <w:tcPr>
            <w:tcW w:type="dxa" w:w="9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遅延</w:t>
            </w:r>
            <w:r>
              <w:rPr>
                <w:rFonts w:ascii="Arial" w:cs="Arial" w:eastAsia="Yu Gothic" w:hAnsi="Arial"/>
                <w:color w:val="222222"/>
                <w:sz w:val="16"/>
                <w:szCs w:val="16"/>
              </w:rPr>
              <w:t xml:space="preserve">(約1年)</w:t>
            </w:r>
          </w:p>
        </w:tc>
      </w:tr>
    </w:tbl>
    <w:p>
      <w:pPr>
        <w:spacing w:after="80"/>
      </w:pPr>
    </w:p>
    <w:p>
      <w:pPr>
        <w:spacing w:after="120" w:line="300"/>
      </w:pPr>
      <w:r>
        <w:rPr>
          <w:rFonts w:ascii="Arial" w:cs="Arial" w:eastAsia="Yu Gothic" w:hAnsi="Arial"/>
          <w:sz w:val="20"/>
          <w:szCs w:val="20"/>
        </w:rPr>
        <w:t xml:space="preserve">→ 結論: C3 は層2で遅延している。これが事業エンジン経路をコンセンサスより遅く置く根拠である(FY29 売上 −9%)。</w:t>
      </w:r>
    </w:p>
    <w:p>
      <w:r>
        <w:br w:type="page"/>
      </w:r>
    </w:p>
    <w:p>
      <w:pPr>
        <w:pStyle w:val="Heading1"/>
      </w:pPr>
      <w:r>
        <w:rPr>
          <w:rFonts w:ascii="Arial" w:cs="Arial" w:eastAsia="Yu Gothic" w:hAnsi="Arial"/>
        </w:rPr>
        <w:t xml:space="preserve">6. シナリオのフェーズごとの事業構造の変遷 — 現在地は「建設・立上げ期」の中盤(契約済み容量の約25%が稼働)で、FCF が均衡する「稼働・回収期」への移行は FY29 と見込む</w:t>
      </w:r>
    </w:p>
    <w:p>
      <w:pPr>
        <w:pStyle w:val="Heading2"/>
      </w:pPr>
      <w:r>
        <w:rPr>
          <w:rFonts w:ascii="Arial" w:cs="Arial" w:eastAsia="Yu Gothic" w:hAnsi="Arial"/>
        </w:rPr>
        <w:t xml:space="preserve">6-1 移行ステージの定義と現在地(F9)</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5"/>
        <w:gridCol w:w="1574"/>
        <w:gridCol w:w="2129"/>
        <w:gridCol w:w="2129"/>
        <w:gridCol w:w="880"/>
        <w:gridCol w:w="2129"/>
      </w:tblGrid>
      <w:tr>
        <w:trPr>
          <w:cantSplit/>
          <w:tblHeader/>
        </w:trPr>
        <w:tc>
          <w:tcPr>
            <w:tcW w:type="dxa" w:w="106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ステージ</w:t>
            </w:r>
          </w:p>
        </w:tc>
        <w:tc>
          <w:tcPr>
            <w:tcW w:type="dxa" w:w="157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構造イベント(移行の軸)</w:t>
            </w:r>
          </w:p>
        </w:tc>
        <w:tc>
          <w:tcPr>
            <w:tcW w:type="dxa" w:w="212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定量的な判定基準</w:t>
            </w:r>
          </w:p>
        </w:tc>
        <w:tc>
          <w:tcPr>
            <w:tcW w:type="dxa" w:w="212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収益構造の特性</w:t>
            </w:r>
          </w:p>
        </w:tc>
        <w:tc>
          <w:tcPr>
            <w:tcW w:type="dxa" w:w="88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所要時間(見積り)</w:t>
            </w:r>
          </w:p>
        </w:tc>
        <w:tc>
          <w:tcPr>
            <w:tcW w:type="dxa" w:w="212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PEG の含意</w:t>
            </w:r>
          </w:p>
        </w:tc>
      </w:tr>
      <w:tr>
        <w:trPr>
          <w:cantSplit/>
          <w:tblHeader w:val="false"/>
        </w:trPr>
        <w:tc>
          <w:tcPr>
            <w:tcW w:type="dxa" w:w="106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S1 契約獲得期</w:t>
            </w:r>
          </w:p>
        </w:tc>
        <w:tc>
          <w:tcPr>
            <w:tcW w:type="dxa" w:w="1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大型 AI 契約の締結</w:t>
            </w:r>
          </w:p>
        </w:tc>
        <w:tc>
          <w:tcPr>
            <w:tcW w:type="dxa" w:w="21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RPO が $4,000億を超える</w:t>
            </w:r>
          </w:p>
        </w:tc>
        <w:tc>
          <w:tcPr>
            <w:tcW w:type="dxa" w:w="21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受注残が売上を大きく上回る</w:t>
            </w:r>
          </w:p>
        </w:tc>
        <w:tc>
          <w:tcPr>
            <w:tcW w:type="dxa" w:w="8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FY26 Q1(完了)</w:t>
            </w:r>
          </w:p>
        </w:tc>
        <w:tc>
          <w:tcPr>
            <w:tcW w:type="dxa" w:w="21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期待で倍率が上がる(2025-09 に株価 +36%)</w:t>
            </w:r>
          </w:p>
        </w:tc>
      </w:tr>
      <w:tr>
        <w:trPr>
          <w:cantSplit/>
          <w:tblHeader w:val="false"/>
        </w:trPr>
        <w:tc>
          <w:tcPr>
            <w:tcW w:type="dxa" w:w="106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S2 建設・立上げ期(現在)</w:t>
            </w:r>
          </w:p>
        </w:tc>
        <w:tc>
          <w:tcPr>
            <w:tcW w:type="dxa" w:w="1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電力・建屋の解放、GPU の納入</w:t>
            </w:r>
          </w:p>
        </w:tc>
        <w:tc>
          <w:tcPr>
            <w:tcW w:type="dxa" w:w="21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capex ÷ 売上 &gt; 80%、全社粗利率が低下、FCF(純)&lt; 0、四半期納入 0.8〜1GW</w:t>
            </w:r>
          </w:p>
        </w:tc>
        <w:tc>
          <w:tcPr>
            <w:tcW w:type="dxa" w:w="21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立上げ費用が先行(Jカーブ)。資本は外部化(リース・前払い)</w:t>
            </w:r>
          </w:p>
        </w:tc>
        <w:tc>
          <w:tcPr>
            <w:tcW w:type="dxa" w:w="8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FY26〜FY28(約2.5年)</w:t>
            </w:r>
          </w:p>
        </w:tc>
        <w:tc>
          <w:tcPr>
            <w:tcW w:type="dxa" w:w="21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信用の目で見られる(PEG &lt; 1)。格付けと CDS が株価を動かす</w:t>
            </w:r>
          </w:p>
        </w:tc>
      </w:tr>
      <w:tr>
        <w:trPr>
          <w:cantSplit/>
          <w:tblHeader w:val="false"/>
        </w:trPr>
        <w:tc>
          <w:tcPr>
            <w:tcW w:type="dxa" w:w="106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S3 稼働・回収期</w:t>
            </w:r>
          </w:p>
        </w:tc>
        <w:tc>
          <w:tcPr>
            <w:tcW w:type="dxa" w:w="1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契約済み容量の大半が課金開始</w:t>
            </w:r>
          </w:p>
        </w:tc>
        <w:tc>
          <w:tcPr>
            <w:tcW w:type="dxa" w:w="21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稼働 ≥ 8GW、AI 容量の粗利率 ≥ 30%、FCF(純)≥ 0、capex ÷ 売上 &lt; 40%</w:t>
            </w:r>
          </w:p>
        </w:tc>
        <w:tc>
          <w:tcPr>
            <w:tcW w:type="dxa" w:w="21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限界利益率が平均を上回る。ストック比率が最大</w:t>
            </w:r>
          </w:p>
        </w:tc>
        <w:tc>
          <w:tcPr>
            <w:tcW w:type="dxa" w:w="8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FY29〜FY31</w:t>
            </w:r>
          </w:p>
        </w:tc>
        <w:tc>
          <w:tcPr>
            <w:tcW w:type="dxa" w:w="21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PEG の再評価トリガー</w:t>
            </w:r>
            <w:r>
              <w:rPr>
                <w:rFonts w:ascii="Arial" w:cs="Arial" w:eastAsia="Yu Gothic" w:hAnsi="Arial"/>
                <w:color w:val="222222"/>
                <w:sz w:val="16"/>
                <w:szCs w:val="16"/>
              </w:rPr>
              <w:t xml:space="preserve">(FCF の黒字化)</w:t>
            </w:r>
          </w:p>
        </w:tc>
      </w:tr>
      <w:tr>
        <w:trPr>
          <w:cantSplit/>
          <w:tblHeader w:val="false"/>
        </w:trPr>
        <w:tc>
          <w:tcPr>
            <w:tcW w:type="dxa" w:w="106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S4 更新・再契約期</w:t>
            </w:r>
          </w:p>
        </w:tc>
        <w:tc>
          <w:tcPr>
            <w:tcW w:type="dxa" w:w="1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最初の大型契約の更新(2031〜2033年)</w:t>
            </w:r>
          </w:p>
        </w:tc>
        <w:tc>
          <w:tcPr>
            <w:tcW w:type="dxa" w:w="21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大型契約の更新率 ≥ 85%、更新単価 ≥ 当初の60%</w:t>
            </w:r>
          </w:p>
        </w:tc>
        <w:tc>
          <w:tcPr>
            <w:tcW w:type="dxa" w:w="21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償却済み資産が稼ぐ(会計に出ない利益)。または空室費が出る</w:t>
            </w:r>
          </w:p>
        </w:tc>
        <w:tc>
          <w:tcPr>
            <w:tcW w:type="dxa" w:w="88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FY32 以降</w:t>
            </w:r>
          </w:p>
        </w:tc>
        <w:tc>
          <w:tcPr>
            <w:tcW w:type="dxa" w:w="21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芯①が確定し、倍率が上下どちらかに振れる</w:t>
            </w:r>
          </w:p>
        </w:tc>
      </w:tr>
    </w:tbl>
    <w:p>
      <w:pPr>
        <w:spacing w:after="80"/>
      </w:pPr>
    </w:p>
    <w:p>
      <w:pPr>
        <w:spacing w:after="120" w:line="300"/>
      </w:pPr>
      <w:r>
        <w:rPr>
          <w:rFonts w:ascii="Arial" w:cs="Arial" w:eastAsia="Yu Gothic" w:hAnsi="Arial"/>
          <w:b/>
          <w:bCs/>
          <w:sz w:val="20"/>
          <w:szCs w:val="20"/>
        </w:rPr>
        <w:t xml:space="preserve">現在地の宣言:</w:t>
      </w:r>
    </w:p>
    <w:p>
      <w:pPr>
        <w:pStyle w:val="ListParagraph"/>
        <w:numPr>
          <w:ilvl w:val="0"/>
          <w:numId w:val="3"/>
        </w:numPr>
        <w:spacing w:after="40" w:line="290"/>
      </w:pPr>
      <w:r>
        <w:rPr>
          <w:rFonts w:ascii="Arial" w:cs="Arial" w:eastAsia="Yu Gothic" w:hAnsi="Arial"/>
          <w:b/>
          <w:bCs/>
          <w:sz w:val="20"/>
          <w:szCs w:val="20"/>
        </w:rPr>
        <w:t xml:space="preserve">ステージ:</w:t>
      </w:r>
      <w:r>
        <w:rPr>
          <w:rFonts w:ascii="Arial" w:cs="Arial" w:eastAsia="Yu Gothic" w:hAnsi="Arial"/>
          <w:sz w:val="20"/>
          <w:szCs w:val="20"/>
        </w:rPr>
        <w:t xml:space="preserve"> S2(建設・立上げ期)の中盤。</w:t>
      </w:r>
    </w:p>
    <w:p>
      <w:pPr>
        <w:pStyle w:val="ListParagraph"/>
        <w:numPr>
          <w:ilvl w:val="0"/>
          <w:numId w:val="3"/>
        </w:numPr>
        <w:spacing w:after="40" w:line="290"/>
      </w:pPr>
      <w:r>
        <w:rPr>
          <w:rFonts w:ascii="Arial" w:cs="Arial" w:eastAsia="Yu Gothic" w:hAnsi="Arial"/>
          <w:b/>
          <w:bCs/>
          <w:sz w:val="20"/>
          <w:szCs w:val="20"/>
        </w:rPr>
        <w:t xml:space="preserve">実測値:</w:t>
      </w:r>
      <w:r>
        <w:rPr>
          <w:rFonts w:ascii="Arial" w:cs="Arial" w:eastAsia="Yu Gothic" w:hAnsi="Arial"/>
          <w:sz w:val="20"/>
          <w:szCs w:val="20"/>
        </w:rPr>
        <w:t xml:space="preserve"> 稼働は約2.55GW(推定)で、契約済み約10.2GW の 25%。Q1 FY27 の capex ÷ 売上は 147%、FCF は −$54億(6四半期連続のマイナス)。</w:t>
      </w:r>
    </w:p>
    <w:p>
      <w:pPr>
        <w:pStyle w:val="ListParagraph"/>
        <w:numPr>
          <w:ilvl w:val="0"/>
          <w:numId w:val="3"/>
        </w:numPr>
        <w:spacing w:after="40" w:line="290"/>
      </w:pPr>
      <w:r>
        <w:rPr>
          <w:rFonts w:ascii="Arial" w:cs="Arial" w:eastAsia="Yu Gothic" w:hAnsi="Arial"/>
          <w:b/>
          <w:bCs/>
          <w:sz w:val="20"/>
          <w:szCs w:val="20"/>
        </w:rPr>
        <w:t xml:space="preserve">S3 への移行条件:</w:t>
      </w:r>
      <w:r>
        <w:rPr>
          <w:rFonts w:ascii="Arial" w:cs="Arial" w:eastAsia="Yu Gothic" w:hAnsi="Arial"/>
          <w:sz w:val="20"/>
          <w:szCs w:val="20"/>
        </w:rPr>
        <w:t xml:space="preserve"> 判別KPI の K1(AI 容量の粗利率)、K2(納入 MW)、K5(純現金 capex と FCF)と共有する。</w:t>
      </w:r>
    </w:p>
    <w:p>
      <w:pPr>
        <w:spacing w:after="120" w:line="300"/>
      </w:pPr>
      <w:r>
        <w:rPr>
          <w:rFonts w:ascii="Arial" w:cs="Arial" w:eastAsia="Yu Gothic" w:hAnsi="Arial"/>
          <w:sz w:val="20"/>
          <w:szCs w:val="20"/>
        </w:rPr>
        <w:t xml:space="preserve">S2 の残り時間は、電力の解放(C3 層2)次第で、約1.5〜2.5年と見積もる。</w:t>
      </w:r>
    </w:p>
    <w:p>
      <w:pPr>
        <w:pStyle w:val="Heading2"/>
      </w:pPr>
      <w:r>
        <w:rPr>
          <w:rFonts w:ascii="Arial" w:cs="Arial" w:eastAsia="Yu Gothic" w:hAnsi="Arial"/>
        </w:rPr>
        <w:t xml:space="preserve">6-2 将来構造(F2): 利益プールの移動</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0"/>
        <w:gridCol w:w="1729"/>
        <w:gridCol w:w="3058"/>
        <w:gridCol w:w="931"/>
        <w:gridCol w:w="3058"/>
      </w:tblGrid>
      <w:tr>
        <w:trPr>
          <w:cantSplit/>
          <w:tblHeader/>
        </w:trPr>
        <w:tc>
          <w:tcPr>
            <w:tcW w:type="dxa" w:w="113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段階</w:t>
            </w:r>
          </w:p>
        </w:tc>
        <w:tc>
          <w:tcPr>
            <w:tcW w:type="dxa" w:w="172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現在(F1)</w:t>
            </w:r>
          </w:p>
        </w:tc>
        <w:tc>
          <w:tcPr>
            <w:tcW w:type="dxa" w:w="305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将来(FY29〜FY31)</w:t>
            </w:r>
          </w:p>
        </w:tc>
        <w:tc>
          <w:tcPr>
            <w:tcW w:type="dxa" w:w="93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変化ドライバー</w:t>
            </w:r>
          </w:p>
        </w:tc>
        <w:tc>
          <w:tcPr>
            <w:tcW w:type="dxa" w:w="305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Oracle への含意</w:t>
            </w:r>
          </w:p>
        </w:tc>
      </w:tr>
      <w:tr>
        <w:trPr>
          <w:cantSplit/>
          <w:tblHeader w:val="false"/>
        </w:trPr>
        <w:tc>
          <w:tcPr>
            <w:tcW w:type="dxa" w:w="11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①チップ</w:t>
            </w:r>
          </w:p>
        </w:tc>
        <w:tc>
          <w:tcPr>
            <w:tcW w:type="dxa" w:w="17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最大のプール(NVIDIA 約75%)</w:t>
            </w:r>
          </w:p>
        </w:tc>
        <w:tc>
          <w:tcPr>
            <w:tcW w:type="dxa" w:w="30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縮小方向。AMD・自社チップとの競争、GPU 計算の商品化(先物)</w:t>
            </w:r>
          </w:p>
        </w:tc>
        <w:tc>
          <w:tcPr>
            <w:tcW w:type="dxa" w:w="9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技術・供給</w:t>
            </w:r>
          </w:p>
        </w:tc>
        <w:tc>
          <w:tcPr>
            <w:tcW w:type="dxa" w:w="30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調達単価の低下は Oracle にとって上振れ(capex/GW の低下)</w:t>
            </w:r>
          </w:p>
        </w:tc>
      </w:tr>
      <w:tr>
        <w:trPr>
          <w:cantSplit/>
          <w:tblHeader w:val="false"/>
        </w:trPr>
        <w:tc>
          <w:tcPr>
            <w:tcW w:type="dxa" w:w="11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②電力・建屋</w:t>
            </w:r>
          </w:p>
        </w:tc>
        <w:tc>
          <w:tcPr>
            <w:tcW w:type="dxa" w:w="17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中</w:t>
            </w:r>
          </w:p>
        </w:tc>
        <w:tc>
          <w:tcPr>
            <w:tcW w:type="dxa" w:w="30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拡大</w:t>
            </w:r>
            <w:r>
              <w:rPr>
                <w:rFonts w:ascii="Arial" w:cs="Arial" w:eastAsia="Yu Gothic" w:hAnsi="Arial"/>
                <w:color w:val="222222"/>
                <w:sz w:val="16"/>
                <w:szCs w:val="16"/>
              </w:rPr>
              <w:t xml:space="preserve">(電力が律速である限り、電力付き建屋の希少性が上がる)</w:t>
            </w:r>
          </w:p>
        </w:tc>
        <w:tc>
          <w:tcPr>
            <w:tcW w:type="dxa" w:w="9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規制・供給</w:t>
            </w:r>
          </w:p>
        </w:tc>
        <w:tc>
          <w:tcPr>
            <w:tcW w:type="dxa" w:w="30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長期リースの価値が上がる(M11)。ただし賃料の更新は貸主に有利</w:t>
            </w:r>
          </w:p>
        </w:tc>
      </w:tr>
      <w:tr>
        <w:trPr>
          <w:cantSplit/>
          <w:tblHeader w:val="false"/>
        </w:trPr>
        <w:tc>
          <w:tcPr>
            <w:tcW w:type="dxa" w:w="11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③クラウド運営(AI)</w:t>
            </w:r>
          </w:p>
        </w:tc>
        <w:tc>
          <w:tcPr>
            <w:tcW w:type="dxa" w:w="17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中(粗利 30〜35%)</w:t>
            </w:r>
          </w:p>
        </w:tc>
        <w:tc>
          <w:tcPr>
            <w:tcW w:type="dxa" w:w="30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横ばい〜縮小(供給が追いつけば価格競争)</w:t>
            </w:r>
          </w:p>
        </w:tc>
        <w:tc>
          <w:tcPr>
            <w:tcW w:type="dxa" w:w="9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供給</w:t>
            </w:r>
          </w:p>
        </w:tc>
        <w:tc>
          <w:tcPr>
            <w:tcW w:type="dxa" w:w="30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の利益率に下押し(M4)</w:t>
            </w:r>
          </w:p>
        </w:tc>
      </w:tr>
      <w:tr>
        <w:trPr>
          <w:cantSplit/>
          <w:tblHeader w:val="false"/>
        </w:trPr>
        <w:tc>
          <w:tcPr>
            <w:tcW w:type="dxa" w:w="11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④AI 研究所</w:t>
            </w:r>
          </w:p>
        </w:tc>
        <w:tc>
          <w:tcPr>
            <w:tcW w:type="dxa" w:w="17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マイナス</w:t>
            </w:r>
          </w:p>
        </w:tc>
        <w:tc>
          <w:tcPr>
            <w:tcW w:type="dxa" w:w="30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収益化が進めば改善、失敗すれば淘汰</w:t>
            </w:r>
          </w:p>
        </w:tc>
        <w:tc>
          <w:tcPr>
            <w:tcW w:type="dxa" w:w="9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需要</w:t>
            </w:r>
          </w:p>
        </w:tc>
        <w:tc>
          <w:tcPr>
            <w:tcW w:type="dxa" w:w="30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C2(OpenAI)の結果が Oracle に直結する</w:t>
            </w:r>
          </w:p>
        </w:tc>
      </w:tr>
      <w:tr>
        <w:trPr>
          <w:cantSplit/>
          <w:tblHeader w:val="false"/>
        </w:trPr>
        <w:tc>
          <w:tcPr>
            <w:tcW w:type="dxa" w:w="113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⑤企業 AI・DB</w:t>
            </w:r>
          </w:p>
        </w:tc>
        <w:tc>
          <w:tcPr>
            <w:tcW w:type="dxa" w:w="17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最高(保守 約90%)</w:t>
            </w:r>
          </w:p>
        </w:tc>
        <w:tc>
          <w:tcPr>
            <w:tcW w:type="dxa" w:w="30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維持〜拡大(自社データ上の AI 推論)</w:t>
            </w:r>
          </w:p>
        </w:tc>
        <w:tc>
          <w:tcPr>
            <w:tcW w:type="dxa" w:w="9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需要・技術</w:t>
            </w:r>
          </w:p>
        </w:tc>
        <w:tc>
          <w:tcPr>
            <w:tcW w:type="dxa" w:w="30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E1・E3 が守られ、AI Database がオプションになる</w:t>
            </w:r>
          </w:p>
        </w:tc>
      </w:tr>
    </w:tbl>
    <w:p>
      <w:pPr>
        <w:spacing w:after="80"/>
      </w:pPr>
    </w:p>
    <w:p>
      <w:pPr>
        <w:spacing w:after="120" w:line="300"/>
      </w:pPr>
      <w:r>
        <w:rPr>
          <w:rFonts w:ascii="Arial" w:cs="Arial" w:eastAsia="Yu Gothic" w:hAnsi="Arial"/>
          <w:sz w:val="20"/>
          <w:szCs w:val="20"/>
        </w:rPr>
        <w:t xml:space="preserve">利益プールは、①チップから②電力と⑤企業データの両端へ移ると見る。Oracle は②の借り手であり、⑤の所有者である。両端に足場を持つ構造は上振れに働く。一方で、③(AI 運営)の利益率が圧縮されるリスクは残る。この見方は Phase 2 の波及マップ(Appendix E の機構台帳)と整合する。</w:t>
      </w:r>
    </w:p>
    <w:p>
      <w:r>
        <w:br w:type="page"/>
      </w:r>
    </w:p>
    <w:p>
      <w:pPr>
        <w:pStyle w:val="Heading1"/>
      </w:pPr>
      <w:r>
        <w:rPr>
          <w:rFonts w:ascii="Arial" w:cs="Arial" w:eastAsia="Yu Gothic" w:hAnsi="Arial"/>
        </w:rPr>
        <w:t xml:space="preserve">7. シナリオの実行可能性と成立条件 — 成立には5つの条件が必要で、最も弱いリンクは OpenAI の資金調達と電力の解放である</w:t>
      </w:r>
    </w:p>
    <w:p>
      <w:pPr>
        <w:keepNext/>
        <w:spacing w:after="40" w:before="80"/>
        <w:jc w:val="center"/>
      </w:pPr>
      <w:r>
        <w:drawing>
          <wp:inline distT="0" distB="0" distL="0" distR="0">
            <wp:extent cx="56578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57850" cy="3267075"/>
                    </a:xfrm>
                    <a:prstGeom prst="rect">
                      <a:avLst/>
                    </a:prstGeom>
                  </pic:spPr>
                </pic:pic>
              </a:graphicData>
            </a:graphic>
          </wp:inline>
        </w:drawing>
      </w:r>
    </w:p>
    <w:p>
      <w:pPr>
        <w:spacing w:after="160"/>
        <w:jc w:val="center"/>
      </w:pPr>
      <w:r>
        <w:rPr>
          <w:rFonts w:ascii="Arial" w:cs="Arial" w:eastAsia="Yu Gothic" w:hAnsi="Arial"/>
          <w:i/>
          <w:iCs/>
          <w:color w:val="5A6B7D"/>
          <w:sz w:val="17"/>
          <w:szCs w:val="17"/>
        </w:rPr>
        <w:t xml:space="preserve">参考図5 株価(月末終値)と5年 CDS の推移。2025-09 の日中高値 $345.72 から約 −59%、CDS は 50bp 未満(報道)→ 約 200bp(出典: 株価 Digrin の月次表〔検索要約、要確認〕、CDS は ICE を引用した報道)</w:t>
      </w:r>
    </w:p>
    <w:p>
      <w:pPr>
        <w:pStyle w:val="Heading2"/>
      </w:pPr>
      <w:r>
        <w:rPr>
          <w:rFonts w:ascii="Arial" w:cs="Arial" w:eastAsia="Yu Gothic" w:hAnsi="Arial"/>
        </w:rPr>
        <w:t xml:space="preserve">7-1 強気派 vs 弱気派(F3。経営陣シナリオへの賛否として)</w:t>
      </w:r>
    </w:p>
    <w:p>
      <w:pPr>
        <w:spacing w:after="120" w:line="300"/>
      </w:pPr>
      <w:r>
        <w:rPr>
          <w:rFonts w:ascii="Arial" w:cs="Arial" w:eastAsia="Yu Gothic" w:hAnsi="Arial"/>
          <w:sz w:val="20"/>
          <w:szCs w:val="20"/>
        </w:rPr>
        <w:t xml:space="preserve">中心論点はクラックス C1〜C3 に置く。</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3"/>
        <w:gridCol w:w="3018"/>
        <w:gridCol w:w="3018"/>
        <w:gridCol w:w="3017"/>
      </w:tblGrid>
      <w:tr>
        <w:trPr>
          <w:cantSplit/>
          <w:tblHeader/>
        </w:trPr>
        <w:tc>
          <w:tcPr>
            <w:tcW w:type="dxa" w:w="85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論点</w:t>
            </w:r>
          </w:p>
        </w:tc>
        <w:tc>
          <w:tcPr>
            <w:tcW w:type="dxa" w:w="301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強気派(実在の論者、出典)</w:t>
            </w:r>
          </w:p>
        </w:tc>
        <w:tc>
          <w:tcPr>
            <w:tcW w:type="dxa" w:w="301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弱気派(実在の論者、出典)</w:t>
            </w:r>
          </w:p>
        </w:tc>
        <w:tc>
          <w:tcPr>
            <w:tcW w:type="dxa" w:w="301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同じ粒度の数値化(本報告書)</w:t>
            </w:r>
          </w:p>
        </w:tc>
      </w:tr>
      <w:tr>
        <w:trPr>
          <w:cantSplit/>
          <w:tblHeader w:val="false"/>
        </w:trPr>
        <w:tc>
          <w:tcPr>
            <w:tcW w:type="dxa" w:w="8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総論</w:t>
            </w:r>
          </w:p>
        </w:tc>
        <w:tc>
          <w:tcPr>
            <w:tcW w:type="dxa" w:w="30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Guggenheim の John DiFucci: Buy・$400(2026-09-11 維持)。「12か月で3倍」(7月の見出し)。Mizuho の Siti Panigrahi: Outperform・$320(OCI が成長の触媒)</w:t>
            </w:r>
          </w:p>
        </w:tc>
        <w:tc>
          <w:tcPr>
            <w:tcW w:type="dxa" w:w="30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Rothschild &amp; Redburn の Alex Haissl: Sell・$175(2025-09-25 に調査開始)。「単一テナント・大規模展開では、クラウド事業者というより金融業者に近い」</w:t>
            </w:r>
          </w:p>
        </w:tc>
        <w:tc>
          <w:tcPr>
            <w:tcW w:type="dxa" w:w="30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強気(会社シナリオ経路)$192 / 弱気パス $84</w:t>
            </w:r>
          </w:p>
        </w:tc>
      </w:tr>
      <w:tr>
        <w:trPr>
          <w:cantSplit/>
          <w:tblHeader w:val="false"/>
        </w:trPr>
        <w:tc>
          <w:tcPr>
            <w:tcW w:type="dxa" w:w="8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C2 資金・集中</w:t>
            </w:r>
          </w:p>
        </w:tc>
        <w:tc>
          <w:tcPr>
            <w:tcW w:type="dxa" w:w="30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JPMorgan: Overweight・$200。Q1 の新規 $300億超は前払い・持込で、Oracle に追加の現金は不要。Barclays の Raimo Lenschow: $252。ATM 完了で借入だけに頼らず投資できる</w:t>
            </w:r>
          </w:p>
        </w:tc>
        <w:tc>
          <w:tcPr>
            <w:tcW w:type="dxa" w:w="30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S&amp;P: BBB- に格下げ(2026-07-09)。FY27 の営業 FCF −約$420億、OpenAI は契約債務の「ほぼ半分」。Moody's: 見通しネガティブ、レバレッジは一時的に EBITDA の約5倍。Morgan Stanley: Equal-Weight・$210、FCF は予想期間を通じて制約</w:t>
            </w:r>
          </w:p>
        </w:tc>
        <w:tc>
          <w:tcPr>
            <w:tcW w:type="dxa" w:w="30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OpenAI 不払い: −$16〜−25/株(確率20%)。前払い・持込の担保効果: +$3〜5/株</w:t>
            </w:r>
          </w:p>
        </w:tc>
      </w:tr>
      <w:tr>
        <w:trPr>
          <w:cantSplit/>
          <w:tblHeader w:val="false"/>
        </w:trPr>
        <w:tc>
          <w:tcPr>
            <w:tcW w:type="dxa" w:w="8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C1 経済的寿命</w:t>
            </w:r>
          </w:p>
        </w:tc>
        <w:tc>
          <w:tcPr>
            <w:tcW w:type="dxa" w:w="30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会社: 更新期の GPU(過半が4年超)の全量が +20% で更新・再販(更新と再販の合算)。SemiAnalysis: H100 の契約は当初単価のまま更新</w:t>
            </w:r>
          </w:p>
        </w:tc>
        <w:tc>
          <w:tcPr>
            <w:tcW w:type="dxa" w:w="30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Michael Burry: GPU の耐用年数延長は利益の水増しで、2028年までに Oracle の利益は 26.9% 過大</w:t>
            </w:r>
          </w:p>
        </w:tc>
        <w:tc>
          <w:tcPr>
            <w:tcW w:type="dxa" w:w="30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残存 0 → −$19/株、0.9・3年 → +$16/株</w:t>
            </w:r>
          </w:p>
        </w:tc>
      </w:tr>
      <w:tr>
        <w:trPr>
          <w:cantSplit/>
          <w:tblHeader w:val="false"/>
        </w:trPr>
        <w:tc>
          <w:tcPr>
            <w:tcW w:type="dxa" w:w="8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C3 電力・納期</w:t>
            </w:r>
          </w:p>
        </w:tc>
        <w:tc>
          <w:tcPr>
            <w:tcW w:type="dxa" w:w="30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会社: 「契約上必要な拠点に遅延はない」「追加 4.5GW のリース手配は完了」</w:t>
            </w:r>
          </w:p>
        </w:tc>
        <w:tc>
          <w:tcPr>
            <w:tcW w:type="dxa" w:w="30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Bloomberg: 一部拠点が 2027 → 2028年に延期。ニューメキシコで不可抗力通知・ガス管延期。Paul Kedrosky: Blue Owl の撤退は「警鐘」</w:t>
            </w:r>
          </w:p>
        </w:tc>
        <w:tc>
          <w:tcPr>
            <w:tcW w:type="dxa" w:w="30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1年遅延: −$3/株(DCF)、FY29 EPS −$1.2</w:t>
            </w:r>
          </w:p>
        </w:tc>
      </w:tr>
      <w:tr>
        <w:trPr>
          <w:cantSplit/>
          <w:tblHeader w:val="false"/>
        </w:trPr>
        <w:tc>
          <w:tcPr>
            <w:tcW w:type="dxa" w:w="8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の利益率</w:t>
            </w:r>
          </w:p>
        </w:tc>
        <w:tc>
          <w:tcPr>
            <w:tcW w:type="dxa" w:w="30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Stifel の Brad Reback: Buy・$200。短期の粗利率は下がるが、OCI の加速と営業費の効率化で相殺できる</w:t>
            </w:r>
          </w:p>
        </w:tc>
        <w:tc>
          <w:tcPr>
            <w:tcW w:type="dxa" w:w="301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The Information: GPU レンタルの粗利率 14%(2025年6〜8月)、減価償却を全額反映するとさらに約7pt 低い</w:t>
            </w:r>
          </w:p>
        </w:tc>
        <w:tc>
          <w:tcPr>
            <w:tcW w:type="dxa" w:w="30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EBIT 18% → −$13/株、35% → +$7/株</w:t>
            </w:r>
          </w:p>
        </w:tc>
      </w:tr>
    </w:tbl>
    <w:p>
      <w:pPr>
        <w:spacing w:after="80"/>
      </w:pPr>
    </w:p>
    <w:p>
      <w:pPr>
        <w:spacing w:after="120" w:line="300"/>
      </w:pPr>
      <w:r>
        <w:rPr>
          <w:rFonts w:ascii="Arial" w:cs="Arial" w:eastAsia="Yu Gothic" w:hAnsi="Arial"/>
          <w:b/>
          <w:bCs/>
          <w:sz w:val="20"/>
          <w:szCs w:val="20"/>
        </w:rPr>
        <w:t xml:space="preserve">対称プレモーテム(3年後に株価が半分 / 2倍になった理由、同数):</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9"/>
        <w:gridCol w:w="2432"/>
        <w:gridCol w:w="2729"/>
        <w:gridCol w:w="2016"/>
      </w:tblGrid>
      <w:tr>
        <w:trPr>
          <w:cantSplit/>
          <w:tblHeader/>
        </w:trPr>
        <w:tc>
          <w:tcPr>
            <w:tcW w:type="dxa" w:w="272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3年後に株価が半分になった理由</w:t>
            </w:r>
          </w:p>
        </w:tc>
        <w:tc>
          <w:tcPr>
            <w:tcW w:type="dxa" w:w="243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確率・兆候</w:t>
            </w:r>
          </w:p>
        </w:tc>
        <w:tc>
          <w:tcPr>
            <w:tcW w:type="dxa" w:w="272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3年後に株価が2倍になった理由</w:t>
            </w:r>
          </w:p>
        </w:tc>
        <w:tc>
          <w:tcPr>
            <w:tcW w:type="dxa" w:w="201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確率・兆候</w:t>
            </w:r>
          </w:p>
        </w:tc>
      </w:tr>
      <w:tr>
        <w:trPr>
          <w:cantSplit/>
          <w:tblHeader w:val="false"/>
        </w:trPr>
        <w:tc>
          <w:tcPr>
            <w:tcW w:type="dxa" w:w="27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①OpenAI が 2028年に資金調達に失敗し、契約を縮小した</w:t>
            </w:r>
          </w:p>
        </w:tc>
        <w:tc>
          <w:tcPr>
            <w:tcW w:type="dxa" w:w="243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15%。兆候: ダウンラウンド、支払遅延</w:t>
            </w:r>
          </w:p>
        </w:tc>
        <w:tc>
          <w:tcPr>
            <w:tcW w:type="dxa" w:w="27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①稼働 12GW 超、AI の粗利率が 35% を超えた</w:t>
            </w:r>
          </w:p>
        </w:tc>
        <w:tc>
          <w:tcPr>
            <w:tcW w:type="dxa" w:w="20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10%。兆候: 四半期納入 1GW 超が続く</w:t>
            </w:r>
          </w:p>
        </w:tc>
      </w:tr>
      <w:tr>
        <w:trPr>
          <w:cantSplit/>
          <w:tblHeader w:val="false"/>
        </w:trPr>
        <w:tc>
          <w:tcPr>
            <w:tcW w:type="dxa" w:w="27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②次世代 GPU で旧世代の単価が崩れ、更新率が 70% を下回った</w:t>
            </w:r>
          </w:p>
        </w:tc>
        <w:tc>
          <w:tcPr>
            <w:tcW w:type="dxa" w:w="243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10%。兆候: H100 指数 $2 割れ</w:t>
            </w:r>
          </w:p>
        </w:tc>
        <w:tc>
          <w:tcPr>
            <w:tcW w:type="dxa" w:w="27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②更新単価が当初以上で続き、残存価値が市場に認識された</w:t>
            </w:r>
          </w:p>
        </w:tc>
        <w:tc>
          <w:tcPr>
            <w:tcW w:type="dxa" w:w="20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10%。兆候: 大型契約の更新事例</w:t>
            </w:r>
          </w:p>
        </w:tc>
      </w:tr>
      <w:tr>
        <w:trPr>
          <w:cantSplit/>
          <w:tblHeader w:val="false"/>
        </w:trPr>
        <w:tc>
          <w:tcPr>
            <w:tcW w:type="dxa" w:w="27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③ジャンク転落と低株価での大型増資(2つが同時に起きる複合事象。M17 単独の 15% より低い)</w:t>
            </w:r>
          </w:p>
        </w:tc>
        <w:tc>
          <w:tcPr>
            <w:tcW w:type="dxa" w:w="243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10%。兆候: レバレッジ 4.5倍超、追加の ATM</w:t>
            </w:r>
          </w:p>
        </w:tc>
        <w:tc>
          <w:tcPr>
            <w:tcW w:type="dxa" w:w="27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③FCF の黒字化(FY29)で信用の目から成長の目へ倍率が戻った</w:t>
            </w:r>
          </w:p>
        </w:tc>
        <w:tc>
          <w:tcPr>
            <w:tcW w:type="dxa" w:w="20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15%。兆候: 純現金 capex の減少</w:t>
            </w:r>
          </w:p>
        </w:tc>
      </w:tr>
    </w:tbl>
    <w:p>
      <w:pPr>
        <w:spacing w:after="80"/>
      </w:pPr>
    </w:p>
    <w:p>
      <w:pPr>
        <w:spacing w:after="120" w:line="300"/>
      </w:pPr>
      <w:r>
        <w:rPr>
          <w:rFonts w:ascii="Arial" w:cs="Arial" w:eastAsia="Yu Gothic" w:hAnsi="Arial"/>
          <w:b/>
          <w:bCs/>
          <w:sz w:val="20"/>
          <w:szCs w:val="20"/>
        </w:rPr>
        <w:t xml:space="preserve">参照クラス:</w:t>
      </w:r>
      <w:r>
        <w:rPr>
          <w:rFonts w:ascii="Arial" w:cs="Arial" w:eastAsia="Yu Gothic" w:hAnsi="Arial"/>
          <w:sz w:val="20"/>
          <w:szCs w:val="20"/>
        </w:rPr>
        <w:t xml:space="preserve"> 受注残の急増で「容量賃貸業」へ転じた企業の参照例として、2000年前後の光ファイバー網事業者(長期の IRU 契約=回線使用権の契約と借入による建設)がある。需要の前倒しで失速した下振れ側の例である。一方、ハイパースケーラーの AWS・Azure は、2010年代に容量の先行投資を長期にわたって回収し続けた上振れ側の例である(一般論)。Oracle は両者の中間にいる。顧客が資本を出す(前払い・持込)点では AWS 型に近く、顧客の集中度では光ファイバー型に近い。</w:t>
      </w:r>
    </w:p>
    <w:p>
      <w:pPr>
        <w:pStyle w:val="Heading2"/>
      </w:pPr>
      <w:r>
        <w:rPr>
          <w:rFonts w:ascii="Arial" w:cs="Arial" w:eastAsia="Yu Gothic" w:hAnsi="Arial"/>
        </w:rPr>
        <w:t xml:space="preserve">7-2 成立条件(何が真でなければならないか)と逆側</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569"/>
        <w:gridCol w:w="2569"/>
        <w:gridCol w:w="2569"/>
        <w:gridCol w:w="1621"/>
      </w:tblGrid>
      <w:tr>
        <w:trPr>
          <w:cantSplit/>
          <w:tblHeader/>
        </w:trPr>
        <w:tc>
          <w:tcPr>
            <w:tcW w:type="dxa" w:w="57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w:t>
            </w:r>
          </w:p>
        </w:tc>
        <w:tc>
          <w:tcPr>
            <w:tcW w:type="dxa" w:w="256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投資が成立するために真でなければならない条件</w:t>
            </w:r>
          </w:p>
        </w:tc>
        <w:tc>
          <w:tcPr>
            <w:tcW w:type="dxa" w:w="256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現在の証拠</w:t>
            </w:r>
          </w:p>
        </w:tc>
        <w:tc>
          <w:tcPr>
            <w:tcW w:type="dxa" w:w="256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確認 KPI・閾値</w:t>
            </w:r>
          </w:p>
        </w:tc>
        <w:tc>
          <w:tcPr>
            <w:tcW w:type="dxa" w:w="162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確認時期</w:t>
            </w:r>
          </w:p>
        </w:tc>
      </w:tr>
      <w:tr>
        <w:trPr>
          <w:cantSplit/>
          <w:tblHeader w:val="false"/>
        </w:trPr>
        <w:tc>
          <w:tcPr>
            <w:tcW w:type="dxa" w:w="5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W1</w:t>
            </w:r>
          </w:p>
        </w:tc>
        <w:tc>
          <w:tcPr>
            <w:tcW w:type="dxa" w:w="25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容量の粗利率が規模を伴って 30% 以上</w:t>
            </w:r>
          </w:p>
        </w:tc>
        <w:tc>
          <w:tcPr>
            <w:tcW w:type="dxa" w:w="25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Q3 FY26 32%(1点のみ)</w:t>
            </w:r>
          </w:p>
        </w:tc>
        <w:tc>
          <w:tcPr>
            <w:tcW w:type="dxa" w:w="25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開示される AI 容量の粗利率 ≥30%(稼働 ≥4GW で)</w:t>
            </w:r>
          </w:p>
        </w:tc>
        <w:tc>
          <w:tcPr>
            <w:tcW w:type="dxa" w:w="16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Q2〜Q4 FY27(2026-12〜2027-06)</w:t>
            </w:r>
          </w:p>
        </w:tc>
      </w:tr>
      <w:tr>
        <w:trPr>
          <w:cantSplit/>
          <w:tblHeader w:val="false"/>
        </w:trPr>
        <w:tc>
          <w:tcPr>
            <w:tcW w:type="dxa" w:w="5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W2</w:t>
            </w:r>
          </w:p>
        </w:tc>
        <w:tc>
          <w:tcPr>
            <w:tcW w:type="dxa" w:w="25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四半期の納入が 0.8〜1GW 以上で続く(電力の解放)</w:t>
            </w:r>
          </w:p>
        </w:tc>
        <w:tc>
          <w:tcPr>
            <w:tcW w:type="dxa" w:w="25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Q1 FY27 850MW</w:t>
            </w:r>
          </w:p>
        </w:tc>
        <w:tc>
          <w:tcPr>
            <w:tcW w:type="dxa" w:w="25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納入 MW ≥800/四半期、ガス管 2027-02 の稼働</w:t>
            </w:r>
          </w:p>
        </w:tc>
        <w:tc>
          <w:tcPr>
            <w:tcW w:type="dxa" w:w="16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毎四半期</w:t>
            </w:r>
          </w:p>
        </w:tc>
      </w:tr>
      <w:tr>
        <w:trPr>
          <w:cantSplit/>
          <w:tblHeader w:val="false"/>
        </w:trPr>
        <w:tc>
          <w:tcPr>
            <w:tcW w:type="dxa" w:w="5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W3</w:t>
            </w:r>
          </w:p>
        </w:tc>
        <w:tc>
          <w:tcPr>
            <w:tcW w:type="dxa" w:w="25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OpenAI が外部資金を調達し続け、支払いが滞らない</w:t>
            </w:r>
          </w:p>
        </w:tc>
        <w:tc>
          <w:tcPr>
            <w:tcW w:type="dxa" w:w="25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$1,220億を調達(2026-03)、年換算売上 約$500億</w:t>
            </w:r>
          </w:p>
        </w:tc>
        <w:tc>
          <w:tcPr>
            <w:tcW w:type="dxa" w:w="25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評価額 $1兆以上のラウンドの完了、支払遅延・契約変更の報道がない</w:t>
            </w:r>
          </w:p>
        </w:tc>
        <w:tc>
          <w:tcPr>
            <w:tcW w:type="dxa" w:w="16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2027年半ばまで</w:t>
            </w:r>
          </w:p>
        </w:tc>
      </w:tr>
      <w:tr>
        <w:trPr>
          <w:cantSplit/>
          <w:tblHeader w:val="false"/>
        </w:trPr>
        <w:tc>
          <w:tcPr>
            <w:tcW w:type="dxa" w:w="5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W4</w:t>
            </w:r>
          </w:p>
        </w:tc>
        <w:tc>
          <w:tcPr>
            <w:tcW w:type="dxa" w:w="25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契約後の容量が当初単価以上で更新される</w:t>
            </w:r>
          </w:p>
        </w:tc>
        <w:tc>
          <w:tcPr>
            <w:tcW w:type="dxa" w:w="25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Q1 FY27 +20%、Q4 FY26 92%</w:t>
            </w:r>
          </w:p>
        </w:tc>
        <w:tc>
          <w:tcPr>
            <w:tcW w:type="dxa" w:w="25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更新プレミアム ≥0%、更新率 ≥85%</w:t>
            </w:r>
          </w:p>
        </w:tc>
        <w:tc>
          <w:tcPr>
            <w:tcW w:type="dxa" w:w="16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毎四半期</w:t>
            </w:r>
          </w:p>
        </w:tc>
      </w:tr>
      <w:tr>
        <w:trPr>
          <w:cantSplit/>
          <w:tblHeader w:val="false"/>
        </w:trPr>
        <w:tc>
          <w:tcPr>
            <w:tcW w:type="dxa" w:w="5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W5</w:t>
            </w:r>
          </w:p>
        </w:tc>
        <w:tc>
          <w:tcPr>
            <w:tcW w:type="dxa" w:w="25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投資適格を維持し、希薄化は年3%以内</w:t>
            </w:r>
          </w:p>
        </w:tc>
        <w:tc>
          <w:tcPr>
            <w:tcW w:type="dxa" w:w="25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S&amp;P BBB-(安定)、Moody's ネガティブ。ATM $200億は完了</w:t>
            </w:r>
          </w:p>
        </w:tc>
        <w:tc>
          <w:tcPr>
            <w:tcW w:type="dxa" w:w="25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格付けの維持、追加増資 ≤$100億/年</w:t>
            </w:r>
          </w:p>
        </w:tc>
        <w:tc>
          <w:tcPr>
            <w:tcW w:type="dxa" w:w="16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FY27〜FY28</w:t>
            </w:r>
          </w:p>
        </w:tc>
      </w:tr>
    </w:tbl>
    <w:p>
      <w:pPr>
        <w:spacing w:after="80"/>
      </w:pPr>
    </w:p>
    <w:p>
      <w:pPr>
        <w:spacing w:after="120" w:line="300"/>
      </w:pPr>
      <w:r>
        <w:rPr>
          <w:rFonts w:ascii="Arial" w:cs="Arial" w:eastAsia="Yu Gothic" w:hAnsi="Arial"/>
          <w:b/>
          <w:bCs/>
          <w:sz w:val="20"/>
          <w:szCs w:val="20"/>
        </w:rPr>
        <w:t xml:space="preserve">逆側(何が真なら株価は過大か):</w:t>
      </w:r>
      <w:r>
        <w:rPr>
          <w:rFonts w:ascii="Arial" w:cs="Arial" w:eastAsia="Yu Gothic" w:hAnsi="Arial"/>
          <w:sz w:val="20"/>
          <w:szCs w:val="20"/>
        </w:rPr>
        <w:t xml:space="preserve"> R1 AI 容量の粗利率が規模を伴っても 25% 未満。R2 納入が 600MW/四半期未満で2四半期続く。R3 OpenAI の資金調達失敗・支払遅延・契約の縮小や条件変更。R4 更新プレミアムがマイナス、または更新率 70% 未満。R5 投資不適格への転落、または $120 未満での大型増資。</w:t>
      </w:r>
    </w:p>
    <w:p>
      <w:pPr>
        <w:spacing w:after="120" w:line="300"/>
      </w:pPr>
      <w:r>
        <w:rPr>
          <w:rFonts w:ascii="Arial" w:cs="Arial" w:eastAsia="Yu Gothic" w:hAnsi="Arial"/>
          <w:b/>
          <w:bCs/>
          <w:sz w:val="20"/>
          <w:szCs w:val="20"/>
        </w:rPr>
        <w:t xml:space="preserve">撤退条件(事前登録):</w:t>
      </w:r>
      <w:r>
        <w:rPr>
          <w:rFonts w:ascii="Arial" w:cs="Arial" w:eastAsia="Yu Gothic" w:hAnsi="Arial"/>
          <w:sz w:val="20"/>
          <w:szCs w:val="20"/>
        </w:rPr>
        <w:t xml:space="preserve"> R3 または R5 のいずれか。あるいは R1 と R4 の同時発生。</w:t>
      </w:r>
    </w:p>
    <w:p>
      <w:pPr>
        <w:pStyle w:val="Heading2"/>
      </w:pPr>
      <w:r>
        <w:rPr>
          <w:rFonts w:ascii="Arial" w:cs="Arial" w:eastAsia="Yu Gothic" w:hAnsi="Arial"/>
        </w:rPr>
        <w:t xml:space="preserve">7-3 判別 KPI 計器盤(F4)</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8"/>
        <w:gridCol w:w="1800"/>
        <w:gridCol w:w="1800"/>
        <w:gridCol w:w="1800"/>
        <w:gridCol w:w="1800"/>
        <w:gridCol w:w="704"/>
        <w:gridCol w:w="594"/>
      </w:tblGrid>
      <w:tr>
        <w:trPr>
          <w:cantSplit/>
          <w:tblHeader/>
        </w:trPr>
        <w:tc>
          <w:tcPr>
            <w:tcW w:type="dxa" w:w="140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KPI(根幹KPIから)</w:t>
            </w:r>
          </w:p>
        </w:tc>
        <w:tc>
          <w:tcPr>
            <w:tcW w:type="dxa" w:w="180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強気側の閾値</w:t>
            </w:r>
          </w:p>
        </w:tc>
        <w:tc>
          <w:tcPr>
            <w:tcW w:type="dxa" w:w="180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弱気側の閾値</w:t>
            </w:r>
          </w:p>
        </w:tc>
        <w:tc>
          <w:tcPr>
            <w:tcW w:type="dxa" w:w="180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合格ラインのパス</w:t>
            </w:r>
          </w:p>
        </w:tc>
        <w:tc>
          <w:tcPr>
            <w:tcW w:type="dxa" w:w="180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次の決算(Q2 FY27、2026年12月)での確度の更新</w:t>
            </w:r>
          </w:p>
        </w:tc>
        <w:tc>
          <w:tcPr>
            <w:tcW w:type="dxa" w:w="70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頻度</w:t>
            </w:r>
          </w:p>
        </w:tc>
        <w:tc>
          <w:tcPr>
            <w:tcW w:type="dxa" w:w="59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出所</w:t>
            </w:r>
          </w:p>
        </w:tc>
      </w:tr>
      <w:tr>
        <w:trPr>
          <w:cantSplit/>
          <w:tblHeader w:val="false"/>
        </w:trPr>
        <w:tc>
          <w:tcPr>
            <w:tcW w:type="dxa" w:w="14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K1 AI 容量の粗利率</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≥30%(2四半期連続で買付条件)</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≤25%</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Q2 FY27 ≥28%(開示があれば)→ Q4 FY27 ≥30% → FY28 ≥31%</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≥30% なら事業エンジン → コンセンサス経路の確率 +10pt。&lt;25% なら弱気 +15pt</w:t>
            </w:r>
          </w:p>
        </w:tc>
        <w:tc>
          <w:tcPr>
            <w:tcW w:type="dxa" w:w="7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四半期(開示しだい)</w:t>
            </w:r>
          </w:p>
        </w:tc>
        <w:tc>
          <w:tcPr>
            <w:tcW w:type="dxa" w:w="5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決算説明会</w:t>
            </w:r>
          </w:p>
        </w:tc>
      </w:tr>
      <w:tr>
        <w:trPr>
          <w:cantSplit/>
          <w:tblHeader w:val="false"/>
        </w:trPr>
        <w:tc>
          <w:tcPr>
            <w:tcW w:type="dxa" w:w="14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K2 四半期の納入容量</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≥1,000MW</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≤600MW</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Q2 ≥800 → Q3 ≥900 → Q4 ≥1,000 → FY28 計 ≥3GW</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≥1GW なら FY29 売上をコンセンサス($1,832億)へ +5%。&lt;600 なら弱気 +10pt</w:t>
            </w:r>
          </w:p>
        </w:tc>
        <w:tc>
          <w:tcPr>
            <w:tcW w:type="dxa" w:w="7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四半期</w:t>
            </w:r>
          </w:p>
        </w:tc>
        <w:tc>
          <w:tcPr>
            <w:tcW w:type="dxa" w:w="5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同上</w:t>
            </w:r>
          </w:p>
        </w:tc>
      </w:tr>
      <w:tr>
        <w:trPr>
          <w:cantSplit/>
          <w:tblHeader w:val="false"/>
        </w:trPr>
        <w:tc>
          <w:tcPr>
            <w:tcW w:type="dxa" w:w="14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K3 GPU の更新プレミアム・更新率</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≥+10% かつ ≥90%</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&lt;0% または &lt;70%</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毎四半期 ≥0%・≥85%</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強気側なら残存価格比を 0.6 → 0.75(+$8/株)。弱気側なら 0.6 → 0.3(−$8/株)</w:t>
            </w:r>
          </w:p>
        </w:tc>
        <w:tc>
          <w:tcPr>
            <w:tcW w:type="dxa" w:w="7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四半期</w:t>
            </w:r>
          </w:p>
        </w:tc>
        <w:tc>
          <w:tcPr>
            <w:tcW w:type="dxa" w:w="5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同上</w:t>
            </w:r>
          </w:p>
        </w:tc>
      </w:tr>
      <w:tr>
        <w:trPr>
          <w:cantSplit/>
          <w:tblHeader w:val="false"/>
        </w:trPr>
        <w:tc>
          <w:tcPr>
            <w:tcW w:type="dxa" w:w="14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K4 OpenAI の依存度と支払能力</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OpenAI の比率 &lt;40%、評価額 $1兆以上で調達</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支払遅延・契約変更・ダウンラウンド</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2027年半ばまでに資金調達を完了</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強気側なら OpenAI 不払いの確率を 20% → 12%。弱気側なら 20% → 40%</w:t>
            </w:r>
          </w:p>
        </w:tc>
        <w:tc>
          <w:tcPr>
            <w:tcW w:type="dxa" w:w="7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随時</w:t>
            </w:r>
          </w:p>
        </w:tc>
        <w:tc>
          <w:tcPr>
            <w:tcW w:type="dxa" w:w="5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報道・プレス</w:t>
            </w:r>
          </w:p>
        </w:tc>
      </w:tr>
      <w:tr>
        <w:trPr>
          <w:cantSplit/>
          <w:tblHeader w:val="false"/>
        </w:trPr>
        <w:tc>
          <w:tcPr>
            <w:tcW w:type="dxa" w:w="14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K5 純現金 capex と FCF(前払い控除後)</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純現金 capex ≤$700億(FY27)、FY28 に FCF(純)&gt; −$100億</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総額 capex の見通しが $1,000億超へ上方修正、または $130 未満での追加増資 $100億超</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FY27 純 ≤$700億 → FY28 ≤$600億 → FY29 FCF ≥0</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強気側なら AI の資本コスト −0.5pt(+$1.8/株)。弱気側なら株数 +3%(−$4/株)</w:t>
            </w:r>
          </w:p>
        </w:tc>
        <w:tc>
          <w:tcPr>
            <w:tcW w:type="dxa" w:w="7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四半期</w:t>
            </w:r>
          </w:p>
        </w:tc>
        <w:tc>
          <w:tcPr>
            <w:tcW w:type="dxa" w:w="5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10-Q</w:t>
            </w:r>
          </w:p>
        </w:tc>
      </w:tr>
      <w:tr>
        <w:trPr>
          <w:cantSplit/>
          <w:tblHeader w:val="false"/>
        </w:trPr>
        <w:tc>
          <w:tcPr>
            <w:tcW w:type="dxa" w:w="14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K6 RPO の四半期純増</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≥$400億</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&lt;$100億</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毎四半期 ≥$200億</w:t>
            </w:r>
          </w:p>
        </w:tc>
        <w:tc>
          <w:tcPr>
            <w:tcW w:type="dxa" w:w="18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強気側なら未契約の成長 +1GW/年。弱気側なら 0</w:t>
            </w:r>
          </w:p>
        </w:tc>
        <w:tc>
          <w:tcPr>
            <w:tcW w:type="dxa" w:w="70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四半期</w:t>
            </w:r>
          </w:p>
        </w:tc>
        <w:tc>
          <w:tcPr>
            <w:tcW w:type="dxa" w:w="5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プレス</w:t>
            </w:r>
          </w:p>
        </w:tc>
      </w:tr>
    </w:tbl>
    <w:p>
      <w:pPr>
        <w:spacing w:after="80"/>
      </w:pPr>
    </w:p>
    <w:p>
      <w:pPr>
        <w:spacing w:after="120" w:line="300"/>
      </w:pPr>
      <w:r>
        <w:rPr>
          <w:rFonts w:ascii="Arial" w:cs="Arial" w:eastAsia="Yu Gothic" w:hAnsi="Arial"/>
          <w:b/>
          <w:bCs/>
          <w:sz w:val="20"/>
          <w:szCs w:val="20"/>
        </w:rPr>
        <w:t xml:space="preserve">強気派・弱気派の実際の言説(和訳、出典つき):</w:t>
      </w:r>
    </w:p>
    <w:p>
      <w:pPr>
        <w:pStyle w:val="ListParagraph"/>
        <w:numPr>
          <w:ilvl w:val="0"/>
          <w:numId w:val="3"/>
        </w:numPr>
        <w:spacing w:after="40" w:line="290"/>
      </w:pPr>
      <w:r>
        <w:rPr>
          <w:rFonts w:ascii="Arial" w:cs="Arial" w:eastAsia="Yu Gothic" w:hAnsi="Arial"/>
          <w:sz w:val="20"/>
          <w:szCs w:val="20"/>
        </w:rPr>
        <w:t xml:space="preserve">強気(Barclays、2026-09):「成長は変曲点を越えた」("growth has inflected")。$200億の ATM を完了し、借入だけに頼らず投資する余地ができた。</w:t>
      </w:r>
    </w:p>
    <w:p>
      <w:pPr>
        <w:pStyle w:val="ListParagraph"/>
        <w:numPr>
          <w:ilvl w:val="0"/>
          <w:numId w:val="3"/>
        </w:numPr>
        <w:spacing w:after="40" w:line="290"/>
      </w:pPr>
      <w:r>
        <w:rPr>
          <w:rFonts w:ascii="Arial" w:cs="Arial" w:eastAsia="Yu Gothic" w:hAnsi="Arial"/>
          <w:sz w:val="20"/>
          <w:szCs w:val="20"/>
        </w:rPr>
        <w:t xml:space="preserve">強気(JPMorgan、2026-09-11):Q1 の新規 $300億超は主に前払い・持込で、Oracle に追加の現金を要しない。ただし顧客集中、資金調達へのアクセス、容量の納入を下振れリスクとして挙げた。</w:t>
      </w:r>
    </w:p>
    <w:p>
      <w:pPr>
        <w:pStyle w:val="ListParagraph"/>
        <w:numPr>
          <w:ilvl w:val="0"/>
          <w:numId w:val="3"/>
        </w:numPr>
        <w:spacing w:after="40" w:line="290"/>
      </w:pPr>
      <w:r>
        <w:rPr>
          <w:rFonts w:ascii="Arial" w:cs="Arial" w:eastAsia="Yu Gothic" w:hAnsi="Arial"/>
          <w:sz w:val="20"/>
          <w:szCs w:val="20"/>
        </w:rPr>
        <w:t xml:space="preserve">弱気(S&amp;P、2026-07-09):AI インフラの収益性は「不透明」。OpenAI がつまずけば容量が遊休化するリスクがある。レバレッジが 4.5倍を超え続ければ、再格下げもありうる。</w:t>
      </w:r>
    </w:p>
    <w:p>
      <w:pPr>
        <w:pStyle w:val="ListParagraph"/>
        <w:numPr>
          <w:ilvl w:val="0"/>
          <w:numId w:val="3"/>
        </w:numPr>
        <w:spacing w:after="40" w:line="290"/>
      </w:pPr>
      <w:r>
        <w:rPr>
          <w:rFonts w:ascii="Arial" w:cs="Arial" w:eastAsia="Yu Gothic" w:hAnsi="Arial"/>
          <w:sz w:val="20"/>
          <w:szCs w:val="20"/>
        </w:rPr>
        <w:t xml:space="preserve">弱気(Rothschild &amp; Redburn、2025-09-25):市場は、契約済みクラウド収益の価値を「大きく過大評価」している。</w:t>
      </w:r>
    </w:p>
    <w:p>
      <w:r>
        <w:br w:type="page"/>
      </w:r>
    </w:p>
    <w:p>
      <w:pPr>
        <w:pStyle w:val="Heading1"/>
      </w:pPr>
      <w:r>
        <w:rPr>
          <w:rFonts w:ascii="Arial" w:cs="Arial" w:eastAsia="Yu Gothic" w:hAnsi="Arial"/>
        </w:rPr>
        <w:t xml:space="preserve">8. 13条件による構造評価 — 構造評価は B で、PEG・過大評価の検証・コモディティ性の3条件が C にとどまる</w:t>
      </w:r>
    </w:p>
    <w:p>
      <w:pPr>
        <w:spacing w:after="120" w:line="300"/>
      </w:pPr>
      <w:r>
        <w:rPr>
          <w:rFonts w:ascii="Arial" w:cs="Arial" w:eastAsia="Yu Gothic" w:hAnsi="Arial"/>
          <w:b/>
          <w:bCs/>
          <w:sz w:val="20"/>
          <w:szCs w:val="20"/>
        </w:rPr>
        <w:t xml:space="preserve">条件9(AI の停めない運用)の適用:</w:t>
      </w:r>
      <w:r>
        <w:rPr>
          <w:rFonts w:ascii="Arial" w:cs="Arial" w:eastAsia="Yu Gothic" w:hAnsi="Arial"/>
          <w:sz w:val="20"/>
          <w:szCs w:val="20"/>
        </w:rPr>
        <w:t xml:space="preserve"> Oracle は AI 向けの計算基盤とデータベースを供給する企業であるため、条件9を適用する(Phase 0)。</w:t>
      </w:r>
    </w:p>
    <w:p>
      <w:pPr>
        <w:spacing w:after="120" w:line="300"/>
      </w:pPr>
      <w:r>
        <w:rPr>
          <w:rFonts w:ascii="Arial" w:cs="Arial" w:eastAsia="Yu Gothic" w:hAnsi="Arial"/>
          <w:b/>
          <w:bCs/>
          <w:sz w:val="20"/>
          <w:szCs w:val="20"/>
        </w:rPr>
        <w:t xml:space="preserve">評価分布(詳細は Appendix 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6"/>
        <w:gridCol w:w="7470"/>
        <w:gridCol w:w="650"/>
      </w:tblGrid>
      <w:tr>
        <w:trPr>
          <w:cantSplit/>
          <w:tblHeader/>
        </w:trPr>
        <w:tc>
          <w:tcPr>
            <w:tcW w:type="dxa" w:w="178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評価</w:t>
            </w:r>
          </w:p>
        </w:tc>
        <w:tc>
          <w:tcPr>
            <w:tcW w:type="dxa" w:w="747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条件</w:t>
            </w:r>
          </w:p>
        </w:tc>
        <w:tc>
          <w:tcPr>
            <w:tcW w:type="dxa" w:w="65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件数</w:t>
            </w:r>
          </w:p>
        </w:tc>
      </w:tr>
      <w:tr>
        <w:trPr>
          <w:cantSplit/>
          <w:tblHeader w:val="false"/>
        </w:trPr>
        <w:tc>
          <w:tcPr>
            <w:tcW w:type="dxa" w:w="178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w:t>
            </w:r>
          </w:p>
        </w:tc>
        <w:tc>
          <w:tcPr>
            <w:tcW w:type="dxa" w:w="747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4(米国株)</w:t>
            </w:r>
          </w:p>
        </w:tc>
        <w:tc>
          <w:tcPr>
            <w:tcW w:type="dxa" w:w="6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w:t>
            </w:r>
          </w:p>
        </w:tc>
      </w:tr>
      <w:tr>
        <w:trPr>
          <w:cantSplit/>
          <w:tblHeader w:val="false"/>
        </w:trPr>
        <w:tc>
          <w:tcPr>
            <w:tcW w:type="dxa" w:w="178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w:t>
            </w:r>
          </w:p>
        </w:tc>
        <w:tc>
          <w:tcPr>
            <w:tcW w:type="dxa" w:w="747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3(コア技術の AI 転用)、12(従量・確約型の収益)</w:t>
            </w:r>
          </w:p>
        </w:tc>
        <w:tc>
          <w:tcPr>
            <w:tcW w:type="dxa" w:w="6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w:t>
            </w:r>
          </w:p>
        </w:tc>
      </w:tr>
      <w:tr>
        <w:trPr>
          <w:cantSplit/>
          <w:tblHeader w:val="false"/>
        </w:trPr>
        <w:tc>
          <w:tcPr>
            <w:tcW w:type="dxa" w:w="178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w:t>
            </w:r>
          </w:p>
        </w:tc>
        <w:tc>
          <w:tcPr>
            <w:tcW w:type="dxa" w:w="747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1(価格決定力・競争優位)、2(コアのキャッシュフロー)、5(経営者)、9(停めない運用)、10(無形資産の陳腐化)、11(模倣困難性)、13(アーキタイプ)</w:t>
            </w:r>
          </w:p>
        </w:tc>
        <w:tc>
          <w:tcPr>
            <w:tcW w:type="dxa" w:w="6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7</w:t>
            </w:r>
          </w:p>
        </w:tc>
      </w:tr>
      <w:tr>
        <w:trPr>
          <w:cantSplit/>
          <w:tblHeader w:val="false"/>
        </w:trPr>
        <w:tc>
          <w:tcPr>
            <w:tcW w:type="dxa" w:w="178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w:t>
            </w:r>
          </w:p>
        </w:tc>
        <w:tc>
          <w:tcPr>
            <w:tcW w:type="dxa" w:w="747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6(PEG&lt;1 かつ EPS CAGR 30%以上)、7(PEG が低い理由がリスクの過大評価か)、8(コモディティではない)</w:t>
            </w:r>
          </w:p>
        </w:tc>
        <w:tc>
          <w:tcPr>
            <w:tcW w:type="dxa" w:w="6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w:t>
            </w:r>
          </w:p>
        </w:tc>
      </w:tr>
      <w:tr>
        <w:trPr>
          <w:cantSplit/>
          <w:tblHeader w:val="false"/>
        </w:trPr>
        <w:tc>
          <w:tcPr>
            <w:tcW w:type="dxa" w:w="178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D 以下</w:t>
            </w:r>
          </w:p>
        </w:tc>
        <w:tc>
          <w:tcPr>
            <w:tcW w:type="dxa" w:w="747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なし</w:t>
            </w:r>
          </w:p>
        </w:tc>
        <w:tc>
          <w:tcPr>
            <w:tcW w:type="dxa" w:w="6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w:t>
            </w:r>
          </w:p>
        </w:tc>
      </w:tr>
      <w:tr>
        <w:trPr>
          <w:cantSplit/>
          <w:tblHeader w:val="false"/>
        </w:trPr>
        <w:tc>
          <w:tcPr>
            <w:tcW w:type="dxa" w:w="178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対象外(N/A)</w:t>
            </w:r>
          </w:p>
        </w:tc>
        <w:tc>
          <w:tcPr>
            <w:tcW w:type="dxa" w:w="747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なし</w:t>
            </w:r>
          </w:p>
        </w:tc>
        <w:tc>
          <w:tcPr>
            <w:tcW w:type="dxa" w:w="6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w:t>
            </w:r>
          </w:p>
        </w:tc>
      </w:tr>
    </w:tbl>
    <w:p>
      <w:pPr>
        <w:spacing w:after="80"/>
      </w:pPr>
    </w:p>
    <w:p>
      <w:pPr>
        <w:spacing w:after="120" w:line="300"/>
      </w:pPr>
      <w:r>
        <w:rPr>
          <w:rFonts w:ascii="Arial" w:cs="Arial" w:eastAsia="Yu Gothic" w:hAnsi="Arial"/>
          <w:b/>
          <w:bCs/>
          <w:sz w:val="20"/>
          <w:szCs w:val="20"/>
        </w:rPr>
        <w:t xml:space="preserve">ルールの適用(発動・非発動を含む導出過程):</w:t>
      </w:r>
    </w:p>
    <w:p>
      <w:pPr>
        <w:pStyle w:val="ListParagraph"/>
        <w:numPr>
          <w:ilvl w:val="0"/>
          <w:numId w:val="2"/>
        </w:numPr>
        <w:spacing w:after="40" w:line="290"/>
      </w:pPr>
      <w:r>
        <w:rPr>
          <w:rFonts w:ascii="Arial" w:cs="Arial" w:eastAsia="Yu Gothic" w:hAnsi="Arial"/>
          <w:b/>
          <w:bCs/>
          <w:sz w:val="20"/>
          <w:szCs w:val="20"/>
        </w:rPr>
        <w:t xml:space="preserve">致命条件の拒否権(E 以下が1つでもあれば上限):</w:t>
      </w:r>
      <w:r>
        <w:rPr>
          <w:rFonts w:ascii="Arial" w:cs="Arial" w:eastAsia="Yu Gothic" w:hAnsi="Arial"/>
          <w:sz w:val="20"/>
          <w:szCs w:val="20"/>
        </w:rPr>
        <w:t xml:space="preserve"> 非発動(E 以下なし)。</w:t>
      </w:r>
    </w:p>
    <w:p>
      <w:pPr>
        <w:pStyle w:val="ListParagraph"/>
        <w:numPr>
          <w:ilvl w:val="0"/>
          <w:numId w:val="2"/>
        </w:numPr>
        <w:spacing w:after="40" w:line="290"/>
      </w:pPr>
      <w:r>
        <w:rPr>
          <w:rFonts w:ascii="Arial" w:cs="Arial" w:eastAsia="Yu Gothic" w:hAnsi="Arial"/>
          <w:b/>
          <w:bCs/>
          <w:sz w:val="20"/>
          <w:szCs w:val="20"/>
        </w:rPr>
        <w:t xml:space="preserve">条件6・7の対評価:</w:t>
      </w:r>
      <w:r>
        <w:rPr>
          <w:rFonts w:ascii="Arial" w:cs="Arial" w:eastAsia="Yu Gothic" w:hAnsi="Arial"/>
          <w:sz w:val="20"/>
          <w:szCs w:val="20"/>
        </w:rPr>
        <w:t xml:space="preserve"> 条件6は C で S ではないため、「安い理由の構造が悪ければ6の S を無効にする」規則は対象外。条件7は C とした。安い理由の一部(経済的寿命の懸念)は市場の見落とし(片側の物語)で説明できるが、主因(OpenAI への集中と資金調達)は市場が正しく見ているリスクであり、見落としではない。</w:t>
      </w:r>
    </w:p>
    <w:p>
      <w:pPr>
        <w:pStyle w:val="ListParagraph"/>
        <w:numPr>
          <w:ilvl w:val="0"/>
          <w:numId w:val="2"/>
        </w:numPr>
        <w:spacing w:after="40" w:line="290"/>
      </w:pPr>
      <w:r>
        <w:rPr>
          <w:rFonts w:ascii="Arial" w:cs="Arial" w:eastAsia="Yu Gothic" w:hAnsi="Arial"/>
          <w:b/>
          <w:bCs/>
          <w:sz w:val="20"/>
          <w:szCs w:val="20"/>
        </w:rPr>
        <w:t xml:space="preserve">C が4条件以上なら総合は B 以上にしない:</w:t>
      </w:r>
      <w:r>
        <w:rPr>
          <w:rFonts w:ascii="Arial" w:cs="Arial" w:eastAsia="Yu Gothic" w:hAnsi="Arial"/>
          <w:sz w:val="20"/>
          <w:szCs w:val="20"/>
        </w:rPr>
        <w:t xml:space="preserve"> 非発動(C は3条件)。ただし条件5(経営者)は B と C の境界にある(capex の約束が FY26 に 59% 超過、報酬 KPI は総額指標)。C に落ちれば規則が発動し、総合の上限が B になるが、結論(B)は変わらない。</w:t>
      </w:r>
    </w:p>
    <w:p>
      <w:pPr>
        <w:pStyle w:val="ListParagraph"/>
        <w:numPr>
          <w:ilvl w:val="0"/>
          <w:numId w:val="2"/>
        </w:numPr>
        <w:spacing w:after="40" w:line="290"/>
      </w:pPr>
      <w:r>
        <w:rPr>
          <w:rFonts w:ascii="Arial" w:cs="Arial" w:eastAsia="Yu Gothic" w:hAnsi="Arial"/>
          <w:b/>
          <w:bCs/>
          <w:sz w:val="20"/>
          <w:szCs w:val="20"/>
        </w:rPr>
        <w:t xml:space="preserve">最頻値と分布:</w:t>
      </w:r>
      <w:r>
        <w:rPr>
          <w:rFonts w:ascii="Arial" w:cs="Arial" w:eastAsia="Yu Gothic" w:hAnsi="Arial"/>
          <w:sz w:val="20"/>
          <w:szCs w:val="20"/>
        </w:rPr>
        <w:t xml:space="preserve"> B が7件で最頻、A が2件、C が3件。拒否権・上限規則は非発動のため、</w:t>
      </w:r>
      <w:r>
        <w:rPr>
          <w:rFonts w:ascii="Arial" w:cs="Arial" w:eastAsia="Yu Gothic" w:hAnsi="Arial"/>
          <w:b/>
          <w:bCs/>
          <w:sz w:val="20"/>
          <w:szCs w:val="20"/>
        </w:rPr>
        <w:t xml:space="preserve">構造評価は B</w:t>
      </w:r>
      <w:r>
        <w:rPr>
          <w:rFonts w:ascii="Arial" w:cs="Arial" w:eastAsia="Yu Gothic" w:hAnsi="Arial"/>
          <w:sz w:val="20"/>
          <w:szCs w:val="20"/>
        </w:rPr>
        <w:t xml:space="preserve"> とする。</w:t>
      </w:r>
    </w:p>
    <w:p>
      <w:pPr>
        <w:spacing w:after="120" w:line="300"/>
      </w:pPr>
      <w:r>
        <w:rPr>
          <w:rFonts w:ascii="Arial" w:cs="Arial" w:eastAsia="Yu Gothic" w:hAnsi="Arial"/>
          <w:b/>
          <w:bCs/>
          <w:sz w:val="20"/>
          <w:szCs w:val="20"/>
        </w:rPr>
        <w:t xml:space="preserve">構造評価を決めた要因:</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4"/>
        <w:gridCol w:w="592"/>
        <w:gridCol w:w="4284"/>
        <w:gridCol w:w="746"/>
      </w:tblGrid>
      <w:tr>
        <w:trPr>
          <w:cantSplit/>
          <w:tblHeader/>
        </w:trPr>
        <w:tc>
          <w:tcPr>
            <w:tcW w:type="dxa" w:w="428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押し上げ要因</w:t>
            </w:r>
          </w:p>
        </w:tc>
        <w:tc>
          <w:tcPr>
            <w:tcW w:type="dxa" w:w="59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条件</w:t>
            </w:r>
          </w:p>
        </w:tc>
        <w:tc>
          <w:tcPr>
            <w:tcW w:type="dxa" w:w="428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構造記述(Phase 4)</w:t>
            </w:r>
          </w:p>
        </w:tc>
        <w:tc>
          <w:tcPr>
            <w:tcW w:type="dxa" w:w="74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機構台帳</w:t>
            </w:r>
          </w:p>
        </w:tc>
      </w:tr>
      <w:tr>
        <w:trPr>
          <w:cantSplit/>
          <w:tblHeader w:val="false"/>
        </w:trPr>
        <w:tc>
          <w:tcPr>
            <w:tcW w:type="dxa" w:w="42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データベース顧客基盤がクラウド(マルチクラウド)と AI へ転用され、増収の主因になった</w:t>
            </w:r>
          </w:p>
        </w:tc>
        <w:tc>
          <w:tcPr>
            <w:tcW w:type="dxa" w:w="5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w:t>
            </w:r>
          </w:p>
        </w:tc>
        <w:tc>
          <w:tcPr>
            <w:tcW w:type="dxa" w:w="42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顧客 → OCI・他社クラウド内の Oracle DB → AI 推論。追加コストが小さい</w:t>
            </w:r>
          </w:p>
        </w:tc>
        <w:tc>
          <w:tcPr>
            <w:tcW w:type="dxa" w:w="74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M14</w:t>
            </w:r>
          </w:p>
        </w:tc>
      </w:tr>
      <w:tr>
        <w:trPr>
          <w:cantSplit/>
          <w:tblHeader w:val="false"/>
        </w:trPr>
        <w:tc>
          <w:tcPr>
            <w:tcW w:type="dxa" w:w="42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収益の大半が確約・従量・保守のストックで、AI の陳腐化リスクの一部を顧客が負う(前払い・持込 $750億)</w:t>
            </w:r>
          </w:p>
        </w:tc>
        <w:tc>
          <w:tcPr>
            <w:tcW w:type="dxa" w:w="5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12・7</w:t>
            </w:r>
          </w:p>
        </w:tc>
        <w:tc>
          <w:tcPr>
            <w:tcW w:type="dxa" w:w="42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リスクの所在: GPU の陳腐化は持込分を顧客が負う。意図は資本と陳腐化の移転。純効果はプラス</w:t>
            </w:r>
          </w:p>
        </w:tc>
        <w:tc>
          <w:tcPr>
            <w:tcW w:type="dxa" w:w="74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M8</w:t>
            </w:r>
          </w:p>
        </w:tc>
      </w:tr>
      <w:tr>
        <w:trPr>
          <w:cantSplit/>
          <w:tblHeader w:val="false"/>
        </w:trPr>
        <w:tc>
          <w:tcPr>
            <w:tcW w:type="dxa" w:w="42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契約後の容量が当初単価以上で更新されている(経済的寿命 ≥ 会計耐用年数)</w:t>
            </w:r>
          </w:p>
        </w:tc>
        <w:tc>
          <w:tcPr>
            <w:tcW w:type="dxa" w:w="5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1・10</w:t>
            </w:r>
          </w:p>
        </w:tc>
        <w:tc>
          <w:tcPr>
            <w:tcW w:type="dxa" w:w="42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更新期の GPU(過半が4年超)が全量 +20% で更新・再販。時間: 契約5〜6年、リース15〜19年</w:t>
            </w:r>
          </w:p>
        </w:tc>
        <w:tc>
          <w:tcPr>
            <w:tcW w:type="dxa" w:w="74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M1</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4"/>
        <w:gridCol w:w="592"/>
        <w:gridCol w:w="4284"/>
        <w:gridCol w:w="746"/>
      </w:tblGrid>
      <w:tr>
        <w:trPr>
          <w:cantSplit/>
          <w:tblHeader/>
        </w:trPr>
        <w:tc>
          <w:tcPr>
            <w:tcW w:type="dxa" w:w="428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押し下げ要因</w:t>
            </w:r>
          </w:p>
        </w:tc>
        <w:tc>
          <w:tcPr>
            <w:tcW w:type="dxa" w:w="59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条件</w:t>
            </w:r>
          </w:p>
        </w:tc>
        <w:tc>
          <w:tcPr>
            <w:tcW w:type="dxa" w:w="428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構造記述</w:t>
            </w:r>
          </w:p>
        </w:tc>
        <w:tc>
          <w:tcPr>
            <w:tcW w:type="dxa" w:w="74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機構台帳</w:t>
            </w:r>
          </w:p>
        </w:tc>
      </w:tr>
      <w:tr>
        <w:trPr>
          <w:cantSplit/>
          <w:tblHeader w:val="false"/>
        </w:trPr>
        <w:tc>
          <w:tcPr>
            <w:tcW w:type="dxa" w:w="42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EPS の成長が資本集約的で、受注残の約45%が資金調達に頼る1社</w:t>
            </w:r>
          </w:p>
        </w:tc>
        <w:tc>
          <w:tcPr>
            <w:tcW w:type="dxa" w:w="5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6・7</w:t>
            </w:r>
          </w:p>
        </w:tc>
        <w:tc>
          <w:tcPr>
            <w:tcW w:type="dxa" w:w="42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アクター: OpenAI ← 投資家。リスクの所在: 不払いは Oracle(固定費のリース)。意図は需要の錨</w:t>
            </w:r>
          </w:p>
        </w:tc>
        <w:tc>
          <w:tcPr>
            <w:tcW w:type="dxa" w:w="74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M5・M6</w:t>
            </w:r>
          </w:p>
        </w:tc>
      </w:tr>
      <w:tr>
        <w:trPr>
          <w:cantSplit/>
          <w:tblHeader w:val="false"/>
        </w:trPr>
        <w:tc>
          <w:tcPr>
            <w:tcW w:type="dxa" w:w="42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容量は計算の商品化が進む市場(先物の上場準備)で、差別化は電力と速さ</w:t>
            </w:r>
          </w:p>
        </w:tc>
        <w:tc>
          <w:tcPr>
            <w:tcW w:type="dxa" w:w="5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w:t>
            </w:r>
          </w:p>
        </w:tc>
        <w:tc>
          <w:tcPr>
            <w:tcW w:type="dxa" w:w="42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運営は中間の利益プール。上流(NVIDIA)と下流(研究所)に挟まれる</w:t>
            </w:r>
          </w:p>
        </w:tc>
        <w:tc>
          <w:tcPr>
            <w:tcW w:type="dxa" w:w="74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M4</w:t>
            </w:r>
          </w:p>
        </w:tc>
      </w:tr>
      <w:tr>
        <w:trPr>
          <w:cantSplit/>
          <w:tblHeader w:val="false"/>
        </w:trPr>
        <w:tc>
          <w:tcPr>
            <w:tcW w:type="dxa" w:w="42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リース(15〜19年)と顧客契約(5〜6年)の期間差</w:t>
            </w:r>
          </w:p>
        </w:tc>
        <w:tc>
          <w:tcPr>
            <w:tcW w:type="dxa" w:w="5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7・11</w:t>
            </w:r>
          </w:p>
        </w:tc>
        <w:tc>
          <w:tcPr>
            <w:tcW w:type="dxa" w:w="42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時間: 期間差 9〜14年。上振れ(電力付き建屋の希少性)と下振れ(空室費)の両面</w:t>
            </w:r>
          </w:p>
        </w:tc>
        <w:tc>
          <w:tcPr>
            <w:tcW w:type="dxa" w:w="74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M10・M11</w:t>
            </w:r>
          </w:p>
        </w:tc>
      </w:tr>
    </w:tbl>
    <w:p>
      <w:pPr>
        <w:spacing w:after="80"/>
      </w:pPr>
    </w:p>
    <w:p>
      <w:pPr>
        <w:spacing w:after="120" w:line="300"/>
      </w:pPr>
      <w:r>
        <w:rPr>
          <w:rFonts w:ascii="Arial" w:cs="Arial" w:eastAsia="Yu Gothic" w:hAnsi="Arial"/>
          <w:b/>
          <w:bCs/>
          <w:sz w:val="20"/>
          <w:szCs w:val="20"/>
        </w:rPr>
        <w:t xml:space="preserve">アーキタイプ照合(条件13):</w:t>
      </w:r>
      <w:r>
        <w:rPr>
          <w:rFonts w:ascii="Arial" w:cs="Arial" w:eastAsia="Yu Gothic" w:hAnsi="Arial"/>
          <w:sz w:val="20"/>
          <w:szCs w:val="20"/>
        </w:rPr>
        <w:t xml:space="preserve"> ORCL 型(従量課金・陳腐化リスクの顧客への移転・代替不可能な運用基盤)を原型としつつ、AI 容量の急拡大で MU 型(シクリカルな陳腐化 capex を自社が負う)へ部分的に寄っている。持込分(BYOH)と保守・SaaS は ORCL 型、Oracle が自ら GPU を買う大型 AI 契約は MU 型の要素を持つ。ビジネスモデル型(business-core-method §8)は、E1・E2 が A(ストック型ソフト)、E3 が B(従量のインフラ)、E4 が C(設備型インフラ)、E5 が G に近い。</w:t>
      </w:r>
    </w:p>
    <w:p>
      <w:r>
        <w:br w:type="page"/>
      </w:r>
    </w:p>
    <w:p>
      <w:pPr>
        <w:pStyle w:val="Heading1"/>
      </w:pPr>
      <w:r>
        <w:rPr>
          <w:rFonts w:ascii="Arial" w:cs="Arial" w:eastAsia="Yu Gothic" w:hAnsi="Arial"/>
        </w:rPr>
        <w:t xml:space="preserve">9. 妥当な PEG の導出 — FY27 の許容 PEG は 0.80〜0.95 と置き、資本集約度と顧客集中が、ピア(1.2〜1.6)より低い倍率を正当化する</w:t>
      </w:r>
    </w:p>
    <w:p>
      <w:pPr>
        <w:spacing w:after="120" w:line="300"/>
      </w:pPr>
      <w:r>
        <w:rPr>
          <w:rFonts w:ascii="Arial" w:cs="Arial" w:eastAsia="Yu Gothic" w:hAnsi="Arial"/>
          <w:sz w:val="20"/>
          <w:szCs w:val="20"/>
        </w:rPr>
        <w:t xml:space="preserve">PEG は事業実態EPS(SBC 控除後)の5年 CAGR で計る(条件6の定義)。現在株価の PEG は次のとおりである。</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20"/>
        <w:gridCol w:w="3852"/>
        <w:gridCol w:w="734"/>
      </w:tblGrid>
      <w:tr>
        <w:trPr>
          <w:cantSplit/>
          <w:tblHeader/>
        </w:trPr>
        <w:tc>
          <w:tcPr>
            <w:tcW w:type="dxa" w:w="532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経路</w:t>
            </w:r>
          </w:p>
        </w:tc>
        <w:tc>
          <w:tcPr>
            <w:tcW w:type="dxa" w:w="385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5年 CAGR(FY27 → FY32)</w:t>
            </w:r>
          </w:p>
        </w:tc>
        <w:tc>
          <w:tcPr>
            <w:tcW w:type="dxa" w:w="73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PEG</w:t>
            </w:r>
          </w:p>
        </w:tc>
      </w:tr>
      <w:tr>
        <w:trPr>
          <w:cantSplit/>
          <w:tblHeader w:val="false"/>
        </w:trPr>
        <w:tc>
          <w:tcPr>
            <w:tcW w:type="dxa" w:w="532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事業エンジン</w:t>
            </w:r>
          </w:p>
        </w:tc>
        <w:tc>
          <w:tcPr>
            <w:tcW w:type="dxa" w:w="385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22.1%</w:t>
            </w:r>
          </w:p>
        </w:tc>
        <w:tc>
          <w:tcPr>
            <w:tcW w:type="dxa" w:w="7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0.92</w:t>
            </w:r>
          </w:p>
        </w:tc>
      </w:tr>
      <w:tr>
        <w:trPr>
          <w:cantSplit/>
          <w:tblHeader w:val="false"/>
        </w:trPr>
        <w:tc>
          <w:tcPr>
            <w:tcW w:type="dxa" w:w="532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コンセンサス(FY29 以降は延長)</w:t>
            </w:r>
          </w:p>
        </w:tc>
        <w:tc>
          <w:tcPr>
            <w:tcW w:type="dxa" w:w="385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26.2%</w:t>
            </w:r>
          </w:p>
        </w:tc>
        <w:tc>
          <w:tcPr>
            <w:tcW w:type="dxa" w:w="7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0.79</w:t>
            </w:r>
          </w:p>
        </w:tc>
      </w:tr>
      <w:tr>
        <w:trPr>
          <w:cantSplit/>
          <w:tblHeader w:val="false"/>
        </w:trPr>
        <w:tc>
          <w:tcPr>
            <w:tcW w:type="dxa" w:w="532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会社シナリオ</w:t>
            </w:r>
          </w:p>
        </w:tc>
        <w:tc>
          <w:tcPr>
            <w:tcW w:type="dxa" w:w="385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31.8%</w:t>
            </w:r>
          </w:p>
        </w:tc>
        <w:tc>
          <w:tcPr>
            <w:tcW w:type="dxa" w:w="7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0.65</w:t>
            </w:r>
          </w:p>
        </w:tc>
      </w:tr>
    </w:tbl>
    <w:p>
      <w:pPr>
        <w:spacing w:after="80"/>
      </w:pPr>
    </w:p>
    <w:p>
      <w:pPr>
        <w:spacing w:after="120" w:line="300"/>
      </w:pPr>
      <w:r>
        <w:rPr>
          <w:rFonts w:ascii="Arial" w:cs="Arial" w:eastAsia="Yu Gothic" w:hAnsi="Arial"/>
          <w:sz w:val="20"/>
          <w:szCs w:val="20"/>
        </w:rPr>
        <w:t xml:space="preserve">各経路の FY27 事業実態EPS に対する PER(20.4〜20.7倍)で計算した。</w:t>
      </w:r>
    </w:p>
    <w:p>
      <w:pPr>
        <w:pStyle w:val="Heading2"/>
      </w:pPr>
      <w:r>
        <w:rPr>
          <w:rFonts w:ascii="Arial" w:cs="Arial" w:eastAsia="Yu Gothic" w:hAnsi="Arial"/>
        </w:rPr>
        <w:t xml:space="preserve">9-1 経路 a: ピアの実勢(EPS の定義・成長率の基準は出典ごとに異なり、SBC 控除前の可能性がある)</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6"/>
        <w:gridCol w:w="2050"/>
        <w:gridCol w:w="5237"/>
        <w:gridCol w:w="683"/>
      </w:tblGrid>
      <w:tr>
        <w:trPr>
          <w:cantSplit/>
          <w:tblHeader/>
        </w:trPr>
        <w:tc>
          <w:tcPr>
            <w:tcW w:type="dxa" w:w="193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ピア</w:t>
            </w:r>
          </w:p>
        </w:tc>
        <w:tc>
          <w:tcPr>
            <w:tcW w:type="dxa" w:w="205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PEG(5年予想ベース)</w:t>
            </w:r>
          </w:p>
        </w:tc>
        <w:tc>
          <w:tcPr>
            <w:tcW w:type="dxa" w:w="523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出典・取得日</w:t>
            </w:r>
          </w:p>
        </w:tc>
        <w:tc>
          <w:tcPr>
            <w:tcW w:type="dxa" w:w="68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採否</w:t>
            </w:r>
          </w:p>
        </w:tc>
      </w:tr>
      <w:tr>
        <w:trPr>
          <w:cantSplit/>
          <w:tblHeader w:val="false"/>
        </w:trPr>
        <w:tc>
          <w:tcPr>
            <w:tcW w:type="dxa" w:w="19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Microsoft</w:t>
            </w:r>
          </w:p>
        </w:tc>
        <w:tc>
          <w:tcPr>
            <w:tcW w:type="dxa" w:w="20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1.60</w:t>
            </w:r>
          </w:p>
        </w:tc>
        <w:tc>
          <w:tcPr>
            <w:tcW w:type="dxa" w:w="523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Yahoo key statistics(掲載日不明、2026-10-11 取得)</w:t>
            </w:r>
          </w:p>
        </w:tc>
        <w:tc>
          <w:tcPr>
            <w:tcW w:type="dxa" w:w="6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採用</w:t>
            </w:r>
          </w:p>
        </w:tc>
      </w:tr>
      <w:tr>
        <w:trPr>
          <w:cantSplit/>
          <w:tblHeader w:val="false"/>
        </w:trPr>
        <w:tc>
          <w:tcPr>
            <w:tcW w:type="dxa" w:w="19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SAP</w:t>
            </w:r>
          </w:p>
        </w:tc>
        <w:tc>
          <w:tcPr>
            <w:tcW w:type="dxa" w:w="20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1.55</w:t>
            </w:r>
          </w:p>
        </w:tc>
        <w:tc>
          <w:tcPr>
            <w:tcW w:type="dxa" w:w="523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同上</w:t>
            </w:r>
          </w:p>
        </w:tc>
        <w:tc>
          <w:tcPr>
            <w:tcW w:type="dxa" w:w="6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採用</w:t>
            </w:r>
          </w:p>
        </w:tc>
      </w:tr>
      <w:tr>
        <w:trPr>
          <w:cantSplit/>
          <w:tblHeader w:val="false"/>
        </w:trPr>
        <w:tc>
          <w:tcPr>
            <w:tcW w:type="dxa" w:w="19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Meta</w:t>
            </w:r>
          </w:p>
        </w:tc>
        <w:tc>
          <w:tcPr>
            <w:tcW w:type="dxa" w:w="20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1.24</w:t>
            </w:r>
          </w:p>
        </w:tc>
        <w:tc>
          <w:tcPr>
            <w:tcW w:type="dxa" w:w="523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Stockopedia(掲載日不明)</w:t>
            </w:r>
          </w:p>
        </w:tc>
        <w:tc>
          <w:tcPr>
            <w:tcW w:type="dxa" w:w="6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採用</w:t>
            </w:r>
          </w:p>
        </w:tc>
      </w:tr>
      <w:tr>
        <w:trPr>
          <w:cantSplit/>
          <w:tblHeader w:val="false"/>
        </w:trPr>
        <w:tc>
          <w:tcPr>
            <w:tcW w:type="dxa" w:w="19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Alphabet</w:t>
            </w:r>
          </w:p>
        </w:tc>
        <w:tc>
          <w:tcPr>
            <w:tcW w:type="dxa" w:w="20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0.58</w:t>
            </w:r>
          </w:p>
        </w:tc>
        <w:tc>
          <w:tcPr>
            <w:tcW w:type="dxa" w:w="523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FullRatio(2026-06。成長率の基準が他と不整合)</w:t>
            </w:r>
          </w:p>
        </w:tc>
        <w:tc>
          <w:tcPr>
            <w:tcW w:type="dxa" w:w="6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不採用</w:t>
            </w:r>
          </w:p>
        </w:tc>
      </w:tr>
      <w:tr>
        <w:trPr>
          <w:cantSplit/>
          <w:tblHeader w:val="false"/>
        </w:trPr>
        <w:tc>
          <w:tcPr>
            <w:tcW w:type="dxa" w:w="19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IBM</w:t>
            </w:r>
          </w:p>
        </w:tc>
        <w:tc>
          <w:tcPr>
            <w:tcW w:type="dxa" w:w="20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2.42</w:t>
            </w:r>
          </w:p>
        </w:tc>
        <w:tc>
          <w:tcPr>
            <w:tcW w:type="dxa" w:w="523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GuruFocus(5年 EBITDA 成長ベースで EPS ではない)</w:t>
            </w:r>
          </w:p>
        </w:tc>
        <w:tc>
          <w:tcPr>
            <w:tcW w:type="dxa" w:w="6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不採用</w:t>
            </w:r>
          </w:p>
        </w:tc>
      </w:tr>
      <w:tr>
        <w:trPr>
          <w:cantSplit/>
          <w:tblHeader w:val="false"/>
        </w:trPr>
        <w:tc>
          <w:tcPr>
            <w:tcW w:type="dxa" w:w="19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CoreWeave・Nebius</w:t>
            </w:r>
          </w:p>
        </w:tc>
        <w:tc>
          <w:tcPr>
            <w:tcW w:type="dxa" w:w="20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算出不能(赤字)</w:t>
            </w:r>
          </w:p>
        </w:tc>
        <w:tc>
          <w:tcPr>
            <w:tcW w:type="dxa" w:w="523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Seeking Alpha</w:t>
            </w:r>
          </w:p>
        </w:tc>
        <w:tc>
          <w:tcPr>
            <w:tcW w:type="dxa" w:w="6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r>
    </w:tbl>
    <w:p>
      <w:pPr>
        <w:spacing w:after="80"/>
      </w:pPr>
    </w:p>
    <w:p>
      <w:pPr>
        <w:spacing w:after="120" w:line="300"/>
      </w:pPr>
      <w:r>
        <w:rPr>
          <w:rFonts w:ascii="Arial" w:cs="Arial" w:eastAsia="Yu Gothic" w:hAnsi="Arial"/>
          <w:sz w:val="20"/>
          <w:szCs w:val="20"/>
        </w:rPr>
        <w:t xml:space="preserve">採用3社のレンジは 1.24〜1.60 で、資本軽量型のプラットフォームの実勢を示す。Oracle の価値の 74% はコア事業(SOTP)で、ここにはこの倍率がよく当てはまる。一方、EPS の伸びの大半(FY27 → FY32 の営業増益の約4分の3)は、同じ倍率の当てはまらない AI 容量から生まれる。AI 容量の同業(ネオクラウド)は赤字で PEG を持たない。</w:t>
      </w:r>
      <w:r>
        <w:rPr>
          <w:rFonts w:ascii="Arial" w:cs="Arial" w:eastAsia="Yu Gothic" w:hAnsi="Arial"/>
          <w:b/>
          <w:bCs/>
          <w:sz w:val="20"/>
          <w:szCs w:val="20"/>
        </w:rPr>
        <w:t xml:space="preserve">経路 a は上限として 1.0〜1.3 を与える。</w:t>
      </w:r>
    </w:p>
    <w:p>
      <w:pPr>
        <w:pStyle w:val="Heading2"/>
      </w:pPr>
      <w:r>
        <w:rPr>
          <w:rFonts w:ascii="Arial" w:cs="Arial" w:eastAsia="Yu Gothic" w:hAnsi="Arial"/>
        </w:rPr>
        <w:t xml:space="preserve">9-2 経路 b: グロース慣行上の位置</w:t>
      </w:r>
    </w:p>
    <w:p>
      <w:pPr>
        <w:spacing w:after="120" w:line="300"/>
      </w:pPr>
      <w:r>
        <w:rPr>
          <w:rFonts w:ascii="Arial" w:cs="Arial" w:eastAsia="Yu Gothic" w:hAnsi="Arial"/>
          <w:sz w:val="20"/>
          <w:szCs w:val="20"/>
        </w:rPr>
        <w:t xml:space="preserve">PEG=1 を「成長と倍率が見合う」水準とする慣行(ピーター・リンチ)から出発する。解釈のアンカーは、1未満=市場評価が著しく低い、1〜1.5=一般・レガシー並み、1.5超=高評価(持続年数と質への信認が必要)である。Oracle の EPS 成長は、借入とリースで梃子を効かせた資本集約型の成長である。持続年数(CAP)も、コアは長いが AI は契約期間程度である。したがって高評価(1.5超)の根拠はなく、</w:t>
      </w:r>
      <w:r>
        <w:rPr>
          <w:rFonts w:ascii="Arial" w:cs="Arial" w:eastAsia="Yu Gothic" w:hAnsi="Arial"/>
          <w:b/>
          <w:bCs/>
          <w:sz w:val="20"/>
          <w:szCs w:val="20"/>
        </w:rPr>
        <w:t xml:space="preserve">経路 b は 0.9〜1.0</w:t>
      </w:r>
      <w:r>
        <w:rPr>
          <w:rFonts w:ascii="Arial" w:cs="Arial" w:eastAsia="Yu Gothic" w:hAnsi="Arial"/>
          <w:sz w:val="20"/>
          <w:szCs w:val="20"/>
        </w:rPr>
        <w:t xml:space="preserve">(一般水準の下端)を与える。</w:t>
      </w:r>
    </w:p>
    <w:p>
      <w:pPr>
        <w:pStyle w:val="Heading2"/>
      </w:pPr>
      <w:r>
        <w:rPr>
          <w:rFonts w:ascii="Arial" w:cs="Arial" w:eastAsia="Yu Gothic" w:hAnsi="Arial"/>
        </w:rPr>
        <w:t xml:space="preserve">9-3 経路 c: 質とシナリオの因果</w:t>
      </w:r>
    </w:p>
    <w:p>
      <w:pPr>
        <w:spacing w:after="120" w:line="300"/>
      </w:pPr>
      <w:r>
        <w:rPr>
          <w:rFonts w:ascii="Arial" w:cs="Arial" w:eastAsia="Yu Gothic" w:hAnsi="Arial"/>
          <w:sz w:val="20"/>
          <w:szCs w:val="20"/>
        </w:rPr>
        <w:t xml:space="preserve">構造評価 B の出発点 1.0〜1.3 から、事業本体の質で調整する。</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3"/>
        <w:gridCol w:w="593"/>
        <w:gridCol w:w="726"/>
        <w:gridCol w:w="5564"/>
      </w:tblGrid>
      <w:tr>
        <w:trPr>
          <w:cantSplit/>
          <w:tblHeader/>
        </w:trPr>
        <w:tc>
          <w:tcPr>
            <w:tcW w:type="dxa" w:w="302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調整要因</w:t>
            </w:r>
          </w:p>
        </w:tc>
        <w:tc>
          <w:tcPr>
            <w:tcW w:type="dxa" w:w="59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方向</w:t>
            </w:r>
          </w:p>
        </w:tc>
        <w:tc>
          <w:tcPr>
            <w:tcW w:type="dxa" w:w="72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大きさ</w:t>
            </w:r>
          </w:p>
        </w:tc>
        <w:tc>
          <w:tcPr>
            <w:tcW w:type="dxa" w:w="556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根拠</w:t>
            </w:r>
          </w:p>
        </w:tc>
      </w:tr>
      <w:tr>
        <w:trPr>
          <w:cantSplit/>
          <w:tblHeader w:val="false"/>
        </w:trPr>
        <w:tc>
          <w:tcPr>
            <w:tcW w:type="dxa" w:w="302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競争優位期間(CAP)</w:t>
            </w:r>
          </w:p>
        </w:tc>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72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−0.10</w:t>
            </w:r>
          </w:p>
        </w:tc>
        <w:tc>
          <w:tcPr>
            <w:tcW w:type="dxa" w:w="5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コアは 10〜15年、AI は 3〜6年。加重 7〜9年で、純粋なソフトより短い</w:t>
            </w:r>
          </w:p>
        </w:tc>
      </w:tr>
      <w:tr>
        <w:trPr>
          <w:cantSplit/>
          <w:tblHeader w:val="false"/>
        </w:trPr>
        <w:tc>
          <w:tcPr>
            <w:tcW w:type="dxa" w:w="302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自己強化ループの強さ</w:t>
            </w:r>
          </w:p>
        </w:tc>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72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−0.05</w:t>
            </w:r>
          </w:p>
        </w:tc>
        <w:tc>
          <w:tcPr>
            <w:tcW w:type="dxa" w:w="5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R1(成長)は作動しているが、現在は B1(資本・格付けの均衡ループ)が支配的</w:t>
            </w:r>
          </w:p>
        </w:tc>
      </w:tr>
      <w:tr>
        <w:trPr>
          <w:cantSplit/>
          <w:tblHeader w:val="false"/>
        </w:trPr>
        <w:tc>
          <w:tcPr>
            <w:tcW w:type="dxa" w:w="302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ストック収益比率</w:t>
            </w:r>
          </w:p>
        </w:tc>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72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+0.05</w:t>
            </w:r>
          </w:p>
        </w:tc>
        <w:tc>
          <w:tcPr>
            <w:tcW w:type="dxa" w:w="5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FY27 売上の約8割が契約済み・習慣的</w:t>
            </w:r>
          </w:p>
        </w:tc>
      </w:tr>
      <w:tr>
        <w:trPr>
          <w:cantSplit/>
          <w:tblHeader w:val="false"/>
        </w:trPr>
        <w:tc>
          <w:tcPr>
            <w:tcW w:type="dxa" w:w="302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定常状態の利益率 &gt; 報告値</w:t>
            </w:r>
          </w:p>
        </w:tc>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72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+0.05</w:t>
            </w:r>
          </w:p>
        </w:tc>
        <w:tc>
          <w:tcPr>
            <w:tcW w:type="dxa" w:w="5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立上げ費用で FY27 EPS が約 $0.85 押し下げられている(Jカーブ)</w:t>
            </w:r>
          </w:p>
        </w:tc>
      </w:tr>
      <w:tr>
        <w:trPr>
          <w:cantSplit/>
          <w:tblHeader w:val="false"/>
        </w:trPr>
        <w:tc>
          <w:tcPr>
            <w:tcW w:type="dxa" w:w="302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非対称性(凸性)</w:t>
            </w:r>
          </w:p>
        </w:tc>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72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−0.10</w:t>
            </w:r>
          </w:p>
        </w:tc>
        <w:tc>
          <w:tcPr>
            <w:tcW w:type="dxa" w:w="5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弱気 −40% 対 強気 +36%。レバレッジにより下値が限定されない</w:t>
            </w:r>
          </w:p>
        </w:tc>
      </w:tr>
      <w:tr>
        <w:trPr>
          <w:cantSplit/>
          <w:tblHeader w:val="false"/>
        </w:trPr>
        <w:tc>
          <w:tcPr>
            <w:tcW w:type="dxa" w:w="302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下振れ機構(集中・期間差)</w:t>
            </w:r>
          </w:p>
        </w:tc>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72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−0.10</w:t>
            </w:r>
          </w:p>
        </w:tc>
        <w:tc>
          <w:tcPr>
            <w:tcW w:type="dxa" w:w="5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OpenAI 不払いで −$16〜−25/株、リースの期間差 9〜14年</w:t>
            </w:r>
          </w:p>
        </w:tc>
      </w:tr>
      <w:tr>
        <w:trPr>
          <w:cantSplit/>
          <w:tblHeader w:val="false"/>
        </w:trPr>
        <w:tc>
          <w:tcPr>
            <w:tcW w:type="dxa" w:w="302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資本集約度</w:t>
            </w:r>
          </w:p>
        </w:tc>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72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−0.15</w:t>
            </w:r>
          </w:p>
        </w:tc>
        <w:tc>
          <w:tcPr>
            <w:tcW w:type="dxa" w:w="5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1GW あたり $250億、FY27 の純現金 capex は $700億。増益に資本が要る</w:t>
            </w:r>
          </w:p>
        </w:tc>
      </w:tr>
      <w:tr>
        <w:trPr>
          <w:cantSplit/>
          <w:tblHeader w:val="false"/>
        </w:trPr>
        <w:tc>
          <w:tcPr>
            <w:tcW w:type="dxa" w:w="302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合計</w:t>
            </w:r>
          </w:p>
        </w:tc>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
            </w:r>
          </w:p>
        </w:tc>
        <w:tc>
          <w:tcPr>
            <w:tcW w:type="dxa" w:w="72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−0.40</w:t>
            </w:r>
          </w:p>
        </w:tc>
        <w:tc>
          <w:tcPr>
            <w:tcW w:type="dxa" w:w="5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 </w:t>
            </w:r>
            <w:r>
              <w:rPr>
                <w:rFonts w:ascii="Arial" w:cs="Arial" w:eastAsia="Yu Gothic" w:hAnsi="Arial"/>
                <w:color w:val="222222"/>
                <w:sz w:val="16"/>
                <w:szCs w:val="16"/>
              </w:rPr>
              <w:t xml:space="preserve">0.60〜0.90</w:t>
            </w:r>
          </w:p>
        </w:tc>
      </w:tr>
    </w:tbl>
    <w:p>
      <w:pPr>
        <w:spacing w:after="80"/>
      </w:pPr>
    </w:p>
    <w:p>
      <w:pPr>
        <w:pStyle w:val="Heading2"/>
      </w:pPr>
      <w:r>
        <w:rPr>
          <w:rFonts w:ascii="Arial" w:cs="Arial" w:eastAsia="Yu Gothic" w:hAnsi="Arial"/>
        </w:rPr>
        <w:t xml:space="preserve">9-4 収束と採用値</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7"/>
        <w:gridCol w:w="1303"/>
        <w:gridCol w:w="5996"/>
      </w:tblGrid>
      <w:tr>
        <w:trPr>
          <w:cantSplit/>
          <w:tblHeader/>
        </w:trPr>
        <w:tc>
          <w:tcPr>
            <w:tcW w:type="dxa" w:w="260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経路</w:t>
            </w:r>
          </w:p>
        </w:tc>
        <w:tc>
          <w:tcPr>
            <w:tcW w:type="dxa" w:w="130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レンジ</w:t>
            </w:r>
          </w:p>
        </w:tc>
        <w:tc>
          <w:tcPr>
            <w:tcW w:type="dxa" w:w="599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位置づけ</w:t>
            </w:r>
          </w:p>
        </w:tc>
      </w:tr>
      <w:tr>
        <w:trPr>
          <w:cantSplit/>
          <w:tblHeader w:val="false"/>
        </w:trPr>
        <w:tc>
          <w:tcPr>
            <w:tcW w:type="dxa" w:w="260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 ピア実勢</w:t>
            </w:r>
          </w:p>
        </w:tc>
        <w:tc>
          <w:tcPr>
            <w:tcW w:type="dxa" w:w="130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1.0〜1.3</w:t>
            </w:r>
          </w:p>
        </w:tc>
        <w:tc>
          <w:tcPr>
            <w:tcW w:type="dxa" w:w="59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資本軽量型のバイアスを含む上限</w:t>
            </w:r>
          </w:p>
        </w:tc>
      </w:tr>
      <w:tr>
        <w:trPr>
          <w:cantSplit/>
          <w:tblHeader w:val="false"/>
        </w:trPr>
        <w:tc>
          <w:tcPr>
            <w:tcW w:type="dxa" w:w="260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 慣行上の位置</w:t>
            </w:r>
          </w:p>
        </w:tc>
        <w:tc>
          <w:tcPr>
            <w:tcW w:type="dxa" w:w="130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0.9〜1.0</w:t>
            </w:r>
          </w:p>
        </w:tc>
        <w:tc>
          <w:tcPr>
            <w:tcW w:type="dxa" w:w="59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上限の目安</w:t>
            </w:r>
          </w:p>
        </w:tc>
      </w:tr>
      <w:tr>
        <w:trPr>
          <w:cantSplit/>
          <w:tblHeader w:val="false"/>
        </w:trPr>
        <w:tc>
          <w:tcPr>
            <w:tcW w:type="dxa" w:w="260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 質・シナリオの因果</w:t>
            </w:r>
          </w:p>
        </w:tc>
        <w:tc>
          <w:tcPr>
            <w:tcW w:type="dxa" w:w="130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0.6〜0.9</w:t>
            </w:r>
          </w:p>
        </w:tc>
        <w:tc>
          <w:tcPr>
            <w:tcW w:type="dxa" w:w="59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事業本体(資本集約・集中)と最も整合する</w:t>
            </w:r>
          </w:p>
        </w:tc>
      </w:tr>
      <w:tr>
        <w:trPr>
          <w:cantSplit/>
          <w:tblHeader w:val="false"/>
        </w:trPr>
        <w:tc>
          <w:tcPr>
            <w:tcW w:type="dxa" w:w="260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採用(FY27)</w:t>
            </w:r>
          </w:p>
        </w:tc>
        <w:tc>
          <w:tcPr>
            <w:tcW w:type="dxa" w:w="130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0.80〜0.95</w:t>
            </w:r>
          </w:p>
        </w:tc>
        <w:tc>
          <w:tcPr>
            <w:tcW w:type="dxa" w:w="59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 の上半分(0.75〜0.9)と b の下端(0.9)の間に置いた判断。SOTP(資本を明示的に引く評価)の $140 が、事業エンジン経路の PEG 0.92 に相当することとも整合する</w:t>
            </w:r>
          </w:p>
        </w:tc>
      </w:tr>
    </w:tbl>
    <w:p>
      <w:pPr>
        <w:spacing w:after="80"/>
      </w:pPr>
    </w:p>
    <w:p>
      <w:pPr>
        <w:spacing w:after="120" w:line="300"/>
      </w:pPr>
      <w:r>
        <w:rPr>
          <w:rFonts w:ascii="Arial" w:cs="Arial" w:eastAsia="Yu Gothic" w:hAnsi="Arial"/>
          <w:sz w:val="20"/>
          <w:szCs w:val="20"/>
        </w:rPr>
        <w:t xml:space="preserve">3経路は一点には収束しない。a は資本の量を映さないため、事業本体(資本集約型の AI 容量)と最も整合する c を主にし、b を上限、a を参考上限とした。</w:t>
      </w:r>
    </w:p>
    <w:p>
      <w:pPr>
        <w:spacing w:after="120" w:line="300"/>
      </w:pPr>
      <w:r>
        <w:rPr>
          <w:rFonts w:ascii="Arial" w:cs="Arial" w:eastAsia="Yu Gothic" w:hAnsi="Arial"/>
          <w:b/>
          <w:bCs/>
          <w:sz w:val="20"/>
          <w:szCs w:val="20"/>
        </w:rPr>
        <w:t xml:space="preserve">PEG 水準の解釈:</w:t>
      </w:r>
      <w:r>
        <w:rPr>
          <w:rFonts w:ascii="Arial" w:cs="Arial" w:eastAsia="Yu Gothic" w:hAnsi="Arial"/>
          <w:sz w:val="20"/>
          <w:szCs w:val="20"/>
        </w:rPr>
        <w:t xml:space="preserve"> 採用値 0.80〜0.95 は「1未満=市場評価が著しく低い」の帯に入る。ただし本報告書は、これを割安のシグナルとは読まない。資本集約度と顧客集中という構造に見合った倍率と読む。</w:t>
      </w:r>
    </w:p>
    <w:p>
      <w:pPr>
        <w:spacing w:after="120" w:line="300"/>
      </w:pPr>
      <w:r>
        <w:rPr>
          <w:rFonts w:ascii="Arial" w:cs="Arial" w:eastAsia="Yu Gothic" w:hAnsi="Arial"/>
          <w:b/>
          <w:bCs/>
          <w:sz w:val="20"/>
          <w:szCs w:val="20"/>
        </w:rPr>
        <w:t xml:space="preserve">年度別 PEG(狭いレンジ、全年度同一値にしない):</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8"/>
        <w:gridCol w:w="1769"/>
        <w:gridCol w:w="7429"/>
      </w:tblGrid>
      <w:tr>
        <w:trPr>
          <w:cantSplit/>
          <w:tblHeader/>
        </w:trPr>
        <w:tc>
          <w:tcPr>
            <w:tcW w:type="dxa" w:w="70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年度</w:t>
            </w:r>
          </w:p>
        </w:tc>
        <w:tc>
          <w:tcPr>
            <w:tcW w:type="dxa" w:w="176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PEG</w:t>
            </w:r>
          </w:p>
        </w:tc>
        <w:tc>
          <w:tcPr>
            <w:tcW w:type="dxa" w:w="742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根拠</w:t>
            </w:r>
          </w:p>
        </w:tc>
      </w:tr>
      <w:tr>
        <w:trPr>
          <w:cantSplit/>
          <w:tblHeader w:val="false"/>
        </w:trPr>
        <w:tc>
          <w:tcPr>
            <w:tcW w:type="dxa" w:w="7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FY27</w:t>
            </w:r>
          </w:p>
        </w:tc>
        <w:tc>
          <w:tcPr>
            <w:tcW w:type="dxa" w:w="17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0.80〜0.95</w:t>
            </w:r>
          </w:p>
        </w:tc>
        <w:tc>
          <w:tcPr>
            <w:tcW w:type="dxa" w:w="74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建設・立上げ期(S2)。資本集約が最大</w:t>
            </w:r>
          </w:p>
        </w:tc>
      </w:tr>
      <w:tr>
        <w:trPr>
          <w:cantSplit/>
          <w:tblHeader w:val="false"/>
        </w:trPr>
        <w:tc>
          <w:tcPr>
            <w:tcW w:type="dxa" w:w="7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FY28</w:t>
            </w:r>
          </w:p>
        </w:tc>
        <w:tc>
          <w:tcPr>
            <w:tcW w:type="dxa" w:w="17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0.85〜1.00</w:t>
            </w:r>
          </w:p>
        </w:tc>
        <w:tc>
          <w:tcPr>
            <w:tcW w:type="dxa" w:w="74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OpenAI 契約が開始し、集中は残る</w:t>
            </w:r>
          </w:p>
        </w:tc>
      </w:tr>
      <w:tr>
        <w:trPr>
          <w:cantSplit/>
          <w:tblHeader w:val="false"/>
        </w:trPr>
        <w:tc>
          <w:tcPr>
            <w:tcW w:type="dxa" w:w="7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FY29</w:t>
            </w:r>
          </w:p>
        </w:tc>
        <w:tc>
          <w:tcPr>
            <w:tcW w:type="dxa" w:w="17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0.90〜1.05</w:t>
            </w:r>
          </w:p>
        </w:tc>
        <w:tc>
          <w:tcPr>
            <w:tcW w:type="dxa" w:w="74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稼働・回収期(S3)へ移行。FCF が均衡に近づく</w:t>
            </w:r>
          </w:p>
        </w:tc>
      </w:tr>
      <w:tr>
        <w:trPr>
          <w:cantSplit/>
          <w:tblHeader w:val="false"/>
        </w:trPr>
        <w:tc>
          <w:tcPr>
            <w:tcW w:type="dxa" w:w="7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FY30</w:t>
            </w:r>
          </w:p>
        </w:tc>
        <w:tc>
          <w:tcPr>
            <w:tcW w:type="dxa" w:w="17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0.95〜1.10</w:t>
            </w:r>
          </w:p>
        </w:tc>
        <w:tc>
          <w:tcPr>
            <w:tcW w:type="dxa" w:w="74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capex ÷ 売上が低下し、ストック比率が最大</w:t>
            </w:r>
          </w:p>
        </w:tc>
      </w:tr>
      <w:tr>
        <w:trPr>
          <w:cantSplit/>
          <w:tblHeader w:val="false"/>
        </w:trPr>
        <w:tc>
          <w:tcPr>
            <w:tcW w:type="dxa" w:w="7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FY31</w:t>
            </w:r>
          </w:p>
        </w:tc>
        <w:tc>
          <w:tcPr>
            <w:tcW w:type="dxa" w:w="17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1.00〜1.15</w:t>
            </w:r>
          </w:p>
        </w:tc>
        <w:tc>
          <w:tcPr>
            <w:tcW w:type="dxa" w:w="74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更新・再契約期(S4)の入口</w:t>
            </w:r>
          </w:p>
        </w:tc>
      </w:tr>
      <w:tr>
        <w:trPr>
          <w:cantSplit/>
          <w:tblHeader w:val="false"/>
        </w:trPr>
        <w:tc>
          <w:tcPr>
            <w:tcW w:type="dxa" w:w="7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FY32</w:t>
            </w:r>
          </w:p>
        </w:tc>
        <w:tc>
          <w:tcPr>
            <w:tcW w:type="dxa" w:w="17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1.00〜1.20</w:t>
            </w:r>
          </w:p>
        </w:tc>
        <w:tc>
          <w:tcPr>
            <w:tcW w:type="dxa" w:w="74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芯①の確定で上下に振れる</w:t>
            </w:r>
          </w:p>
        </w:tc>
      </w:tr>
    </w:tbl>
    <w:p>
      <w:pPr>
        <w:spacing w:after="80"/>
      </w:pPr>
    </w:p>
    <w:p>
      <w:pPr>
        <w:spacing w:after="120" w:line="300"/>
      </w:pPr>
      <w:r>
        <w:rPr>
          <w:rFonts w:ascii="Arial" w:cs="Arial" w:eastAsia="Yu Gothic" w:hAnsi="Arial"/>
          <w:sz w:val="20"/>
          <w:szCs w:val="20"/>
        </w:rPr>
        <w:t xml:space="preserve">5年 CAGR が 15% を下回る年度は PEG が線形性を失う。そのため、成熟したコアと設備型インフラの PER の下限 14倍を床として併用する。</w:t>
      </w:r>
    </w:p>
    <w:p>
      <w:r>
        <w:br w:type="page"/>
      </w:r>
    </w:p>
    <w:p>
      <w:pPr>
        <w:pStyle w:val="Heading1"/>
      </w:pPr>
      <w:r>
        <w:rPr>
          <w:rFonts w:ascii="Arial" w:cs="Arial" w:eastAsia="Yu Gothic" w:hAnsi="Arial"/>
        </w:rPr>
        <w:t xml:space="preserve">10. 年度別バリュエーションと最終判断 — 採用する事業エンジン経路の目標株価は $134(−5%)で、SOTP の $140 と整合し、2軸マトリクスは「監視」を示す</w:t>
      </w:r>
    </w:p>
    <w:p>
      <w:pPr>
        <w:pStyle w:val="Heading2"/>
      </w:pPr>
      <w:r>
        <w:rPr>
          <w:rFonts w:ascii="Arial" w:cs="Arial" w:eastAsia="Yu Gothic" w:hAnsi="Arial"/>
        </w:rPr>
        <w:t xml:space="preserve">10-1 事業実態EPS の導出(基準EPS)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4"/>
        <w:gridCol w:w="950"/>
        <w:gridCol w:w="3121"/>
        <w:gridCol w:w="3121"/>
      </w:tblGrid>
      <w:tr>
        <w:trPr>
          <w:cantSplit/>
          <w:tblHeader/>
        </w:trPr>
        <w:tc>
          <w:tcPr>
            <w:tcW w:type="dxa" w:w="271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段階</w:t>
            </w:r>
          </w:p>
        </w:tc>
        <w:tc>
          <w:tcPr>
            <w:tcW w:type="dxa" w:w="95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FY26 実績</w:t>
            </w:r>
          </w:p>
        </w:tc>
        <w:tc>
          <w:tcPr>
            <w:tcW w:type="dxa" w:w="312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FY27 基準</w:t>
            </w:r>
          </w:p>
        </w:tc>
        <w:tc>
          <w:tcPr>
            <w:tcW w:type="dxa" w:w="312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内容</w:t>
            </w:r>
          </w:p>
        </w:tc>
      </w:tr>
      <w:tr>
        <w:trPr>
          <w:cantSplit/>
          <w:tblHeader w:val="false"/>
        </w:trPr>
        <w:tc>
          <w:tcPr>
            <w:tcW w:type="dxa" w:w="271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報告 非GAAP EPS</w:t>
            </w:r>
          </w:p>
        </w:tc>
        <w:tc>
          <w:tcPr>
            <w:tcW w:type="dxa" w:w="9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$7.631</w:t>
            </w:r>
          </w:p>
        </w:tc>
        <w:tc>
          <w:tcPr>
            <w:tcW w:type="dxa" w:w="31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$8.10(会社ガイダンス)</w:t>
            </w:r>
          </w:p>
        </w:tc>
        <w:tc>
          <w:tcPr>
            <w:tcW w:type="dxa" w:w="31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定義: 希薄化後・非GAAP(SBC・買収無形資産の償却・リストラ費用を除く)</w:t>
            </w:r>
          </w:p>
        </w:tc>
      </w:tr>
      <w:tr>
        <w:trPr>
          <w:cantSplit/>
          <w:tblHeader w:val="false"/>
        </w:trPr>
        <w:tc>
          <w:tcPr>
            <w:tcW w:type="dxa" w:w="271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一時要因の除外</w:t>
            </w:r>
          </w:p>
        </w:tc>
        <w:tc>
          <w:tcPr>
            <w:tcW w:type="dxa" w:w="9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−$0.80 → $6.83</w:t>
            </w:r>
          </w:p>
        </w:tc>
        <w:tc>
          <w:tcPr>
            <w:tcW w:type="dxa" w:w="31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31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Ampere 売却益 $27億(税引前、Q2 FY26、約 $0.72)、投資益(Bloom ワラント関連と推定、Q4 FY26、$0.08)</w:t>
            </w:r>
          </w:p>
        </w:tc>
      </w:tr>
      <w:tr>
        <w:trPr>
          <w:cantSplit/>
          <w:tblHeader w:val="false"/>
        </w:trPr>
        <w:tc>
          <w:tcPr>
            <w:tcW w:type="dxa" w:w="271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SBC の控除(下方補正)</w:t>
            </w:r>
          </w:p>
        </w:tc>
        <w:tc>
          <w:tcPr>
            <w:tcW w:type="dxa" w:w="9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−$1.32 → </w:t>
            </w:r>
            <w:r>
              <w:rPr>
                <w:rFonts w:ascii="Arial" w:cs="Arial" w:eastAsia="Yu Gothic" w:hAnsi="Arial"/>
                <w:color w:val="222222"/>
                <w:sz w:val="16"/>
                <w:szCs w:val="16"/>
              </w:rPr>
              <w:t xml:space="preserve">$5.51</w:t>
            </w:r>
          </w:p>
        </w:tc>
        <w:tc>
          <w:tcPr>
            <w:tcW w:type="dxa" w:w="31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−$1.215 → </w:t>
            </w:r>
            <w:r>
              <w:rPr>
                <w:rFonts w:ascii="Arial" w:cs="Arial" w:eastAsia="Yu Gothic" w:hAnsi="Arial"/>
                <w:color w:val="222222"/>
                <w:sz w:val="16"/>
                <w:szCs w:val="16"/>
              </w:rPr>
              <w:t xml:space="preserve">$6.885</w:t>
            </w:r>
          </w:p>
        </w:tc>
        <w:tc>
          <w:tcPr>
            <w:tcW w:type="dxa" w:w="31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SBC $48.1億(FY26)、約$46億(FY27E。Q1 $11.27億 × 4 = $45億に増加傾向を加味)× (1−20%) ÷ 株数</w:t>
            </w:r>
          </w:p>
        </w:tc>
      </w:tr>
      <w:tr>
        <w:trPr>
          <w:cantSplit/>
          <w:tblHeader w:val="false"/>
        </w:trPr>
        <w:tc>
          <w:tcPr>
            <w:tcW w:type="dxa" w:w="271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経済的耐用年数(上下両方向)</w:t>
            </w:r>
          </w:p>
        </w:tc>
        <w:tc>
          <w:tcPr>
            <w:tcW w:type="dxa" w:w="9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w:t>
            </w:r>
          </w:p>
        </w:tc>
        <w:tc>
          <w:tcPr>
            <w:tcW w:type="dxa" w:w="31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0(中立)</w:t>
            </w:r>
          </w:p>
        </w:tc>
        <w:tc>
          <w:tcPr>
            <w:tcW w:type="dxa" w:w="31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上方: 更新 +20%(残存価値)。下方: 4年償却なら −$1.71。証拠は上方寄りだが、2031年以降の不確実性で中立とする</w:t>
            </w:r>
          </w:p>
        </w:tc>
      </w:tr>
      <w:tr>
        <w:trPr>
          <w:cantSplit/>
          <w:tblHeader w:val="false"/>
        </w:trPr>
        <w:tc>
          <w:tcPr>
            <w:tcW w:type="dxa" w:w="271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立上げ費用(定常状態への補正、上方)</w:t>
            </w:r>
          </w:p>
        </w:tc>
        <w:tc>
          <w:tcPr>
            <w:tcW w:type="dxa" w:w="9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31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基準には入れず、定常状態 EPS として併記: +$0.85 → $7.73</w:t>
            </w:r>
          </w:p>
        </w:tc>
        <w:tc>
          <w:tcPr>
            <w:tcW w:type="dxa" w:w="31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の EBIT を 16% → 28% に戻す</w:t>
            </w:r>
          </w:p>
        </w:tc>
      </w:tr>
      <w:tr>
        <w:trPr>
          <w:cantSplit/>
          <w:tblHeader w:val="false"/>
        </w:trPr>
        <w:tc>
          <w:tcPr>
            <w:tcW w:type="dxa" w:w="271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前払いの金融要素</w:t>
            </w:r>
          </w:p>
        </w:tc>
        <w:tc>
          <w:tcPr>
            <w:tcW w:type="dxa" w:w="9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w:t>
            </w:r>
          </w:p>
        </w:tc>
        <w:tc>
          <w:tcPr>
            <w:tcW w:type="dxa" w:w="31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w:t>
            </w:r>
          </w:p>
        </w:tc>
        <w:tc>
          <w:tcPr>
            <w:tcW w:type="dxa" w:w="31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売上と支払利息が同額で増え、EPS には中立</w:t>
            </w:r>
          </w:p>
        </w:tc>
      </w:tr>
      <w:tr>
        <w:trPr>
          <w:cantSplit/>
          <w:tblHeader w:val="false"/>
        </w:trPr>
        <w:tc>
          <w:tcPr>
            <w:tcW w:type="dxa" w:w="271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基準EPS(事業実態EPS、会社ガイダンス基準)</w:t>
            </w:r>
          </w:p>
        </w:tc>
        <w:tc>
          <w:tcPr>
            <w:tcW w:type="dxa" w:w="9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$5.51</w:t>
            </w:r>
          </w:p>
        </w:tc>
        <w:tc>
          <w:tcPr>
            <w:tcW w:type="dxa" w:w="31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$6.885</w:t>
            </w:r>
          </w:p>
        </w:tc>
        <w:tc>
          <w:tcPr>
            <w:tcW w:type="dxa" w:w="31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採用経路(事業エンジン)の FY27 事業実態EPS は $6.93 で、差は 0.6%。各経路の目標株価は、それぞれの経路の FY27 EPS を使う</w:t>
            </w:r>
          </w:p>
        </w:tc>
      </w:tr>
    </w:tbl>
    <w:p>
      <w:pPr>
        <w:spacing w:after="80"/>
      </w:pPr>
    </w:p>
    <w:p>
      <w:pPr>
        <w:spacing w:after="120" w:line="300"/>
      </w:pPr>
      <w:r>
        <w:rPr>
          <w:rFonts w:ascii="Arial" w:cs="Arial" w:eastAsia="Yu Gothic" w:hAnsi="Arial"/>
          <w:b/>
          <w:bCs/>
          <w:sz w:val="20"/>
          <w:szCs w:val="20"/>
        </w:rPr>
        <w:t xml:space="preserve">EPS 品質フォレンジック(要点。詳細は Appendix B):</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9"/>
        <w:gridCol w:w="2058"/>
        <w:gridCol w:w="3216"/>
        <w:gridCol w:w="1029"/>
        <w:gridCol w:w="644"/>
      </w:tblGrid>
      <w:tr>
        <w:trPr>
          <w:cantSplit/>
          <w:tblHeader/>
        </w:trPr>
        <w:tc>
          <w:tcPr>
            <w:tcW w:type="dxa" w:w="295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期間</w:t>
            </w:r>
          </w:p>
        </w:tc>
        <w:tc>
          <w:tcPr>
            <w:tcW w:type="dxa" w:w="205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EPS の伸び(対数)</w:t>
            </w:r>
          </w:p>
        </w:tc>
        <w:tc>
          <w:tcPr>
            <w:tcW w:type="dxa" w:w="321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売上</w:t>
            </w:r>
          </w:p>
        </w:tc>
        <w:tc>
          <w:tcPr>
            <w:tcW w:type="dxa" w:w="102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純利益率</w:t>
            </w:r>
          </w:p>
        </w:tc>
        <w:tc>
          <w:tcPr>
            <w:tcW w:type="dxa" w:w="64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株数</w:t>
            </w:r>
          </w:p>
        </w:tc>
      </w:tr>
      <w:tr>
        <w:trPr>
          <w:cantSplit/>
          <w:tblHeader w:val="false"/>
        </w:trPr>
        <w:tc>
          <w:tcPr>
            <w:tcW w:type="dxa" w:w="295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FY25 → FY26(一時益除く)</w:t>
            </w:r>
          </w:p>
        </w:tc>
        <w:tc>
          <w:tcPr>
            <w:tcW w:type="dxa" w:w="20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+12.5%</w:t>
            </w:r>
          </w:p>
        </w:tc>
        <w:tc>
          <w:tcPr>
            <w:tcW w:type="dxa" w:w="32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+16.1%</w:t>
            </w:r>
          </w:p>
        </w:tc>
        <w:tc>
          <w:tcPr>
            <w:tcW w:type="dxa" w:w="10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−1.9%</w:t>
            </w:r>
          </w:p>
        </w:tc>
        <w:tc>
          <w:tcPr>
            <w:tcW w:type="dxa" w:w="64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−1.7%</w:t>
            </w:r>
          </w:p>
        </w:tc>
      </w:tr>
      <w:tr>
        <w:trPr>
          <w:cantSplit/>
          <w:tblHeader w:val="false"/>
        </w:trPr>
        <w:tc>
          <w:tcPr>
            <w:tcW w:type="dxa" w:w="295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FY26 → FY27(ガイダンス)</w:t>
            </w:r>
          </w:p>
        </w:tc>
        <w:tc>
          <w:tcPr>
            <w:tcW w:type="dxa" w:w="20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+17.1%</w:t>
            </w:r>
          </w:p>
        </w:tc>
        <w:tc>
          <w:tcPr>
            <w:tcW w:type="dxa" w:w="32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+28.9%(単純成長率 +33.5%)</w:t>
            </w:r>
          </w:p>
        </w:tc>
        <w:tc>
          <w:tcPr>
            <w:tcW w:type="dxa" w:w="102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−8.0%</w:t>
            </w:r>
          </w:p>
        </w:tc>
        <w:tc>
          <w:tcPr>
            <w:tcW w:type="dxa" w:w="64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−3.9%</w:t>
            </w:r>
          </w:p>
        </w:tc>
      </w:tr>
    </w:tbl>
    <w:p>
      <w:pPr>
        <w:spacing w:after="80"/>
      </w:pPr>
    </w:p>
    <w:p>
      <w:pPr>
        <w:pStyle w:val="ListParagraph"/>
        <w:numPr>
          <w:ilvl w:val="0"/>
          <w:numId w:val="3"/>
        </w:numPr>
        <w:spacing w:after="40" w:line="290"/>
      </w:pPr>
      <w:r>
        <w:rPr>
          <w:rFonts w:ascii="Arial" w:cs="Arial" w:eastAsia="Yu Gothic" w:hAnsi="Arial"/>
          <w:b/>
          <w:bCs/>
          <w:sz w:val="20"/>
          <w:szCs w:val="20"/>
        </w:rPr>
        <w:t xml:space="preserve">FY26 → FY27 の純利益率の低下要因:</w:t>
      </w:r>
      <w:r>
        <w:rPr>
          <w:rFonts w:ascii="Arial" w:cs="Arial" w:eastAsia="Yu Gothic" w:hAnsi="Arial"/>
          <w:sz w:val="20"/>
          <w:szCs w:val="20"/>
        </w:rPr>
        <w:t xml:space="preserve"> AI のミックス、支払利息、立上げ費用。</w:t>
      </w:r>
    </w:p>
    <w:p>
      <w:pPr>
        <w:pStyle w:val="ListParagraph"/>
        <w:numPr>
          <w:ilvl w:val="0"/>
          <w:numId w:val="3"/>
        </w:numPr>
        <w:spacing w:after="40" w:line="290"/>
      </w:pPr>
      <w:r>
        <w:rPr>
          <w:rFonts w:ascii="Arial" w:cs="Arial" w:eastAsia="Yu Gothic" w:hAnsi="Arial"/>
          <w:b/>
          <w:bCs/>
          <w:sz w:val="20"/>
          <w:szCs w:val="20"/>
        </w:rPr>
        <w:t xml:space="preserve">税率:</w:t>
      </w:r>
      <w:r>
        <w:rPr>
          <w:rFonts w:ascii="Arial" w:cs="Arial" w:eastAsia="Yu Gothic" w:hAnsi="Arial"/>
          <w:sz w:val="20"/>
          <w:szCs w:val="20"/>
        </w:rPr>
        <w:t xml:space="preserve"> 非GAAP 税率は約 20%(Q1 FY26 実績 20.5%)で、税による押し上げはない。</w:t>
      </w:r>
    </w:p>
    <w:p>
      <w:pPr>
        <w:pStyle w:val="ListParagraph"/>
        <w:numPr>
          <w:ilvl w:val="0"/>
          <w:numId w:val="3"/>
        </w:numPr>
        <w:spacing w:after="40" w:line="290"/>
      </w:pPr>
      <w:r>
        <w:rPr>
          <w:rFonts w:ascii="Arial" w:cs="Arial" w:eastAsia="Yu Gothic" w:hAnsi="Arial"/>
          <w:b/>
          <w:bCs/>
          <w:sz w:val="20"/>
          <w:szCs w:val="20"/>
        </w:rPr>
        <w:t xml:space="preserve">裁量費用:</w:t>
      </w:r>
      <w:r>
        <w:rPr>
          <w:rFonts w:ascii="Arial" w:cs="Arial" w:eastAsia="Yu Gothic" w:hAnsi="Arial"/>
          <w:sz w:val="20"/>
          <w:szCs w:val="20"/>
        </w:rPr>
        <w:t xml:space="preserve"> 営業費の対売上比が低下している。人員削減によるもので、成長投資を削っているのではない(R&amp;D・S&amp;M の内訳は未取得)。</w:t>
      </w:r>
    </w:p>
    <w:p>
      <w:pPr>
        <w:pStyle w:val="Heading2"/>
      </w:pPr>
      <w:r>
        <w:rPr>
          <w:rFonts w:ascii="Arial" w:cs="Arial" w:eastAsia="Yu Gothic" w:hAnsi="Arial"/>
        </w:rPr>
        <w:t xml:space="preserve">10-2 将来 EPS の経路(F13)と年度別適正株価</w:t>
      </w:r>
    </w:p>
    <w:p>
      <w:pPr>
        <w:keepNext/>
        <w:spacing w:after="40" w:before="80"/>
        <w:jc w:val="center"/>
      </w:pPr>
      <w:r>
        <w:drawing>
          <wp:inline distT="0" distB="0" distL="0" distR="0">
            <wp:extent cx="57912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91200" cy="3305175"/>
                    </a:xfrm>
                    <a:prstGeom prst="rect">
                      <a:avLst/>
                    </a:prstGeom>
                  </pic:spPr>
                </pic:pic>
              </a:graphicData>
            </a:graphic>
          </wp:inline>
        </w:drawing>
      </w:r>
    </w:p>
    <w:p>
      <w:pPr>
        <w:spacing w:after="160"/>
        <w:jc w:val="center"/>
      </w:pPr>
      <w:r>
        <w:rPr>
          <w:rFonts w:ascii="Arial" w:cs="Arial" w:eastAsia="Yu Gothic" w:hAnsi="Arial"/>
          <w:i/>
          <w:iCs/>
          <w:color w:val="5A6B7D"/>
          <w:sz w:val="17"/>
          <w:szCs w:val="17"/>
        </w:rPr>
        <w:t xml:space="preserve">図F13a 事業実態EPS の4経路(SBC 控除後、ドル/株)。FY26A は実績、コンセンサスの FY29 以降と会社シナリオの FY31 以降は延長値(出典: TickFlow・tickerleague のコンセンサス、Oracle 目標、本報告書の事業エンジン・モデル)</w:t>
      </w:r>
    </w:p>
    <w:p>
      <w:pPr>
        <w:spacing w:after="120" w:line="300"/>
      </w:pPr>
      <w:r>
        <w:rPr>
          <w:rFonts w:ascii="Arial" w:cs="Arial" w:eastAsia="Yu Gothic" w:hAnsi="Arial"/>
          <w:b/>
          <w:bCs/>
          <w:sz w:val="20"/>
          <w:szCs w:val="20"/>
        </w:rPr>
        <w:t xml:space="preserve">図F13 年度別評価テーブル(事業エンジン経路=採用):</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3"/>
        <w:gridCol w:w="1313"/>
        <w:gridCol w:w="1194"/>
        <w:gridCol w:w="1194"/>
        <w:gridCol w:w="2985"/>
        <w:gridCol w:w="2627"/>
      </w:tblGrid>
      <w:tr>
        <w:trPr>
          <w:cantSplit/>
          <w:tblHeader/>
        </w:trPr>
        <w:tc>
          <w:tcPr>
            <w:tcW w:type="dxa" w:w="59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年度</w:t>
            </w:r>
          </w:p>
        </w:tc>
        <w:tc>
          <w:tcPr>
            <w:tcW w:type="dxa" w:w="131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事業実態EPS</w:t>
            </w:r>
          </w:p>
        </w:tc>
        <w:tc>
          <w:tcPr>
            <w:tcW w:type="dxa" w:w="119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5年 CAGR g</w:t>
            </w:r>
          </w:p>
        </w:tc>
        <w:tc>
          <w:tcPr>
            <w:tcW w:type="dxa" w:w="119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PEG</w:t>
            </w:r>
          </w:p>
        </w:tc>
        <w:tc>
          <w:tcPr>
            <w:tcW w:type="dxa" w:w="298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妥当PER(=PEG×g、下限14倍)</w:t>
            </w:r>
          </w:p>
        </w:tc>
        <w:tc>
          <w:tcPr>
            <w:tcW w:type="dxa" w:w="262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適正株価(中央値)</w:t>
            </w:r>
          </w:p>
        </w:tc>
      </w:tr>
      <w:tr>
        <w:trPr>
          <w:cantSplit/>
          <w:tblHeader w:val="false"/>
        </w:trPr>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FY27</w:t>
            </w:r>
          </w:p>
        </w:tc>
        <w:tc>
          <w:tcPr>
            <w:tcW w:type="dxa" w:w="131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$6.93</w:t>
            </w:r>
          </w:p>
        </w:tc>
        <w:tc>
          <w:tcPr>
            <w:tcW w:type="dxa" w:w="11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22.1%</w:t>
            </w:r>
          </w:p>
        </w:tc>
        <w:tc>
          <w:tcPr>
            <w:tcW w:type="dxa" w:w="11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0.80〜0.95</w:t>
            </w:r>
          </w:p>
        </w:tc>
        <w:tc>
          <w:tcPr>
            <w:tcW w:type="dxa" w:w="298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17.7〜21.0倍</w:t>
            </w:r>
          </w:p>
        </w:tc>
        <w:tc>
          <w:tcPr>
            <w:tcW w:type="dxa" w:w="26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$134</w:t>
            </w:r>
            <w:r>
              <w:rPr>
                <w:rFonts w:ascii="Arial" w:cs="Arial" w:eastAsia="Yu Gothic" w:hAnsi="Arial"/>
                <w:color w:val="222222"/>
                <w:sz w:val="16"/>
                <w:szCs w:val="16"/>
              </w:rPr>
              <w:t xml:space="preserve">(レンジ $122〜145)</w:t>
            </w:r>
          </w:p>
        </w:tc>
      </w:tr>
      <w:tr>
        <w:trPr>
          <w:cantSplit/>
          <w:tblHeader w:val="false"/>
        </w:trPr>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FY28</w:t>
            </w:r>
          </w:p>
        </w:tc>
        <w:tc>
          <w:tcPr>
            <w:tcW w:type="dxa" w:w="131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$9.55</w:t>
            </w:r>
          </w:p>
        </w:tc>
        <w:tc>
          <w:tcPr>
            <w:tcW w:type="dxa" w:w="11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16.1%</w:t>
            </w:r>
          </w:p>
        </w:tc>
        <w:tc>
          <w:tcPr>
            <w:tcW w:type="dxa" w:w="11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0.85〜1.00</w:t>
            </w:r>
          </w:p>
        </w:tc>
        <w:tc>
          <w:tcPr>
            <w:tcW w:type="dxa" w:w="298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14.0〜16.1倍</w:t>
            </w:r>
          </w:p>
        </w:tc>
        <w:tc>
          <w:tcPr>
            <w:tcW w:type="dxa" w:w="26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$143($134〜153)</w:t>
            </w:r>
          </w:p>
        </w:tc>
      </w:tr>
      <w:tr>
        <w:trPr>
          <w:cantSplit/>
          <w:tblHeader w:val="false"/>
        </w:trPr>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FY29</w:t>
            </w:r>
          </w:p>
        </w:tc>
        <w:tc>
          <w:tcPr>
            <w:tcW w:type="dxa" w:w="131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$12.54</w:t>
            </w:r>
          </w:p>
        </w:tc>
        <w:tc>
          <w:tcPr>
            <w:tcW w:type="dxa" w:w="11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11.2%</w:t>
            </w:r>
          </w:p>
        </w:tc>
        <w:tc>
          <w:tcPr>
            <w:tcW w:type="dxa" w:w="11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0.90〜1.05</w:t>
            </w:r>
          </w:p>
        </w:tc>
        <w:tc>
          <w:tcPr>
            <w:tcW w:type="dxa" w:w="298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14.0倍(下限)</w:t>
            </w:r>
          </w:p>
        </w:tc>
        <w:tc>
          <w:tcPr>
            <w:tcW w:type="dxa" w:w="26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$176</w:t>
            </w:r>
          </w:p>
        </w:tc>
      </w:tr>
      <w:tr>
        <w:trPr>
          <w:cantSplit/>
          <w:tblHeader w:val="false"/>
        </w:trPr>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FY30</w:t>
            </w:r>
          </w:p>
        </w:tc>
        <w:tc>
          <w:tcPr>
            <w:tcW w:type="dxa" w:w="131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$15.49</w:t>
            </w:r>
          </w:p>
        </w:tc>
        <w:tc>
          <w:tcPr>
            <w:tcW w:type="dxa" w:w="11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7.6%</w:t>
            </w:r>
          </w:p>
        </w:tc>
        <w:tc>
          <w:tcPr>
            <w:tcW w:type="dxa" w:w="11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0.95〜1.10</w:t>
            </w:r>
          </w:p>
        </w:tc>
        <w:tc>
          <w:tcPr>
            <w:tcW w:type="dxa" w:w="298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14.0倍(下限)</w:t>
            </w:r>
          </w:p>
        </w:tc>
        <w:tc>
          <w:tcPr>
            <w:tcW w:type="dxa" w:w="26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$217</w:t>
            </w:r>
          </w:p>
        </w:tc>
      </w:tr>
      <w:tr>
        <w:trPr>
          <w:cantSplit/>
          <w:tblHeader w:val="false"/>
        </w:trPr>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FY31</w:t>
            </w:r>
          </w:p>
        </w:tc>
        <w:tc>
          <w:tcPr>
            <w:tcW w:type="dxa" w:w="131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$17.44</w:t>
            </w:r>
          </w:p>
        </w:tc>
        <w:tc>
          <w:tcPr>
            <w:tcW w:type="dxa" w:w="11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6.1%</w:t>
            </w:r>
          </w:p>
        </w:tc>
        <w:tc>
          <w:tcPr>
            <w:tcW w:type="dxa" w:w="11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1.00〜1.15</w:t>
            </w:r>
          </w:p>
        </w:tc>
        <w:tc>
          <w:tcPr>
            <w:tcW w:type="dxa" w:w="298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14.0倍(下限)</w:t>
            </w:r>
          </w:p>
        </w:tc>
        <w:tc>
          <w:tcPr>
            <w:tcW w:type="dxa" w:w="26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$244</w:t>
            </w:r>
          </w:p>
        </w:tc>
      </w:tr>
      <w:tr>
        <w:trPr>
          <w:cantSplit/>
          <w:tblHeader w:val="false"/>
        </w:trPr>
        <w:tc>
          <w:tcPr>
            <w:tcW w:type="dxa" w:w="59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FY32</w:t>
            </w:r>
          </w:p>
        </w:tc>
        <w:tc>
          <w:tcPr>
            <w:tcW w:type="dxa" w:w="131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$18.78</w:t>
            </w:r>
          </w:p>
        </w:tc>
        <w:tc>
          <w:tcPr>
            <w:tcW w:type="dxa" w:w="11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5.4%</w:t>
            </w:r>
          </w:p>
        </w:tc>
        <w:tc>
          <w:tcPr>
            <w:tcW w:type="dxa" w:w="11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1.00〜1.20</w:t>
            </w:r>
          </w:p>
        </w:tc>
        <w:tc>
          <w:tcPr>
            <w:tcW w:type="dxa" w:w="298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14.0倍(下限)</w:t>
            </w:r>
          </w:p>
        </w:tc>
        <w:tc>
          <w:tcPr>
            <w:tcW w:type="dxa" w:w="26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$263</w:t>
            </w:r>
          </w:p>
        </w:tc>
      </w:tr>
    </w:tbl>
    <w:p>
      <w:pPr>
        <w:spacing w:after="80"/>
      </w:pPr>
    </w:p>
    <w:p>
      <w:pPr>
        <w:spacing w:after="120" w:line="300"/>
      </w:pPr>
      <w:r>
        <w:rPr>
          <w:rFonts w:ascii="Arial" w:cs="Arial" w:eastAsia="Yu Gothic" w:hAnsi="Arial"/>
          <w:b/>
          <w:bCs/>
          <w:sz w:val="20"/>
          <w:szCs w:val="20"/>
        </w:rPr>
        <w:t xml:space="preserve">他経路の FY27 適正株価と前提:</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8"/>
        <w:gridCol w:w="1046"/>
        <w:gridCol w:w="555"/>
        <w:gridCol w:w="3009"/>
        <w:gridCol w:w="555"/>
        <w:gridCol w:w="555"/>
        <w:gridCol w:w="3008"/>
      </w:tblGrid>
      <w:tr>
        <w:trPr>
          <w:cantSplit/>
          <w:tblHeader/>
        </w:trPr>
        <w:tc>
          <w:tcPr>
            <w:tcW w:type="dxa" w:w="117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経路</w:t>
            </w:r>
          </w:p>
        </w:tc>
        <w:tc>
          <w:tcPr>
            <w:tcW w:type="dxa" w:w="104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FY27 事業実態EPS</w:t>
            </w:r>
          </w:p>
        </w:tc>
        <w:tc>
          <w:tcPr>
            <w:tcW w:type="dxa" w:w="55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g(5年)</w:t>
            </w:r>
          </w:p>
        </w:tc>
        <w:tc>
          <w:tcPr>
            <w:tcW w:type="dxa" w:w="300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適正株価(FY27、中央値)</w:t>
            </w:r>
          </w:p>
        </w:tc>
        <w:tc>
          <w:tcPr>
            <w:tcW w:type="dxa" w:w="55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FY29</w:t>
            </w:r>
          </w:p>
        </w:tc>
        <w:tc>
          <w:tcPr>
            <w:tcW w:type="dxa" w:w="55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FY30</w:t>
            </w:r>
          </w:p>
        </w:tc>
        <w:tc>
          <w:tcPr>
            <w:tcW w:type="dxa" w:w="300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前提</w:t>
            </w:r>
          </w:p>
        </w:tc>
      </w:tr>
      <w:tr>
        <w:trPr>
          <w:cantSplit/>
          <w:tblHeader w:val="false"/>
        </w:trPr>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コンセンサス</w:t>
            </w:r>
          </w:p>
        </w:tc>
        <w:tc>
          <w:tcPr>
            <w:tcW w:type="dxa" w:w="104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$6.84</w:t>
            </w:r>
          </w:p>
        </w:tc>
        <w:tc>
          <w:tcPr>
            <w:tcW w:type="dxa" w:w="5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26.2%</w:t>
            </w:r>
          </w:p>
        </w:tc>
        <w:tc>
          <w:tcPr>
            <w:tcW w:type="dxa" w:w="300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$157</w:t>
            </w:r>
            <w:r>
              <w:rPr>
                <w:rFonts w:ascii="Arial" w:cs="Arial" w:eastAsia="Yu Gothic" w:hAnsi="Arial"/>
                <w:color w:val="222222"/>
                <w:sz w:val="14"/>
                <w:szCs w:val="14"/>
              </w:rPr>
              <w:t xml:space="preserve">($143〜170)</w:t>
            </w:r>
          </w:p>
        </w:tc>
        <w:tc>
          <w:tcPr>
            <w:tcW w:type="dxa" w:w="5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$193</w:t>
            </w:r>
          </w:p>
        </w:tc>
        <w:tc>
          <w:tcPr>
            <w:tcW w:type="dxa" w:w="5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$240</w:t>
            </w:r>
          </w:p>
        </w:tc>
        <w:tc>
          <w:tcPr>
            <w:tcW w:type="dxa" w:w="30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FY27 $8.05・FY28 $10.78(非GAAP コンセンサス)。FY29 はコンセンサス売上 $1,832億 × エンジンの利益率で延長</w:t>
            </w:r>
          </w:p>
        </w:tc>
      </w:tr>
      <w:tr>
        <w:trPr>
          <w:cantSplit/>
          <w:tblHeader w:val="false"/>
        </w:trPr>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会社シナリオ</w:t>
            </w:r>
          </w:p>
        </w:tc>
        <w:tc>
          <w:tcPr>
            <w:tcW w:type="dxa" w:w="104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$6.89</w:t>
            </w:r>
          </w:p>
        </w:tc>
        <w:tc>
          <w:tcPr>
            <w:tcW w:type="dxa" w:w="5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31.8%</w:t>
            </w:r>
          </w:p>
        </w:tc>
        <w:tc>
          <w:tcPr>
            <w:tcW w:type="dxa" w:w="300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$192</w:t>
            </w:r>
            <w:r>
              <w:rPr>
                <w:rFonts w:ascii="Arial" w:cs="Arial" w:eastAsia="Yu Gothic" w:hAnsi="Arial"/>
                <w:color w:val="222222"/>
                <w:sz w:val="14"/>
                <w:szCs w:val="14"/>
              </w:rPr>
              <w:t xml:space="preserve">($175〜208)</w:t>
            </w:r>
          </w:p>
        </w:tc>
        <w:tc>
          <w:tcPr>
            <w:tcW w:type="dxa" w:w="5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$263</w:t>
            </w:r>
          </w:p>
        </w:tc>
        <w:tc>
          <w:tcPr>
            <w:tcW w:type="dxa" w:w="5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$280</w:t>
            </w:r>
          </w:p>
        </w:tc>
        <w:tc>
          <w:tcPr>
            <w:tcW w:type="dxa" w:w="30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FY27 $8.10 → FY30 $21(幾何補間)</w:t>
            </w:r>
          </w:p>
        </w:tc>
      </w:tr>
      <w:tr>
        <w:trPr>
          <w:cantSplit/>
          <w:tblHeader w:val="false"/>
        </w:trPr>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事業エンジン(採用)</w:t>
            </w:r>
          </w:p>
        </w:tc>
        <w:tc>
          <w:tcPr>
            <w:tcW w:type="dxa" w:w="104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$6.93</w:t>
            </w:r>
          </w:p>
        </w:tc>
        <w:tc>
          <w:tcPr>
            <w:tcW w:type="dxa" w:w="5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22.1%</w:t>
            </w:r>
          </w:p>
        </w:tc>
        <w:tc>
          <w:tcPr>
            <w:tcW w:type="dxa" w:w="300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$134</w:t>
            </w:r>
            <w:r>
              <w:rPr>
                <w:rFonts w:ascii="Arial" w:cs="Arial" w:eastAsia="Yu Gothic" w:hAnsi="Arial"/>
                <w:color w:val="222222"/>
                <w:sz w:val="14"/>
                <w:szCs w:val="14"/>
              </w:rPr>
              <w:t xml:space="preserve">($122〜145)</w:t>
            </w:r>
          </w:p>
        </w:tc>
        <w:tc>
          <w:tcPr>
            <w:tcW w:type="dxa" w:w="5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$176</w:t>
            </w:r>
          </w:p>
        </w:tc>
        <w:tc>
          <w:tcPr>
            <w:tcW w:type="dxa" w:w="5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$217</w:t>
            </w:r>
          </w:p>
        </w:tc>
        <w:tc>
          <w:tcPr>
            <w:tcW w:type="dxa" w:w="30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稼働 GW 5.0 → 8.0 → 10.5 → 12.0、GW あたり $8 → 10.5B、AI EBIT 16 → 30%</w:t>
            </w:r>
          </w:p>
        </w:tc>
      </w:tr>
      <w:tr>
        <w:trPr>
          <w:cantSplit/>
          <w:tblHeader w:val="false"/>
        </w:trPr>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弱気パス</w:t>
            </w:r>
          </w:p>
        </w:tc>
        <w:tc>
          <w:tcPr>
            <w:tcW w:type="dxa" w:w="104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$6.51</w:t>
            </w:r>
          </w:p>
        </w:tc>
        <w:tc>
          <w:tcPr>
            <w:tcW w:type="dxa" w:w="5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6.8%</w:t>
            </w:r>
          </w:p>
        </w:tc>
        <w:tc>
          <w:tcPr>
            <w:tcW w:type="dxa" w:w="300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$84</w:t>
            </w:r>
            <w:r>
              <w:rPr>
                <w:rFonts w:ascii="Arial" w:cs="Arial" w:eastAsia="Yu Gothic" w:hAnsi="Arial"/>
                <w:color w:val="222222"/>
                <w:sz w:val="14"/>
                <w:szCs w:val="14"/>
              </w:rPr>
              <w:t xml:space="preserve">(SOTP 弱気 $84 と弱気 EPS × 13倍 $85 の平均。FY28 以降は PER 下限 14倍)</w:t>
            </w:r>
          </w:p>
        </w:tc>
        <w:tc>
          <w:tcPr>
            <w:tcW w:type="dxa" w:w="5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$106</w:t>
            </w:r>
          </w:p>
        </w:tc>
        <w:tc>
          <w:tcPr>
            <w:tcW w:type="dxa" w:w="5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$116</w:t>
            </w:r>
          </w:p>
        </w:tc>
        <w:tc>
          <w:tcPr>
            <w:tcW w:type="dxa" w:w="300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OpenAI 分の 50% 不払い、AI EBIT 18%、稼働 9.5GW で頭打ち、株数 +10%</w:t>
            </w:r>
          </w:p>
        </w:tc>
      </w:tr>
    </w:tbl>
    <w:p>
      <w:pPr>
        <w:spacing w:after="80"/>
      </w:pPr>
    </w:p>
    <w:p>
      <w:pPr>
        <w:keepNext/>
        <w:spacing w:after="40" w:before="80"/>
        <w:jc w:val="center"/>
      </w:pPr>
      <w:r>
        <w:drawing>
          <wp:inline distT="0" distB="0" distL="0" distR="0">
            <wp:extent cx="57912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91200" cy="3305175"/>
                    </a:xfrm>
                    <a:prstGeom prst="rect">
                      <a:avLst/>
                    </a:prstGeom>
                  </pic:spPr>
                </pic:pic>
              </a:graphicData>
            </a:graphic>
          </wp:inline>
        </w:drawing>
      </w:r>
    </w:p>
    <w:p>
      <w:pPr>
        <w:spacing w:after="160"/>
        <w:jc w:val="center"/>
      </w:pPr>
      <w:r>
        <w:rPr>
          <w:rFonts w:ascii="Arial" w:cs="Arial" w:eastAsia="Yu Gothic" w:hAnsi="Arial"/>
          <w:i/>
          <w:iCs/>
          <w:color w:val="5A6B7D"/>
          <w:sz w:val="17"/>
          <w:szCs w:val="17"/>
        </w:rPr>
        <w:t xml:space="preserve">図F13b 年度別の適正株価(中央値)の4経路と現在株価 $141.40(出典: 本報告書のバリュエーション・モデル)</w:t>
      </w:r>
    </w:p>
    <w:p>
      <w:pPr>
        <w:spacing w:after="120" w:line="300"/>
      </w:pPr>
      <w:r>
        <w:rPr>
          <w:rFonts w:ascii="Arial" w:cs="Arial" w:eastAsia="Yu Gothic" w:hAnsi="Arial"/>
          <w:b/>
          <w:bCs/>
          <w:sz w:val="20"/>
          <w:szCs w:val="20"/>
        </w:rPr>
        <w:t xml:space="preserve">採用経路の判断:</w:t>
      </w:r>
      <w:r>
        <w:rPr>
          <w:rFonts w:ascii="Arial" w:cs="Arial" w:eastAsia="Yu Gothic" w:hAnsi="Arial"/>
          <w:sz w:val="20"/>
          <w:szCs w:val="20"/>
        </w:rPr>
        <w:t xml:space="preserve"> 事業エンジン経路を採用する。FY28 の EPS($10.81)はコンセンサス($10.78)とほぼ同じである。FY29 以降は、電力の律速(クラックス C3 の層2の遅延)と、GW あたり売上の保守的な前提で、コンセンサスの延長を下回る。会社シナリオ経路は、AI の EBIT 利益率約35%(会社レンジの上端)と稼働 14〜15GW を要し、現在の証拠(納入 850MW、Q3 FY26 の粗利率 32%)では採れない。</w:t>
      </w:r>
    </w:p>
    <w:p>
      <w:pPr>
        <w:spacing w:after="120" w:line="300"/>
      </w:pPr>
      <w:r>
        <w:rPr>
          <w:rFonts w:ascii="Arial" w:cs="Arial" w:eastAsia="Yu Gothic" w:hAnsi="Arial"/>
          <w:b/>
          <w:bCs/>
          <w:sz w:val="20"/>
          <w:szCs w:val="20"/>
        </w:rPr>
        <w:t xml:space="preserve">PEG 評価を覆すカタリスト(必須):</w:t>
      </w:r>
      <w:r>
        <w:rPr>
          <w:rFonts w:ascii="Arial" w:cs="Arial" w:eastAsia="Yu Gothic" w:hAnsi="Arial"/>
          <w:sz w:val="20"/>
          <w:szCs w:val="20"/>
        </w:rPr>
        <w:t xml:space="preserve"> FY29 に FCF(純)がプラスへ転じれば、PEG は 0.95〜1.10 へ再評価される(11章 F5)。逆に、AI 容量の粗利率が 25% を下回ると、PEG は 0.6〜0.7 へ下がる。</w:t>
      </w:r>
    </w:p>
    <w:p>
      <w:pPr>
        <w:pStyle w:val="Heading2"/>
      </w:pPr>
      <w:r>
        <w:rPr>
          <w:rFonts w:ascii="Arial" w:cs="Arial" w:eastAsia="Yu Gothic" w:hAnsi="Arial"/>
        </w:rPr>
        <w:t xml:space="preserve">10-3 目標株価の計算フロー(F6)</w:t>
      </w:r>
    </w:p>
    <w:p>
      <w:pPr>
        <w:pStyle w:val="ListParagraph"/>
        <w:numPr>
          <w:ilvl w:val="0"/>
          <w:numId w:val="2"/>
        </w:numPr>
        <w:spacing w:after="40" w:line="290"/>
      </w:pPr>
      <w:r>
        <w:rPr>
          <w:rFonts w:ascii="Arial" w:cs="Arial" w:eastAsia="Yu Gothic" w:hAnsi="Arial"/>
          <w:b/>
          <w:bCs/>
          <w:sz w:val="20"/>
          <w:szCs w:val="20"/>
        </w:rPr>
        <w:t xml:space="preserve">基準EPS:</w:t>
      </w:r>
      <w:r>
        <w:rPr>
          <w:rFonts w:ascii="Arial" w:cs="Arial" w:eastAsia="Yu Gothic" w:hAnsi="Arial"/>
          <w:sz w:val="20"/>
          <w:szCs w:val="20"/>
        </w:rPr>
        <w:t xml:space="preserve"> 採用経路(事業エンジン)の FY27 事業実態EPS = </w:t>
      </w:r>
      <w:r>
        <w:rPr>
          <w:rFonts w:ascii="Arial" w:cs="Arial" w:eastAsia="Yu Gothic" w:hAnsi="Arial"/>
          <w:b/>
          <w:bCs/>
          <w:sz w:val="20"/>
          <w:szCs w:val="20"/>
        </w:rPr>
        <w:t xml:space="preserve">$6.93</w:t>
      </w:r>
      <w:r>
        <w:rPr>
          <w:rFonts w:ascii="Arial" w:cs="Arial" w:eastAsia="Yu Gothic" w:hAnsi="Arial"/>
          <w:sz w:val="20"/>
          <w:szCs w:val="20"/>
        </w:rPr>
        <w:t xml:space="preserve">(会社ガイダンス基準の $8.10 − SBC の税引後 $1.215 = $6.885 との差は 0.6%。各経路は自らの FY27 EPS を基準に使う)</w:t>
      </w:r>
    </w:p>
    <w:p>
      <w:pPr>
        <w:pStyle w:val="ListParagraph"/>
        <w:numPr>
          <w:ilvl w:val="0"/>
          <w:numId w:val="2"/>
        </w:numPr>
        <w:spacing w:after="40" w:line="290"/>
      </w:pPr>
      <w:r>
        <w:rPr>
          <w:rFonts w:ascii="Arial" w:cs="Arial" w:eastAsia="Yu Gothic" w:hAnsi="Arial"/>
          <w:b/>
          <w:bCs/>
          <w:sz w:val="20"/>
          <w:szCs w:val="20"/>
        </w:rPr>
        <w:t xml:space="preserve">成長率:</w:t>
      </w:r>
      <w:r>
        <w:rPr>
          <w:rFonts w:ascii="Arial" w:cs="Arial" w:eastAsia="Yu Gothic" w:hAnsi="Arial"/>
          <w:sz w:val="20"/>
          <w:szCs w:val="20"/>
        </w:rPr>
        <w:t xml:space="preserve"> 事業エンジン経路の事業実態EPS の5年 CAGR(FY27 $6.93 → FY32 $18.78)= </w:t>
      </w:r>
      <w:r>
        <w:rPr>
          <w:rFonts w:ascii="Arial" w:cs="Arial" w:eastAsia="Yu Gothic" w:hAnsi="Arial"/>
          <w:b/>
          <w:bCs/>
          <w:sz w:val="20"/>
          <w:szCs w:val="20"/>
        </w:rPr>
        <w:t xml:space="preserve">22.1%</w:t>
      </w:r>
    </w:p>
    <w:p>
      <w:pPr>
        <w:pStyle w:val="ListParagraph"/>
        <w:numPr>
          <w:ilvl w:val="0"/>
          <w:numId w:val="2"/>
        </w:numPr>
        <w:spacing w:after="40" w:line="290"/>
      </w:pPr>
      <w:r>
        <w:rPr>
          <w:rFonts w:ascii="Arial" w:cs="Arial" w:eastAsia="Yu Gothic" w:hAnsi="Arial"/>
          <w:b/>
          <w:bCs/>
          <w:sz w:val="20"/>
          <w:szCs w:val="20"/>
        </w:rPr>
        <w:t xml:space="preserve">許容PEG:</w:t>
      </w:r>
      <w:r>
        <w:rPr>
          <w:rFonts w:ascii="Arial" w:cs="Arial" w:eastAsia="Yu Gothic" w:hAnsi="Arial"/>
          <w:sz w:val="20"/>
          <w:szCs w:val="20"/>
        </w:rPr>
        <w:t xml:space="preserve"> 3経路の収束で </w:t>
      </w:r>
      <w:r>
        <w:rPr>
          <w:rFonts w:ascii="Arial" w:cs="Arial" w:eastAsia="Yu Gothic" w:hAnsi="Arial"/>
          <w:b/>
          <w:bCs/>
          <w:sz w:val="20"/>
          <w:szCs w:val="20"/>
        </w:rPr>
        <w:t xml:space="preserve">0.80〜0.95</w:t>
      </w:r>
      <w:r>
        <w:rPr>
          <w:rFonts w:ascii="Arial" w:cs="Arial" w:eastAsia="Yu Gothic" w:hAnsi="Arial"/>
          <w:sz w:val="20"/>
          <w:szCs w:val="20"/>
        </w:rPr>
        <w:t xml:space="preserve">(中央 0.875)</w:t>
      </w:r>
    </w:p>
    <w:p>
      <w:pPr>
        <w:pStyle w:val="ListParagraph"/>
        <w:numPr>
          <w:ilvl w:val="0"/>
          <w:numId w:val="2"/>
        </w:numPr>
        <w:spacing w:after="40" w:line="290"/>
      </w:pPr>
      <w:r>
        <w:rPr>
          <w:rFonts w:ascii="Arial" w:cs="Arial" w:eastAsia="Yu Gothic" w:hAnsi="Arial"/>
          <w:b/>
          <w:bCs/>
          <w:sz w:val="20"/>
          <w:szCs w:val="20"/>
        </w:rPr>
        <w:t xml:space="preserve">妥当PER:</w:t>
      </w:r>
      <w:r>
        <w:rPr>
          <w:rFonts w:ascii="Arial" w:cs="Arial" w:eastAsia="Yu Gothic" w:hAnsi="Arial"/>
          <w:sz w:val="20"/>
          <w:szCs w:val="20"/>
        </w:rPr>
        <w:t xml:space="preserve"> 0.875 × 22.1 = </w:t>
      </w:r>
      <w:r>
        <w:rPr>
          <w:rFonts w:ascii="Arial" w:cs="Arial" w:eastAsia="Yu Gothic" w:hAnsi="Arial"/>
          <w:b/>
          <w:bCs/>
          <w:sz w:val="20"/>
          <w:szCs w:val="20"/>
        </w:rPr>
        <w:t xml:space="preserve">19.3倍</w:t>
      </w:r>
      <w:r>
        <w:rPr>
          <w:rFonts w:ascii="Arial" w:cs="Arial" w:eastAsia="Yu Gothic" w:hAnsi="Arial"/>
          <w:sz w:val="20"/>
          <w:szCs w:val="20"/>
        </w:rPr>
        <w:t xml:space="preserve">(レンジ 17.7〜21.0倍)</w:t>
      </w:r>
    </w:p>
    <w:p>
      <w:pPr>
        <w:pStyle w:val="ListParagraph"/>
        <w:numPr>
          <w:ilvl w:val="0"/>
          <w:numId w:val="2"/>
        </w:numPr>
        <w:spacing w:after="40" w:line="290"/>
      </w:pPr>
      <w:r>
        <w:rPr>
          <w:rFonts w:ascii="Arial" w:cs="Arial" w:eastAsia="Yu Gothic" w:hAnsi="Arial"/>
          <w:b/>
          <w:bCs/>
          <w:sz w:val="20"/>
          <w:szCs w:val="20"/>
        </w:rPr>
        <w:t xml:space="preserve">目標株価:</w:t>
      </w:r>
      <w:r>
        <w:rPr>
          <w:rFonts w:ascii="Arial" w:cs="Arial" w:eastAsia="Yu Gothic" w:hAnsi="Arial"/>
          <w:sz w:val="20"/>
          <w:szCs w:val="20"/>
        </w:rPr>
        <w:t xml:space="preserve"> $6.93 × 19.3 = </w:t>
      </w:r>
      <w:r>
        <w:rPr>
          <w:rFonts w:ascii="Arial" w:cs="Arial" w:eastAsia="Yu Gothic" w:hAnsi="Arial"/>
          <w:b/>
          <w:bCs/>
          <w:sz w:val="20"/>
          <w:szCs w:val="20"/>
        </w:rPr>
        <w:t xml:space="preserve">$134</w:t>
      </w:r>
      <w:r>
        <w:rPr>
          <w:rFonts w:ascii="Arial" w:cs="Arial" w:eastAsia="Yu Gothic" w:hAnsi="Arial"/>
          <w:sz w:val="20"/>
          <w:szCs w:val="20"/>
        </w:rPr>
        <w:t xml:space="preserve">(レンジ $122〜145。会社ガイダンス基準の $6.885 を使うと $133)</w:t>
      </w:r>
    </w:p>
    <w:p>
      <w:pPr>
        <w:pStyle w:val="ListParagraph"/>
        <w:numPr>
          <w:ilvl w:val="0"/>
          <w:numId w:val="2"/>
        </w:numPr>
        <w:spacing w:after="40" w:line="290"/>
      </w:pPr>
      <w:r>
        <w:rPr>
          <w:rFonts w:ascii="Arial" w:cs="Arial" w:eastAsia="Yu Gothic" w:hAnsi="Arial"/>
          <w:b/>
          <w:bCs/>
          <w:sz w:val="20"/>
          <w:szCs w:val="20"/>
        </w:rPr>
        <w:t xml:space="preserve">乖離:</w:t>
      </w:r>
      <w:r>
        <w:rPr>
          <w:rFonts w:ascii="Arial" w:cs="Arial" w:eastAsia="Yu Gothic" w:hAnsi="Arial"/>
          <w:sz w:val="20"/>
          <w:szCs w:val="20"/>
        </w:rPr>
        <w:t xml:space="preserve"> ($134 − $141.40) ÷ $141.40 = </w:t>
      </w:r>
      <w:r>
        <w:rPr>
          <w:rFonts w:ascii="Arial" w:cs="Arial" w:eastAsia="Yu Gothic" w:hAnsi="Arial"/>
          <w:b/>
          <w:bCs/>
          <w:sz w:val="20"/>
          <w:szCs w:val="20"/>
        </w:rPr>
        <w:t xml:space="preserve">−5%</w:t>
      </w:r>
    </w:p>
    <w:p>
      <w:pPr>
        <w:pStyle w:val="Heading2"/>
      </w:pPr>
      <w:r>
        <w:rPr>
          <w:rFonts w:ascii="Arial" w:cs="Arial" w:eastAsia="Yu Gothic" w:hAnsi="Arial"/>
        </w:rPr>
        <w:t xml:space="preserve">10-4 感応度マトリクス(F12)</w:t>
      </w:r>
    </w:p>
    <w:p>
      <w:pPr>
        <w:spacing w:after="120" w:line="300"/>
      </w:pPr>
      <w:r>
        <w:rPr>
          <w:rFonts w:ascii="Arial" w:cs="Arial" w:eastAsia="Yu Gothic" w:hAnsi="Arial"/>
          <w:b/>
          <w:bCs/>
          <w:sz w:val="20"/>
          <w:szCs w:val="20"/>
        </w:rPr>
        <w:t xml:space="preserve">F12a 経路 × PEG(FY27 の事業実態EPS × PEG × 5年 g、1株ドル。PER 下限 14倍は適用しない純粋な PEG 値):</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6"/>
        <w:gridCol w:w="943"/>
        <w:gridCol w:w="943"/>
        <w:gridCol w:w="943"/>
        <w:gridCol w:w="943"/>
        <w:gridCol w:w="943"/>
        <w:gridCol w:w="945"/>
      </w:tblGrid>
      <w:tr>
        <w:trPr>
          <w:cantSplit/>
          <w:tblHeader/>
        </w:trPr>
        <w:tc>
          <w:tcPr>
            <w:tcW w:type="dxa" w:w="424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経路 \ PEG</w:t>
            </w:r>
          </w:p>
        </w:tc>
        <w:tc>
          <w:tcPr>
            <w:tcW w:type="dxa" w:w="94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0.6</w:t>
            </w:r>
          </w:p>
        </w:tc>
        <w:tc>
          <w:tcPr>
            <w:tcW w:type="dxa" w:w="94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0.8</w:t>
            </w:r>
          </w:p>
        </w:tc>
        <w:tc>
          <w:tcPr>
            <w:tcW w:type="dxa" w:w="94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0.9</w:t>
            </w:r>
          </w:p>
        </w:tc>
        <w:tc>
          <w:tcPr>
            <w:tcW w:type="dxa" w:w="94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1.0</w:t>
            </w:r>
          </w:p>
        </w:tc>
        <w:tc>
          <w:tcPr>
            <w:tcW w:type="dxa" w:w="94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1.2</w:t>
            </w:r>
          </w:p>
        </w:tc>
        <w:tc>
          <w:tcPr>
            <w:tcW w:type="dxa" w:w="94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1.5</w:t>
            </w:r>
          </w:p>
        </w:tc>
      </w:tr>
      <w:tr>
        <w:trPr>
          <w:cantSplit/>
          <w:tblHeader w:val="false"/>
        </w:trPr>
        <w:tc>
          <w:tcPr>
            <w:tcW w:type="dxa" w:w="424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コンセンサス</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107</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143</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161</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179</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215</w:t>
            </w:r>
          </w:p>
        </w:tc>
        <w:tc>
          <w:tcPr>
            <w:tcW w:type="dxa" w:w="9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269</w:t>
            </w:r>
          </w:p>
        </w:tc>
      </w:tr>
      <w:tr>
        <w:trPr>
          <w:cantSplit/>
          <w:tblHeader w:val="false"/>
        </w:trPr>
        <w:tc>
          <w:tcPr>
            <w:tcW w:type="dxa" w:w="424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会社シナリオ</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132</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175</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197</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219</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263</w:t>
            </w:r>
          </w:p>
        </w:tc>
        <w:tc>
          <w:tcPr>
            <w:tcW w:type="dxa" w:w="9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329</w:t>
            </w:r>
          </w:p>
        </w:tc>
      </w:tr>
      <w:tr>
        <w:trPr>
          <w:cantSplit/>
          <w:tblHeader w:val="false"/>
        </w:trPr>
        <w:tc>
          <w:tcPr>
            <w:tcW w:type="dxa" w:w="424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事業エンジン(採用)</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92</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122</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138</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153</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183</w:t>
            </w:r>
          </w:p>
        </w:tc>
        <w:tc>
          <w:tcPr>
            <w:tcW w:type="dxa" w:w="9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229</w:t>
            </w:r>
          </w:p>
        </w:tc>
      </w:tr>
      <w:tr>
        <w:trPr>
          <w:cantSplit/>
          <w:tblHeader w:val="false"/>
        </w:trPr>
        <w:tc>
          <w:tcPr>
            <w:tcW w:type="dxa" w:w="424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弱気</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27</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35</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40</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44</w:t>
            </w:r>
          </w:p>
        </w:tc>
        <w:tc>
          <w:tcPr>
            <w:tcW w:type="dxa" w:w="9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53</w:t>
            </w:r>
          </w:p>
        </w:tc>
        <w:tc>
          <w:tcPr>
            <w:tcW w:type="dxa" w:w="94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66</w:t>
            </w:r>
          </w:p>
        </w:tc>
      </w:tr>
    </w:tbl>
    <w:p>
      <w:pPr>
        <w:spacing w:after="80"/>
      </w:pPr>
    </w:p>
    <w:p>
      <w:pPr>
        <w:spacing w:after="120" w:line="300"/>
      </w:pPr>
      <w:r>
        <w:rPr>
          <w:rFonts w:ascii="Arial" w:cs="Arial" w:eastAsia="Yu Gothic" w:hAnsi="Arial"/>
          <w:b/>
          <w:bCs/>
          <w:sz w:val="20"/>
          <w:szCs w:val="20"/>
        </w:rPr>
        <w:t xml:space="preserve">F12b 芯 × 芯(SOTP の1株価値。行=経済的寿命×更新単価、列=AI 容量の利益率):</w:t>
      </w:r>
    </w:p>
    <w:p>
      <w:pPr>
        <w:keepNext/>
        <w:spacing w:after="40" w:before="80"/>
        <w:jc w:val="center"/>
      </w:pPr>
      <w:r>
        <w:drawing>
          <wp:inline distT="0" distB="0" distL="0" distR="0">
            <wp:extent cx="55340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34025" cy="3238500"/>
                    </a:xfrm>
                    <a:prstGeom prst="rect">
                      <a:avLst/>
                    </a:prstGeom>
                  </pic:spPr>
                </pic:pic>
              </a:graphicData>
            </a:graphic>
          </wp:inline>
        </w:drawing>
      </w:r>
    </w:p>
    <w:p>
      <w:pPr>
        <w:spacing w:after="160"/>
        <w:jc w:val="center"/>
      </w:pPr>
      <w:r>
        <w:rPr>
          <w:rFonts w:ascii="Arial" w:cs="Arial" w:eastAsia="Yu Gothic" w:hAnsi="Arial"/>
          <w:i/>
          <w:iCs/>
          <w:color w:val="5A6B7D"/>
          <w:sz w:val="17"/>
          <w:szCs w:val="17"/>
        </w:rPr>
        <w:t xml:space="preserve">図F12b 芯×芯の感応度(SOTP の1株価値)。行=契約後の残存価格比(当初単価比)、列=AI 容量の EBIT 利益率。太枠=ベース(出典: 本報告書の SOTP モデル)</w:t>
      </w:r>
    </w:p>
    <w:p>
      <w:pPr>
        <w:spacing w:after="120" w:line="300"/>
      </w:pPr>
      <w:r>
        <w:rPr>
          <w:rFonts w:ascii="Arial" w:cs="Arial" w:eastAsia="Yu Gothic" w:hAnsi="Arial"/>
          <w:sz w:val="20"/>
          <w:szCs w:val="20"/>
        </w:rPr>
        <w:t xml:space="preserve">マトリクスの入力は機構台帳の大きさ(M1〜M4)である。現在株価($141.40)を上回るには、次のいずれかが要る。</w:t>
      </w:r>
    </w:p>
    <w:p>
      <w:pPr>
        <w:pStyle w:val="ListParagraph"/>
        <w:numPr>
          <w:ilvl w:val="0"/>
          <w:numId w:val="3"/>
        </w:numPr>
        <w:spacing w:after="40" w:line="290"/>
      </w:pPr>
      <w:r>
        <w:rPr>
          <w:rFonts w:ascii="Arial" w:cs="Arial" w:eastAsia="Yu Gothic" w:hAnsi="Arial"/>
          <w:sz w:val="20"/>
          <w:szCs w:val="20"/>
        </w:rPr>
        <w:t xml:space="preserve">残存価格比 0.9 以上(EBIT 18% でも $142.5)</w:t>
      </w:r>
    </w:p>
    <w:p>
      <w:pPr>
        <w:pStyle w:val="ListParagraph"/>
        <w:numPr>
          <w:ilvl w:val="0"/>
          <w:numId w:val="3"/>
        </w:numPr>
        <w:spacing w:after="40" w:line="290"/>
      </w:pPr>
      <w:r>
        <w:rPr>
          <w:rFonts w:ascii="Arial" w:cs="Arial" w:eastAsia="Yu Gothic" w:hAnsi="Arial"/>
          <w:sz w:val="20"/>
          <w:szCs w:val="20"/>
        </w:rPr>
        <w:t xml:space="preserve">AI 容量の EBIT 33% 以上かつ残存価格比 0.6 以上($144)</w:t>
      </w:r>
    </w:p>
    <w:p>
      <w:pPr>
        <w:pStyle w:val="Heading2"/>
      </w:pPr>
      <w:r>
        <w:rPr>
          <w:rFonts w:ascii="Arial" w:cs="Arial" w:eastAsia="Yu Gothic" w:hAnsi="Arial"/>
        </w:rPr>
        <w:t xml:space="preserve">10-5 業種別の交差確認(SOTP)と成長の値段</w:t>
      </w:r>
    </w:p>
    <w:p>
      <w:pPr>
        <w:keepNext/>
        <w:spacing w:after="40" w:before="80"/>
        <w:jc w:val="center"/>
      </w:pPr>
      <w:r>
        <w:drawing>
          <wp:inline distT="0" distB="0" distL="0" distR="0">
            <wp:extent cx="57912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91200" cy="3562350"/>
                    </a:xfrm>
                    <a:prstGeom prst="rect">
                      <a:avLst/>
                    </a:prstGeom>
                  </pic:spPr>
                </pic:pic>
              </a:graphicData>
            </a:graphic>
          </wp:inline>
        </w:drawing>
      </w:r>
    </w:p>
    <w:p>
      <w:pPr>
        <w:spacing w:after="160"/>
        <w:jc w:val="center"/>
      </w:pPr>
      <w:r>
        <w:rPr>
          <w:rFonts w:ascii="Arial" w:cs="Arial" w:eastAsia="Yu Gothic" w:hAnsi="Arial"/>
          <w:i/>
          <w:iCs/>
          <w:color w:val="5A6B7D"/>
          <w:sz w:val="17"/>
          <w:szCs w:val="17"/>
        </w:rPr>
        <w:t xml:space="preserve">参考図6 SOTP の積み上げ(1株ドル)。コア事業 $128.3 + AI $45.0(稼働中・契約済み・建設中・未契約)− 前払い・負債 → $139.6(出典: 本報告書の SOTP モデル、Appendix B)</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0"/>
        <w:gridCol w:w="910"/>
        <w:gridCol w:w="606"/>
        <w:gridCol w:w="4650"/>
      </w:tblGrid>
      <w:tr>
        <w:trPr>
          <w:cantSplit/>
          <w:tblHeader/>
        </w:trPr>
        <w:tc>
          <w:tcPr>
            <w:tcW w:type="dxa" w:w="374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構成要素</w:t>
            </w:r>
          </w:p>
        </w:tc>
        <w:tc>
          <w:tcPr>
            <w:tcW w:type="dxa" w:w="91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価値</w:t>
            </w:r>
          </w:p>
        </w:tc>
        <w:tc>
          <w:tcPr>
            <w:tcW w:type="dxa" w:w="60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1株</w:t>
            </w:r>
          </w:p>
        </w:tc>
        <w:tc>
          <w:tcPr>
            <w:tcW w:type="dxa" w:w="465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前提</w:t>
            </w:r>
          </w:p>
        </w:tc>
      </w:tr>
      <w:tr>
        <w:trPr>
          <w:cantSplit/>
          <w:tblHeader w:val="false"/>
        </w:trPr>
        <w:tc>
          <w:tcPr>
            <w:tcW w:type="dxa" w:w="37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コア事業(DB 保守・SaaS・一般クラウド)</w:t>
            </w:r>
          </w:p>
        </w:tc>
        <w:tc>
          <w:tcPr>
            <w:tcW w:type="dxa" w:w="9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$3,913億</w:t>
            </w:r>
          </w:p>
        </w:tc>
        <w:tc>
          <w:tcPr>
            <w:tcW w:type="dxa" w:w="60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$128.3</w:t>
            </w:r>
          </w:p>
        </w:tc>
        <w:tc>
          <w:tcPr>
            <w:tcW w:type="dxa" w:w="46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NOPAT $211億、5年 +6% → 永続 +2.5%、ROIC 35%、資本コスト 8.0%(保守・SaaS 中心で AI サイクルの影響が小さいため β≈1.0 相当と置いた。株式全体の β 1.6〜1.7 は AI 事業とレバレッジを含む)</w:t>
            </w:r>
          </w:p>
        </w:tc>
      </w:tr>
      <w:tr>
        <w:trPr>
          <w:cantSplit/>
          <w:tblHeader w:val="false"/>
        </w:trPr>
        <w:tc>
          <w:tcPr>
            <w:tcW w:type="dxa" w:w="37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稼働中容量(約2.55GW)</w:t>
            </w:r>
          </w:p>
        </w:tc>
        <w:tc>
          <w:tcPr>
            <w:tcW w:type="dxa" w:w="9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$703億</w:t>
            </w:r>
          </w:p>
        </w:tc>
        <w:tc>
          <w:tcPr>
            <w:tcW w:type="dxa" w:w="60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$23.0</w:t>
            </w:r>
          </w:p>
        </w:tc>
        <w:tc>
          <w:tcPr>
            <w:tcW w:type="dxa" w:w="46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残り5年の現金 + 残存</w:t>
            </w:r>
          </w:p>
        </w:tc>
      </w:tr>
      <w:tr>
        <w:trPr>
          <w:cantSplit/>
          <w:tblHeader w:val="false"/>
        </w:trPr>
        <w:tc>
          <w:tcPr>
            <w:tcW w:type="dxa" w:w="37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契約済み・未建設(約7.65GW)</w:t>
            </w:r>
          </w:p>
        </w:tc>
        <w:tc>
          <w:tcPr>
            <w:tcW w:type="dxa" w:w="9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$387億</w:t>
            </w:r>
          </w:p>
        </w:tc>
        <w:tc>
          <w:tcPr>
            <w:tcW w:type="dxa" w:w="60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$12.7</w:t>
            </w:r>
          </w:p>
        </w:tc>
        <w:tc>
          <w:tcPr>
            <w:tcW w:type="dxa" w:w="46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NPV $59億/GW × 建設時期の割引 0.85</w:t>
            </w:r>
          </w:p>
        </w:tc>
      </w:tr>
      <w:tr>
        <w:trPr>
          <w:cantSplit/>
          <w:tblHeader w:val="false"/>
        </w:trPr>
        <w:tc>
          <w:tcPr>
            <w:tcW w:type="dxa" w:w="37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建設中(支出済み)</w:t>
            </w:r>
          </w:p>
        </w:tc>
        <w:tc>
          <w:tcPr>
            <w:tcW w:type="dxa" w:w="9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$298億</w:t>
            </w:r>
          </w:p>
        </w:tc>
        <w:tc>
          <w:tcPr>
            <w:tcW w:type="dxa" w:w="60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$9.8</w:t>
            </w:r>
          </w:p>
        </w:tc>
        <w:tc>
          <w:tcPr>
            <w:tcW w:type="dxa" w:w="46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建設仮勘定 $485億のうち AI 分 約$350億(推定)× 0.85</w:t>
            </w:r>
          </w:p>
        </w:tc>
      </w:tr>
      <w:tr>
        <w:trPr>
          <w:cantSplit/>
          <w:tblHeader w:val="false"/>
        </w:trPr>
        <w:tc>
          <w:tcPr>
            <w:tcW w:type="dxa" w:w="37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未契約の成長</w:t>
            </w:r>
          </w:p>
        </w:tc>
        <w:tc>
          <w:tcPr>
            <w:tcW w:type="dxa" w:w="9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$97億</w:t>
            </w:r>
          </w:p>
        </w:tc>
        <w:tc>
          <w:tcPr>
            <w:tcW w:type="dxa" w:w="60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$3.2</w:t>
            </w:r>
          </w:p>
        </w:tc>
        <w:tc>
          <w:tcPr>
            <w:tcW w:type="dxa" w:w="46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1.5GW/年 × 5年 × NPV × 0.7 × 確率 50% × 開始時期の割引</w:t>
            </w:r>
          </w:p>
        </w:tc>
      </w:tr>
      <w:tr>
        <w:trPr>
          <w:cantSplit/>
          <w:tblHeader w:val="false"/>
        </w:trPr>
        <w:tc>
          <w:tcPr>
            <w:tcW w:type="dxa" w:w="37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顧客前払い(金融要素)</w:t>
            </w:r>
          </w:p>
        </w:tc>
        <w:tc>
          <w:tcPr>
            <w:tcW w:type="dxa" w:w="9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−$114億</w:t>
            </w:r>
          </w:p>
        </w:tc>
        <w:tc>
          <w:tcPr>
            <w:tcW w:type="dxa" w:w="60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−$3.7</w:t>
            </w:r>
          </w:p>
        </w:tc>
        <w:tc>
          <w:tcPr>
            <w:tcW w:type="dxa" w:w="46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将来の履行義務</w:t>
            </w:r>
          </w:p>
        </w:tc>
      </w:tr>
      <w:tr>
        <w:trPr>
          <w:cantSplit/>
          <w:tblHeader w:val="false"/>
        </w:trPr>
        <w:tc>
          <w:tcPr>
            <w:tcW w:type="dxa" w:w="37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純有利子負債・金融リース・優先株</w:t>
            </w:r>
          </w:p>
        </w:tc>
        <w:tc>
          <w:tcPr>
            <w:tcW w:type="dxa" w:w="9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−$1,024億</w:t>
            </w:r>
          </w:p>
        </w:tc>
        <w:tc>
          <w:tcPr>
            <w:tcW w:type="dxa" w:w="60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−$33.6</w:t>
            </w:r>
          </w:p>
        </w:tc>
        <w:tc>
          <w:tcPr>
            <w:tcW w:type="dxa" w:w="46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負債 $1,253億 − 現金 $371億 + 金融リース $92億 + 優先株 $50億</w:t>
            </w:r>
          </w:p>
        </w:tc>
      </w:tr>
      <w:tr>
        <w:trPr>
          <w:cantSplit/>
          <w:tblHeader w:val="false"/>
        </w:trPr>
        <w:tc>
          <w:tcPr>
            <w:tcW w:type="dxa" w:w="374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1株当たり価値</w:t>
            </w:r>
          </w:p>
        </w:tc>
        <w:tc>
          <w:tcPr>
            <w:tcW w:type="dxa" w:w="9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$4,259億</w:t>
            </w:r>
          </w:p>
        </w:tc>
        <w:tc>
          <w:tcPr>
            <w:tcW w:type="dxa" w:w="60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$139.6</w:t>
            </w:r>
          </w:p>
        </w:tc>
        <w:tc>
          <w:tcPr>
            <w:tcW w:type="dxa" w:w="465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弱気 $84 / 強気 $168</w:t>
            </w:r>
          </w:p>
        </w:tc>
      </w:tr>
    </w:tbl>
    <w:p>
      <w:pPr>
        <w:spacing w:after="80"/>
      </w:pPr>
    </w:p>
    <w:p>
      <w:pPr>
        <w:spacing w:after="120" w:line="300"/>
      </w:pPr>
      <w:r>
        <w:rPr>
          <w:rFonts w:ascii="Arial" w:cs="Arial" w:eastAsia="Yu Gothic" w:hAnsi="Arial"/>
          <w:b/>
          <w:bCs/>
          <w:sz w:val="20"/>
          <w:szCs w:val="20"/>
        </w:rPr>
        <w:t xml:space="preserve">交差確認の判断:</w:t>
      </w:r>
      <w:r>
        <w:rPr>
          <w:rFonts w:ascii="Arial" w:cs="Arial" w:eastAsia="Yu Gothic" w:hAnsi="Arial"/>
          <w:sz w:val="20"/>
          <w:szCs w:val="20"/>
        </w:rPr>
        <w:t xml:space="preserve"> PEG 経路(事業エンジン)の $134 と SOTP の $140 の差は 4% で、整合している。一方、セルサイドの平均目標 $252(MarketBeat、47名)は、FY28 の EPS に 23倍前後を掛けた値に近い。この差は資本集約度の扱いの違いによる。本報告書は、AI の EPS には毎年 $600〜700億の純投資が伴うため、PER を素直に当てるより、資本を明示的に引く SOTP の方が事業本体と整合すると判断した。</w:t>
      </w:r>
    </w:p>
    <w:p>
      <w:pPr>
        <w:spacing w:after="120" w:line="300"/>
      </w:pPr>
      <w:r>
        <w:rPr>
          <w:rFonts w:ascii="Arial" w:cs="Arial" w:eastAsia="Yu Gothic" w:hAnsi="Arial"/>
          <w:b/>
          <w:bCs/>
          <w:sz w:val="20"/>
          <w:szCs w:val="20"/>
        </w:rPr>
        <w:t xml:space="preserve">成長の値段:</w:t>
      </w:r>
      <w:r>
        <w:rPr>
          <w:rFonts w:ascii="Arial" w:cs="Arial" w:eastAsia="Yu Gothic" w:hAnsi="Arial"/>
          <w:sz w:val="20"/>
          <w:szCs w:val="20"/>
        </w:rPr>
        <w:t xml:space="preserve"> 定常状態価値 $3,076億(1株 $101)に対し、時価総額は $4,313億。成長の値段は </w:t>
      </w:r>
      <w:r>
        <w:rPr>
          <w:rFonts w:ascii="Arial" w:cs="Arial" w:eastAsia="Yu Gothic" w:hAnsi="Arial"/>
          <w:b/>
          <w:bCs/>
          <w:sz w:val="20"/>
          <w:szCs w:val="20"/>
        </w:rPr>
        <w:t xml:space="preserve">$1,237億(1株 $41、時価総額の 29%)</w:t>
      </w:r>
      <w:r>
        <w:rPr>
          <w:rFonts w:ascii="Arial" w:cs="Arial" w:eastAsia="Yu Gothic" w:hAnsi="Arial"/>
          <w:sz w:val="20"/>
          <w:szCs w:val="20"/>
        </w:rPr>
        <w:t xml:space="preserve"> である。SOTP のベース($139.6)から定常状態価値($101)を引いた成長に帰属する価値は1株 約$39で、ほぼ一致する。市場は成長に妥当な値段を付けている。</w:t>
      </w:r>
    </w:p>
    <w:p>
      <w:pPr>
        <w:spacing w:after="120" w:line="300"/>
      </w:pPr>
      <w:r>
        <w:rPr>
          <w:rFonts w:ascii="Arial" w:cs="Arial" w:eastAsia="Yu Gothic" w:hAnsi="Arial"/>
          <w:b/>
          <w:bCs/>
          <w:sz w:val="20"/>
          <w:szCs w:val="20"/>
        </w:rPr>
        <w:t xml:space="preserve">価値の時間分布:</w:t>
      </w:r>
      <w:r>
        <w:rPr>
          <w:rFonts w:ascii="Arial" w:cs="Arial" w:eastAsia="Yu Gothic" w:hAnsi="Arial"/>
          <w:sz w:val="20"/>
          <w:szCs w:val="20"/>
        </w:rPr>
        <w:t xml:space="preserve"> SOTP の価値のうち、3年以内に生じる現金は 18%、それ以降が 82%。遠い価値の比率が高い。遠い価値の確度を事業本体で裏付けられれば時間軸の優位になるが、その確度は芯①(2031年以降の更新単価)に依存し、現時点では裏付けられない。</w:t>
      </w:r>
    </w:p>
    <w:p>
      <w:pPr>
        <w:pStyle w:val="Heading2"/>
      </w:pPr>
      <w:r>
        <w:rPr>
          <w:rFonts w:ascii="Arial" w:cs="Arial" w:eastAsia="Yu Gothic" w:hAnsi="Arial"/>
        </w:rPr>
        <w:t xml:space="preserve">10-6 2軸マトリクスと最終判断</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6"/>
        <w:gridCol w:w="1238"/>
        <w:gridCol w:w="619"/>
        <w:gridCol w:w="5263"/>
      </w:tblGrid>
      <w:tr>
        <w:trPr>
          <w:cantSplit/>
          <w:tblHeader/>
        </w:trPr>
        <w:tc>
          <w:tcPr>
            <w:tcW w:type="dxa" w:w="278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経路</w:t>
            </w:r>
          </w:p>
        </w:tc>
        <w:tc>
          <w:tcPr>
            <w:tcW w:type="dxa" w:w="123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目標株価</w:t>
            </w:r>
          </w:p>
        </w:tc>
        <w:tc>
          <w:tcPr>
            <w:tcW w:type="dxa" w:w="61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乖離</w:t>
            </w:r>
          </w:p>
        </w:tc>
        <w:tc>
          <w:tcPr>
            <w:tcW w:type="dxa" w:w="526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構造評価 B での位置(2軸マトリクス)</w:t>
            </w:r>
          </w:p>
        </w:tc>
      </w:tr>
      <w:tr>
        <w:trPr>
          <w:cantSplit/>
          <w:tblHeader w:val="false"/>
        </w:trPr>
        <w:tc>
          <w:tcPr>
            <w:tcW w:type="dxa" w:w="278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事業エンジン(採用)</w:t>
            </w:r>
          </w:p>
        </w:tc>
        <w:tc>
          <w:tcPr>
            <w:tcW w:type="dxa" w:w="12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$134</w:t>
            </w:r>
          </w:p>
        </w:tc>
        <w:tc>
          <w:tcPr>
            <w:tcW w:type="dxa" w:w="61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−5%</w:t>
            </w:r>
          </w:p>
        </w:tc>
        <w:tc>
          <w:tcPr>
            <w:tcW w:type="dxa" w:w="52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−10〜+10% → 監視</w:t>
            </w:r>
          </w:p>
        </w:tc>
      </w:tr>
      <w:tr>
        <w:trPr>
          <w:cantSplit/>
          <w:tblHeader w:val="false"/>
        </w:trPr>
        <w:tc>
          <w:tcPr>
            <w:tcW w:type="dxa" w:w="278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コンセンサス</w:t>
            </w:r>
          </w:p>
        </w:tc>
        <w:tc>
          <w:tcPr>
            <w:tcW w:type="dxa" w:w="12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$157</w:t>
            </w:r>
          </w:p>
        </w:tc>
        <w:tc>
          <w:tcPr>
            <w:tcW w:type="dxa" w:w="61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+11%</w:t>
            </w:r>
          </w:p>
        </w:tc>
        <w:tc>
          <w:tcPr>
            <w:tcW w:type="dxa" w:w="52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+10〜30% → 買い検討</w:t>
            </w:r>
          </w:p>
        </w:tc>
      </w:tr>
      <w:tr>
        <w:trPr>
          <w:cantSplit/>
          <w:tblHeader w:val="false"/>
        </w:trPr>
        <w:tc>
          <w:tcPr>
            <w:tcW w:type="dxa" w:w="278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会社シナリオ</w:t>
            </w:r>
          </w:p>
        </w:tc>
        <w:tc>
          <w:tcPr>
            <w:tcW w:type="dxa" w:w="12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$192</w:t>
            </w:r>
          </w:p>
        </w:tc>
        <w:tc>
          <w:tcPr>
            <w:tcW w:type="dxa" w:w="61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+36%</w:t>
            </w:r>
          </w:p>
        </w:tc>
        <w:tc>
          <w:tcPr>
            <w:tcW w:type="dxa" w:w="52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+30%以上 → 買い</w:t>
            </w:r>
          </w:p>
        </w:tc>
      </w:tr>
      <w:tr>
        <w:trPr>
          <w:cantSplit/>
          <w:tblHeader w:val="false"/>
        </w:trPr>
        <w:tc>
          <w:tcPr>
            <w:tcW w:type="dxa" w:w="278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弱気</w:t>
            </w:r>
          </w:p>
        </w:tc>
        <w:tc>
          <w:tcPr>
            <w:tcW w:type="dxa" w:w="123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$84</w:t>
            </w:r>
          </w:p>
        </w:tc>
        <w:tc>
          <w:tcPr>
            <w:tcW w:type="dxa" w:w="61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−40%</w:t>
            </w:r>
          </w:p>
        </w:tc>
        <w:tc>
          <w:tcPr>
            <w:tcW w:type="dxa" w:w="52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−10%未満 → 見送り</w:t>
            </w:r>
          </w:p>
        </w:tc>
      </w:tr>
    </w:tbl>
    <w:p>
      <w:pPr>
        <w:spacing w:after="80"/>
      </w:pPr>
    </w:p>
    <w:p>
      <w:pPr>
        <w:spacing w:after="120" w:line="300"/>
      </w:pPr>
      <w:r>
        <w:rPr>
          <w:rFonts w:ascii="Arial" w:cs="Arial" w:eastAsia="Yu Gothic" w:hAnsi="Arial"/>
          <w:b/>
          <w:bCs/>
          <w:sz w:val="20"/>
          <w:szCs w:val="20"/>
        </w:rPr>
        <w:t xml:space="preserve">最終判断: 監視。</w:t>
      </w:r>
    </w:p>
    <w:p>
      <w:pPr>
        <w:pStyle w:val="ListParagraph"/>
        <w:numPr>
          <w:ilvl w:val="0"/>
          <w:numId w:val="3"/>
        </w:numPr>
        <w:spacing w:after="40" w:line="290"/>
      </w:pPr>
      <w:r>
        <w:rPr>
          <w:rFonts w:ascii="Arial" w:cs="Arial" w:eastAsia="Yu Gothic" w:hAnsi="Arial"/>
          <w:sz w:val="20"/>
          <w:szCs w:val="20"/>
        </w:rPr>
        <w:t xml:space="preserve">採用経路は「B × −5%」で監視を示す。</w:t>
      </w:r>
    </w:p>
    <w:p>
      <w:pPr>
        <w:pStyle w:val="ListParagraph"/>
        <w:numPr>
          <w:ilvl w:val="0"/>
          <w:numId w:val="3"/>
        </w:numPr>
        <w:spacing w:after="40" w:line="290"/>
      </w:pPr>
      <w:r>
        <w:rPr>
          <w:rFonts w:ascii="Arial" w:cs="Arial" w:eastAsia="Yu Gothic" w:hAnsi="Arial"/>
          <w:sz w:val="20"/>
          <w:szCs w:val="20"/>
        </w:rPr>
        <w:t xml:space="preserve">市場との差分がない(エッジなし)ため、他の経路がプラスでも「買い」にしない。</w:t>
      </w:r>
    </w:p>
    <w:p>
      <w:pPr>
        <w:pStyle w:val="ListParagraph"/>
        <w:numPr>
          <w:ilvl w:val="0"/>
          <w:numId w:val="3"/>
        </w:numPr>
        <w:spacing w:after="40" w:line="290"/>
      </w:pPr>
      <w:r>
        <w:rPr>
          <w:rFonts w:ascii="Arial" w:cs="Arial" w:eastAsia="Yu Gothic" w:hAnsi="Arial"/>
          <w:sz w:val="20"/>
          <w:szCs w:val="20"/>
        </w:rPr>
        <w:t xml:space="preserve">期待値($132、−7%)と非対称性(−40% 対 +36%)も、買い判断を支持しない。期待値の算式は 0.25 × $84.4(弱気)+ 0.45 × $133.8(事業エンジン)+ 0.20 × $156.7(コンセンサス)+ 0.10 × $191.8(会社シナリオ)= $131.8。確率配分は、採用経路に最大の重み、7-1 の対称プレモーテム(半減側の合計 35%)を踏まえて弱気に 25%、会社目標の達成に要する AI 利益率 35%・稼働 14〜15GW の証拠の薄さから会社シナリオに 10% を置いた(判断)。</w:t>
      </w:r>
    </w:p>
    <w:p>
      <w:pPr>
        <w:spacing w:after="120" w:line="300"/>
      </w:pPr>
      <w:r>
        <w:rPr>
          <w:rFonts w:ascii="Arial" w:cs="Arial" w:eastAsia="Yu Gothic" w:hAnsi="Arial"/>
          <w:b/>
          <w:bCs/>
          <w:sz w:val="20"/>
          <w:szCs w:val="20"/>
        </w:rPr>
        <w:t xml:space="preserve">判断を変えるトリガー:</w:t>
      </w:r>
    </w:p>
    <w:p>
      <w:pPr>
        <w:pStyle w:val="ListParagraph"/>
        <w:numPr>
          <w:ilvl w:val="0"/>
          <w:numId w:val="3"/>
        </w:numPr>
        <w:spacing w:after="40" w:line="290"/>
      </w:pPr>
      <w:r>
        <w:rPr>
          <w:rFonts w:ascii="Arial" w:cs="Arial" w:eastAsia="Yu Gothic" w:hAnsi="Arial"/>
          <w:b/>
          <w:bCs/>
          <w:sz w:val="20"/>
          <w:szCs w:val="20"/>
        </w:rPr>
        <w:t xml:space="preserve">上方(買い検討へ):</w:t>
      </w:r>
      <w:r>
        <w:rPr>
          <w:rFonts w:ascii="Arial" w:cs="Arial" w:eastAsia="Yu Gothic" w:hAnsi="Arial"/>
          <w:sz w:val="20"/>
          <w:szCs w:val="20"/>
        </w:rPr>
        <w:t xml:space="preserve"> ①株価 ≤$119(Z2)、または ②K1(AI 容量の粗利率 ≥30%)と K3(更新プレミアム ≥+10% かつ更新率 ≥90%)が2四半期続けて強気側を満たす(K2 の納入 ≥1GW/四半期が加われば、さらにコンセンサス経路へ寄せる)。②の場合、採用経路をコンセンサス寄りに更新し、残存価格比を 0.6 → 0.75 に上げる(1株価値 +$8 前後)。</w:t>
      </w:r>
    </w:p>
    <w:p>
      <w:pPr>
        <w:pStyle w:val="ListParagraph"/>
        <w:numPr>
          <w:ilvl w:val="0"/>
          <w:numId w:val="3"/>
        </w:numPr>
        <w:spacing w:after="40" w:line="290"/>
      </w:pPr>
      <w:r>
        <w:rPr>
          <w:rFonts w:ascii="Arial" w:cs="Arial" w:eastAsia="Yu Gothic" w:hAnsi="Arial"/>
          <w:b/>
          <w:bCs/>
          <w:sz w:val="20"/>
          <w:szCs w:val="20"/>
        </w:rPr>
        <w:t xml:space="preserve">下方(見送りへ。7-2 の撤退条件と同じ):</w:t>
      </w:r>
      <w:r>
        <w:rPr>
          <w:rFonts w:ascii="Arial" w:cs="Arial" w:eastAsia="Yu Gothic" w:hAnsi="Arial"/>
          <w:sz w:val="20"/>
          <w:szCs w:val="20"/>
        </w:rPr>
        <w:t xml:space="preserve"> R3(OpenAI の資金調達失敗・支払遅延・契約の縮小や条件変更)、R5(投資不適格への転落、または $120 未満での大型増資)、あるいは R1(K1 &lt; 25%)と R4(K3 の弱気側)の同時発生。</w:t>
      </w:r>
    </w:p>
    <w:p>
      <w:r>
        <w:br w:type="page"/>
      </w:r>
    </w:p>
    <w:p>
      <w:pPr>
        <w:pStyle w:val="Heading1"/>
      </w:pPr>
      <w:r>
        <w:rPr>
          <w:rFonts w:ascii="Arial" w:cs="Arial" w:eastAsia="Yu Gothic" w:hAnsi="Arial"/>
        </w:rPr>
        <w:t xml:space="preserve">11. 乖離を埋めるカタリスト — 判断を動かす最初のカタリストは、2026年12月の Q2 FY27 決算で開示される AI 容量の粗利率・納入 MW・更新データである</w:t>
      </w:r>
    </w:p>
    <w:p>
      <w:pPr>
        <w:pStyle w:val="Heading2"/>
      </w:pPr>
      <w:r>
        <w:rPr>
          <w:rFonts w:ascii="Arial" w:cs="Arial" w:eastAsia="Yu Gothic" w:hAnsi="Arial"/>
        </w:rPr>
        <w:t xml:space="preserve">11-1 カタリスト一覧と検証スケジュール(F5)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
        <w:gridCol w:w="2072"/>
        <w:gridCol w:w="1036"/>
        <w:gridCol w:w="2072"/>
        <w:gridCol w:w="584"/>
        <w:gridCol w:w="2027"/>
        <w:gridCol w:w="631"/>
        <w:gridCol w:w="583"/>
      </w:tblGrid>
      <w:tr>
        <w:trPr>
          <w:cantSplit/>
          <w:tblHeader/>
        </w:trPr>
        <w:tc>
          <w:tcPr>
            <w:tcW w:type="dxa" w:w="90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時期</w:t>
            </w:r>
          </w:p>
        </w:tc>
        <w:tc>
          <w:tcPr>
            <w:tcW w:type="dxa" w:w="207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カタリスト</w:t>
            </w:r>
          </w:p>
        </w:tc>
        <w:tc>
          <w:tcPr>
            <w:tcW w:type="dxa" w:w="103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分類</w:t>
            </w:r>
          </w:p>
        </w:tc>
        <w:tc>
          <w:tcPr>
            <w:tcW w:type="dxa" w:w="207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影響度の目安(ΔEPS / ΔPEG / Δ1株価値)</w:t>
            </w:r>
          </w:p>
        </w:tc>
        <w:tc>
          <w:tcPr>
            <w:tcW w:type="dxa" w:w="58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実現可能性</w:t>
            </w:r>
          </w:p>
        </w:tc>
        <w:tc>
          <w:tcPr>
            <w:tcW w:type="dxa" w:w="202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合格ライン</w:t>
            </w:r>
          </w:p>
        </w:tc>
        <w:tc>
          <w:tcPr>
            <w:tcW w:type="dxa" w:w="63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効く収益ライン</w:t>
            </w:r>
          </w:p>
        </w:tc>
        <w:tc>
          <w:tcPr>
            <w:tcW w:type="dxa" w:w="58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機構</w:t>
            </w:r>
          </w:p>
        </w:tc>
      </w:tr>
      <w:tr>
        <w:trPr>
          <w:cantSplit/>
          <w:tblHeader w:val="false"/>
        </w:trPr>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2026-12 中旬</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Q2 FY27 決算(ガイダンス: 売上 +30〜34%、EPS $1.85〜1.93)</w:t>
            </w:r>
          </w:p>
        </w:tc>
        <w:tc>
          <w:tcPr>
            <w:tcW w:type="dxa" w:w="10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EPS 向き</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Q2 EPS ±$0.05 / 開示内容しだいで ΔPEG ±0.05</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高</w:t>
            </w:r>
          </w:p>
        </w:tc>
        <w:tc>
          <w:tcPr>
            <w:tcW w:type="dxa" w:w="20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納入 ≥800MW、AI 粗利率 ≥28%(開示時)、更新 ≥0%</w:t>
            </w:r>
          </w:p>
        </w:tc>
        <w:tc>
          <w:tcPr>
            <w:tcW w:type="dxa" w:w="6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E4</w:t>
            </w:r>
          </w:p>
        </w:tc>
        <w:tc>
          <w:tcPr>
            <w:tcW w:type="dxa" w:w="5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M1・M3・M9</w:t>
            </w:r>
          </w:p>
        </w:tc>
      </w:tr>
      <w:tr>
        <w:trPr>
          <w:cantSplit/>
          <w:tblHeader w:val="false"/>
        </w:trPr>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2026 年内〜2027 前半</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FY27 の残り資金調達(約$200億、債券か株式か)</w:t>
            </w:r>
          </w:p>
        </w:tc>
        <w:tc>
          <w:tcPr>
            <w:tcW w:type="dxa" w:w="10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その他(希薄化)</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株式なら株数 +3%(−$4/株)</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中</w:t>
            </w:r>
          </w:p>
        </w:tc>
        <w:tc>
          <w:tcPr>
            <w:tcW w:type="dxa" w:w="20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追加の普通株 ≤$100億</w:t>
            </w:r>
          </w:p>
        </w:tc>
        <w:tc>
          <w:tcPr>
            <w:tcW w:type="dxa" w:w="6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5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M13</w:t>
            </w:r>
          </w:p>
        </w:tc>
      </w:tr>
      <w:tr>
        <w:trPr>
          <w:cantSplit/>
          <w:tblHeader w:val="false"/>
        </w:trPr>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2027-02-01</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Green Chile ガス管(ニューメキシコ)の稼働予定日</w:t>
            </w:r>
          </w:p>
        </w:tc>
        <w:tc>
          <w:tcPr>
            <w:tcW w:type="dxa" w:w="10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EPS 向き(時期)</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FY28 EPS ±$0.3</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中</w:t>
            </w:r>
          </w:p>
        </w:tc>
        <w:tc>
          <w:tcPr>
            <w:tcW w:type="dxa" w:w="20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予定どおり稼働</w:t>
            </w:r>
          </w:p>
        </w:tc>
        <w:tc>
          <w:tcPr>
            <w:tcW w:type="dxa" w:w="6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E4</w:t>
            </w:r>
          </w:p>
        </w:tc>
        <w:tc>
          <w:tcPr>
            <w:tcW w:type="dxa" w:w="5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M9</w:t>
            </w:r>
          </w:p>
        </w:tc>
      </w:tr>
      <w:tr>
        <w:trPr>
          <w:cantSplit/>
          <w:tblHeader w:val="false"/>
        </w:trPr>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2027 前半</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OpenAI の大型資金調達(評価額 $1.2兆を協議中との報道)</w:t>
            </w:r>
          </w:p>
        </w:tc>
        <w:tc>
          <w:tcPr>
            <w:tcW w:type="dxa" w:w="10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PEG 再評価トリガー</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成功: 不払い確率 20% → 12%(+$2/株)。失敗: 20% → 40%(−$5/株)</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中</w:t>
            </w:r>
          </w:p>
        </w:tc>
        <w:tc>
          <w:tcPr>
            <w:tcW w:type="dxa" w:w="20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評価額 $1兆以上でクローズ</w:t>
            </w:r>
          </w:p>
        </w:tc>
        <w:tc>
          <w:tcPr>
            <w:tcW w:type="dxa" w:w="6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E4</w:t>
            </w:r>
          </w:p>
        </w:tc>
        <w:tc>
          <w:tcPr>
            <w:tcW w:type="dxa" w:w="5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M5</w:t>
            </w:r>
          </w:p>
        </w:tc>
      </w:tr>
      <w:tr>
        <w:trPr>
          <w:cantSplit/>
          <w:tblHeader w:val="false"/>
        </w:trPr>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2027 年中</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OpenAI 契約(約$3,000億)の本格開始</w:t>
            </w:r>
          </w:p>
        </w:tc>
        <w:tc>
          <w:tcPr>
            <w:tcW w:type="dxa" w:w="10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EPS 向き</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FY28 AI 売上 +$100億規模</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中〜高</w:t>
            </w:r>
          </w:p>
        </w:tc>
        <w:tc>
          <w:tcPr>
            <w:tcW w:type="dxa" w:w="20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契約どおりの課金開始</w:t>
            </w:r>
          </w:p>
        </w:tc>
        <w:tc>
          <w:tcPr>
            <w:tcW w:type="dxa" w:w="6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E4</w:t>
            </w:r>
          </w:p>
        </w:tc>
        <w:tc>
          <w:tcPr>
            <w:tcW w:type="dxa" w:w="5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M5・M6</w:t>
            </w:r>
          </w:p>
        </w:tc>
      </w:tr>
      <w:tr>
        <w:trPr>
          <w:cantSplit/>
          <w:tblHeader w:val="false"/>
        </w:trPr>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2027-06 中旬</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FY27 決算と FY28 ガイダンス</w:t>
            </w:r>
          </w:p>
        </w:tc>
        <w:tc>
          <w:tcPr>
            <w:tcW w:type="dxa" w:w="10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EPS 向き / PEG</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FY28 EPS ガイダンスがコンセンサス $10.78 を上回れば +$5〜10/株</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中</w:t>
            </w:r>
          </w:p>
        </w:tc>
        <w:tc>
          <w:tcPr>
            <w:tcW w:type="dxa" w:w="20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FY28 売上 ≥$1,250億(PSO 目標水準)</w:t>
            </w:r>
          </w:p>
        </w:tc>
        <w:tc>
          <w:tcPr>
            <w:tcW w:type="dxa" w:w="6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全ライン</w:t>
            </w:r>
          </w:p>
        </w:tc>
        <w:tc>
          <w:tcPr>
            <w:tcW w:type="dxa" w:w="5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M3・M9</w:t>
            </w:r>
          </w:p>
        </w:tc>
      </w:tr>
      <w:tr>
        <w:trPr>
          <w:cantSplit/>
          <w:tblHeader w:val="false"/>
        </w:trPr>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随時</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S&amp;P・Moody's の格付け見直し</w:t>
            </w:r>
          </w:p>
        </w:tc>
        <w:tc>
          <w:tcPr>
            <w:tcW w:type="dxa" w:w="10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PEG 再評価トリガー</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ジャンク転落: −$8/株</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低〜中</w:t>
            </w:r>
          </w:p>
        </w:tc>
        <w:tc>
          <w:tcPr>
            <w:tcW w:type="dxa" w:w="20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BBB- 維持</w:t>
            </w:r>
          </w:p>
        </w:tc>
        <w:tc>
          <w:tcPr>
            <w:tcW w:type="dxa" w:w="6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5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M17</w:t>
            </w:r>
          </w:p>
        </w:tc>
      </w:tr>
      <w:tr>
        <w:trPr>
          <w:cantSplit/>
          <w:tblHeader w:val="false"/>
        </w:trPr>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2026〜2027</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次世代 GPU(NVIDIA Rubin 等)の出荷と旧世代の貸出単価</w:t>
            </w:r>
          </w:p>
        </w:tc>
        <w:tc>
          <w:tcPr>
            <w:tcW w:type="dxa" w:w="10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PEG 再評価トリガー(芯①)</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残存価格比 ±0.3 → ±$8/株</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中</w:t>
            </w:r>
          </w:p>
        </w:tc>
        <w:tc>
          <w:tcPr>
            <w:tcW w:type="dxa" w:w="20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H100 指数 ≥$2.0</w:t>
            </w:r>
          </w:p>
        </w:tc>
        <w:tc>
          <w:tcPr>
            <w:tcW w:type="dxa" w:w="6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E4</w:t>
            </w:r>
          </w:p>
        </w:tc>
        <w:tc>
          <w:tcPr>
            <w:tcW w:type="dxa" w:w="5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M1・M2</w:t>
            </w:r>
          </w:p>
        </w:tc>
      </w:tr>
      <w:tr>
        <w:trPr>
          <w:cantSplit/>
          <w:tblHeader w:val="false"/>
        </w:trPr>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2028-05</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共同CEO の PSO 測定(FY28 総売上 $1,000億 / $1,250億)</w:t>
            </w:r>
          </w:p>
        </w:tc>
        <w:tc>
          <w:tcPr>
            <w:tcW w:type="dxa" w:w="10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その他</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経営陣のインセンティブの確認</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20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≥$1,000億</w:t>
            </w:r>
          </w:p>
        </w:tc>
        <w:tc>
          <w:tcPr>
            <w:tcW w:type="dxa" w:w="6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全ライン</w:t>
            </w:r>
          </w:p>
        </w:tc>
        <w:tc>
          <w:tcPr>
            <w:tcW w:type="dxa" w:w="5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r>
      <w:tr>
        <w:trPr>
          <w:cantSplit/>
          <w:tblHeader w:val="false"/>
        </w:trPr>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FY29(2028-06〜)</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FCF(純)の黒字化(S&amp;P は 2029年を想定)</w:t>
            </w:r>
          </w:p>
        </w:tc>
        <w:tc>
          <w:tcPr>
            <w:tcW w:type="dxa" w:w="10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PEG 再評価トリガー</w:t>
            </w:r>
          </w:p>
        </w:tc>
        <w:tc>
          <w:tcPr>
            <w:tcW w:type="dxa" w:w="20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PEG 0.85 → 1.0(FY27 基準で +$23/株)</w:t>
            </w:r>
          </w:p>
        </w:tc>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中</w:t>
            </w:r>
          </w:p>
        </w:tc>
        <w:tc>
          <w:tcPr>
            <w:tcW w:type="dxa" w:w="20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FCF ≥0</w:t>
            </w:r>
          </w:p>
        </w:tc>
        <w:tc>
          <w:tcPr>
            <w:tcW w:type="dxa" w:w="63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58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M3・M8</w:t>
            </w:r>
          </w:p>
        </w:tc>
      </w:tr>
    </w:tbl>
    <w:p>
      <w:pPr>
        <w:spacing w:after="80"/>
      </w:pPr>
    </w:p>
    <w:p>
      <w:pPr>
        <w:spacing w:after="120" w:line="300"/>
      </w:pPr>
      <w:r>
        <w:rPr>
          <w:rFonts w:ascii="Arial" w:cs="Arial" w:eastAsia="Yu Gothic" w:hAnsi="Arial"/>
          <w:b/>
          <w:bCs/>
          <w:sz w:val="20"/>
          <w:szCs w:val="20"/>
        </w:rPr>
        <w:t xml:space="preserve">現在の PEG 評価を覆すカタリスト(PEG 再評価トリガー):</w:t>
      </w:r>
      <w:r>
        <w:rPr>
          <w:rFonts w:ascii="Arial" w:cs="Arial" w:eastAsia="Yu Gothic" w:hAnsi="Arial"/>
          <w:sz w:val="20"/>
          <w:szCs w:val="20"/>
        </w:rPr>
        <w:t xml:space="preserve"> FCF(純)の黒字化(FY29)、OpenAI の資金調達の成否(2027)、次世代 GPU 出荷後の旧世代の更新単価(2027〜)、格付け。いずれも、資本集約・顧客集中・経済的寿命という PEG を低く置いた理由そのものを動かす。</w:t>
      </w:r>
    </w:p>
    <w:p>
      <w:r>
        <w:br w:type="page"/>
      </w:r>
    </w:p>
    <w:p>
      <w:pPr>
        <w:pStyle w:val="Heading1"/>
      </w:pPr>
      <w:r>
        <w:rPr>
          <w:rFonts w:ascii="Arial" w:cs="Arial" w:eastAsia="Yu Gothic" w:hAnsi="Arial"/>
        </w:rPr>
        <w:t xml:space="preserve">12. リスクと投資アクション — 残るリスクの核心は OpenAI と電力であり、$119 以下で分割エントリー、撤退は OpenAI の契約変更か格付けのジャンク転落とする</w:t>
      </w:r>
    </w:p>
    <w:p>
      <w:pPr>
        <w:pStyle w:val="Heading2"/>
      </w:pPr>
      <w:r>
        <w:rPr>
          <w:rFonts w:ascii="Arial" w:cs="Arial" w:eastAsia="Yu Gothic" w:hAnsi="Arial"/>
        </w:rPr>
        <w:t xml:space="preserve">12-1 機構台帳サマリ(F16。全行は Appendix 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3"/>
        <w:gridCol w:w="4154"/>
        <w:gridCol w:w="563"/>
        <w:gridCol w:w="1805"/>
        <w:gridCol w:w="563"/>
        <w:gridCol w:w="722"/>
        <w:gridCol w:w="1536"/>
      </w:tblGrid>
      <w:tr>
        <w:trPr>
          <w:cantSplit/>
          <w:tblHeader/>
        </w:trPr>
        <w:tc>
          <w:tcPr>
            <w:tcW w:type="dxa" w:w="56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w:t>
            </w:r>
          </w:p>
        </w:tc>
        <w:tc>
          <w:tcPr>
            <w:tcW w:type="dxa" w:w="415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機構</w:t>
            </w:r>
          </w:p>
        </w:tc>
        <w:tc>
          <w:tcPr>
            <w:tcW w:type="dxa" w:w="56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方向</w:t>
            </w:r>
          </w:p>
        </w:tc>
        <w:tc>
          <w:tcPr>
            <w:tcW w:type="dxa" w:w="180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Δ1株価値</w:t>
            </w:r>
          </w:p>
        </w:tc>
        <w:tc>
          <w:tcPr>
            <w:tcW w:type="dxa" w:w="56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確率</w:t>
            </w:r>
          </w:p>
        </w:tc>
        <w:tc>
          <w:tcPr>
            <w:tcW w:type="dxa" w:w="72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時期</w:t>
            </w:r>
          </w:p>
        </w:tc>
        <w:tc>
          <w:tcPr>
            <w:tcW w:type="dxa" w:w="153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市場の織り込み</w:t>
            </w:r>
          </w:p>
        </w:tc>
      </w:tr>
      <w:tr>
        <w:trPr>
          <w:cantSplit/>
          <w:tblHeader w:val="false"/>
        </w:trPr>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M1</w:t>
            </w:r>
          </w:p>
        </w:tc>
        <w:tc>
          <w:tcPr>
            <w:tcW w:type="dxa" w:w="41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経済的寿命 &gt; 会計耐用年数(更新 +20%)</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180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+$16</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40%</w:t>
            </w:r>
          </w:p>
        </w:tc>
        <w:tc>
          <w:tcPr>
            <w:tcW w:type="dxa" w:w="7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FY31〜</w:t>
            </w:r>
          </w:p>
        </w:tc>
        <w:tc>
          <w:tcPr>
            <w:tcW w:type="dxa" w:w="15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一部(逆算 0.54)</w:t>
            </w:r>
          </w:p>
        </w:tc>
      </w:tr>
      <w:tr>
        <w:trPr>
          <w:cantSplit/>
          <w:tblHeader w:val="false"/>
        </w:trPr>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M2</w:t>
            </w:r>
          </w:p>
        </w:tc>
        <w:tc>
          <w:tcPr>
            <w:tcW w:type="dxa" w:w="41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次世代 GPU で旧世代の単価が崩れる(残存 0・空室費)</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180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−$19</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25%</w:t>
            </w:r>
          </w:p>
        </w:tc>
        <w:tc>
          <w:tcPr>
            <w:tcW w:type="dxa" w:w="7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FY31〜</w:t>
            </w:r>
          </w:p>
        </w:tc>
        <w:tc>
          <w:tcPr>
            <w:tcW w:type="dxa" w:w="15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一部</w:t>
            </w:r>
          </w:p>
        </w:tc>
      </w:tr>
      <w:tr>
        <w:trPr>
          <w:cantSplit/>
          <w:tblHeader w:val="false"/>
        </w:trPr>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M3</w:t>
            </w:r>
          </w:p>
        </w:tc>
        <w:tc>
          <w:tcPr>
            <w:tcW w:type="dxa" w:w="41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AI 容量の粗利率が 30% 台へ(立上げ費用の解消)</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180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+$5(EPS +$0.85 定常)</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50%</w:t>
            </w:r>
          </w:p>
        </w:tc>
        <w:tc>
          <w:tcPr>
            <w:tcW w:type="dxa" w:w="7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FY28〜29</w:t>
            </w:r>
          </w:p>
        </w:tc>
        <w:tc>
          <w:tcPr>
            <w:tcW w:type="dxa" w:w="15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一部(逆算 m=30%)</w:t>
            </w:r>
          </w:p>
        </w:tc>
      </w:tr>
      <w:tr>
        <w:trPr>
          <w:cantSplit/>
          <w:tblHeader w:val="false"/>
        </w:trPr>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M4</w:t>
            </w:r>
          </w:p>
        </w:tc>
        <w:tc>
          <w:tcPr>
            <w:tcW w:type="dxa" w:w="41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AI 容量の利益率の低迷(価格競争・部材高)</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180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−$13</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25%</w:t>
            </w:r>
          </w:p>
        </w:tc>
        <w:tc>
          <w:tcPr>
            <w:tcW w:type="dxa" w:w="7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FY28〜</w:t>
            </w:r>
          </w:p>
        </w:tc>
        <w:tc>
          <w:tcPr>
            <w:tcW w:type="dxa" w:w="15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一部</w:t>
            </w:r>
          </w:p>
        </w:tc>
      </w:tr>
      <w:tr>
        <w:trPr>
          <w:cantSplit/>
          <w:tblHeader w:val="false"/>
        </w:trPr>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M5</w:t>
            </w:r>
          </w:p>
        </w:tc>
        <w:tc>
          <w:tcPr>
            <w:tcW w:type="dxa" w:w="41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OpenAI の不払い・契約縮小</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180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−$16〜−25</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20%</w:t>
            </w:r>
          </w:p>
        </w:tc>
        <w:tc>
          <w:tcPr>
            <w:tcW w:type="dxa" w:w="7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FY29〜31</w:t>
            </w:r>
          </w:p>
        </w:tc>
        <w:tc>
          <w:tcPr>
            <w:tcW w:type="dxa" w:w="15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大部分(株価 −59%)</w:t>
            </w:r>
          </w:p>
        </w:tc>
      </w:tr>
      <w:tr>
        <w:trPr>
          <w:cantSplit/>
          <w:tblHeader w:val="false"/>
        </w:trPr>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M6</w:t>
            </w:r>
          </w:p>
        </w:tc>
        <w:tc>
          <w:tcPr>
            <w:tcW w:type="dxa" w:w="41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OpenAI の単価再交渉(−20%)</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180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−$6.5</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30%</w:t>
            </w:r>
          </w:p>
        </w:tc>
        <w:tc>
          <w:tcPr>
            <w:tcW w:type="dxa" w:w="7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FY28〜</w:t>
            </w:r>
          </w:p>
        </w:tc>
        <w:tc>
          <w:tcPr>
            <w:tcW w:type="dxa" w:w="15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一部</w:t>
            </w:r>
          </w:p>
        </w:tc>
      </w:tr>
      <w:tr>
        <w:trPr>
          <w:cantSplit/>
          <w:tblHeader w:val="false"/>
        </w:trPr>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M8</w:t>
            </w:r>
          </w:p>
        </w:tc>
        <w:tc>
          <w:tcPr>
            <w:tcW w:type="dxa" w:w="41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前払い・持込による資本と陳腐化リスクの移転</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180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+$3〜5</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70%</w:t>
            </w:r>
          </w:p>
        </w:tc>
        <w:tc>
          <w:tcPr>
            <w:tcW w:type="dxa" w:w="7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進行中</w:t>
            </w:r>
          </w:p>
        </w:tc>
        <w:tc>
          <w:tcPr>
            <w:tcW w:type="dxa" w:w="15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一部</w:t>
            </w:r>
          </w:p>
        </w:tc>
      </w:tr>
      <w:tr>
        <w:trPr>
          <w:cantSplit/>
          <w:tblHeader w:val="false"/>
        </w:trPr>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M9</w:t>
            </w:r>
          </w:p>
        </w:tc>
        <w:tc>
          <w:tcPr>
            <w:tcW w:type="dxa" w:w="41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電力の解放遅延</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180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−$3(EPS: FY29 −$1.2)</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50%</w:t>
            </w:r>
          </w:p>
        </w:tc>
        <w:tc>
          <w:tcPr>
            <w:tcW w:type="dxa" w:w="7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FY28〜29</w:t>
            </w:r>
          </w:p>
        </w:tc>
        <w:tc>
          <w:tcPr>
            <w:tcW w:type="dxa" w:w="15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一部</w:t>
            </w:r>
          </w:p>
        </w:tc>
      </w:tr>
      <w:tr>
        <w:trPr>
          <w:cantSplit/>
          <w:tblHeader w:val="false"/>
        </w:trPr>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M11</w:t>
            </w:r>
          </w:p>
        </w:tc>
        <w:tc>
          <w:tcPr>
            <w:tcW w:type="dxa" w:w="41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電力付き建屋の希少性(長期リースの上振れ)</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180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+$5〜10</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30%</w:t>
            </w:r>
          </w:p>
        </w:tc>
        <w:tc>
          <w:tcPr>
            <w:tcW w:type="dxa" w:w="7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FY32〜</w:t>
            </w:r>
          </w:p>
        </w:tc>
        <w:tc>
          <w:tcPr>
            <w:tcW w:type="dxa" w:w="15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未</w:t>
            </w:r>
          </w:p>
        </w:tc>
      </w:tr>
      <w:tr>
        <w:trPr>
          <w:cantSplit/>
          <w:tblHeader w:val="false"/>
        </w:trPr>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M13</w:t>
            </w:r>
          </w:p>
        </w:tc>
        <w:tc>
          <w:tcPr>
            <w:tcW w:type="dxa" w:w="41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低株価での追加増資</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180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−$4〜−12</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40%</w:t>
            </w:r>
          </w:p>
        </w:tc>
        <w:tc>
          <w:tcPr>
            <w:tcW w:type="dxa" w:w="7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FY27〜28</w:t>
            </w:r>
          </w:p>
        </w:tc>
        <w:tc>
          <w:tcPr>
            <w:tcW w:type="dxa" w:w="15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一部</w:t>
            </w:r>
          </w:p>
        </w:tc>
      </w:tr>
      <w:tr>
        <w:trPr>
          <w:cantSplit/>
          <w:tblHeader w:val="false"/>
        </w:trPr>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M15</w:t>
            </w:r>
          </w:p>
        </w:tc>
        <w:tc>
          <w:tcPr>
            <w:tcW w:type="dxa" w:w="41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コアの営業費効率化(利益率 48 → 50%)</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180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+$6</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40%</w:t>
            </w:r>
          </w:p>
        </w:tc>
        <w:tc>
          <w:tcPr>
            <w:tcW w:type="dxa" w:w="7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FY27〜28</w:t>
            </w:r>
          </w:p>
        </w:tc>
        <w:tc>
          <w:tcPr>
            <w:tcW w:type="dxa" w:w="15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一部</w:t>
            </w:r>
          </w:p>
        </w:tc>
      </w:tr>
      <w:tr>
        <w:trPr>
          <w:cantSplit/>
          <w:tblHeader w:val="false"/>
        </w:trPr>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M16</w:t>
            </w:r>
          </w:p>
        </w:tc>
        <w:tc>
          <w:tcPr>
            <w:tcW w:type="dxa" w:w="41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ソフトウェア(保守)の侵食加速</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w:t>
            </w:r>
          </w:p>
        </w:tc>
        <w:tc>
          <w:tcPr>
            <w:tcW w:type="dxa" w:w="180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−$7</w:t>
            </w:r>
          </w:p>
        </w:tc>
        <w:tc>
          <w:tcPr>
            <w:tcW w:type="dxa" w:w="5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25%</w:t>
            </w:r>
          </w:p>
        </w:tc>
        <w:tc>
          <w:tcPr>
            <w:tcW w:type="dxa" w:w="7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FY27〜30</w:t>
            </w:r>
          </w:p>
        </w:tc>
        <w:tc>
          <w:tcPr>
            <w:tcW w:type="dxa" w:w="153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一部</w:t>
            </w:r>
          </w:p>
        </w:tc>
      </w:tr>
    </w:tbl>
    <w:p>
      <w:pPr>
        <w:spacing w:after="80"/>
      </w:pPr>
    </w:p>
    <w:p>
      <w:pPr>
        <w:spacing w:after="120" w:line="300"/>
      </w:pPr>
      <w:r>
        <w:rPr>
          <w:rFonts w:ascii="Arial" w:cs="Arial" w:eastAsia="Yu Gothic" w:hAnsi="Arial"/>
          <w:sz w:val="20"/>
          <w:szCs w:val="20"/>
        </w:rPr>
        <w:t xml:space="preserve">上振れと下振れを同じ粒度で並べた。Appendix E の全行で集計すると、上振れ7機構(M1・M3・M7・M8・M11・M14・M15)の確率加重は +$20、下振れ8機構(M2・M4・M5・M6・M9・M13・M16・M17)は −$22 で、純額は −$2/株である。期待値 $132(−7%)と同じ方向を示す(機構の一部はベースの前提と重なるため、純額は目安である)。</w:t>
      </w:r>
    </w:p>
    <w:p>
      <w:pPr>
        <w:pStyle w:val="Heading2"/>
      </w:pPr>
      <w:r>
        <w:rPr>
          <w:rFonts w:ascii="Arial" w:cs="Arial" w:eastAsia="Yu Gothic" w:hAnsi="Arial"/>
        </w:rPr>
        <w:t xml:space="preserve">12-2 リスクマトリクス(F14。テールリスクを含む)</w:t>
      </w:r>
    </w:p>
    <w:p>
      <w:pPr>
        <w:spacing w:after="120" w:line="300"/>
      </w:pPr>
      <w:r>
        <w:rPr>
          <w:rFonts w:ascii="Arial" w:cs="Arial" w:eastAsia="Yu Gothic" w:hAnsi="Arial"/>
          <w:b/>
          <w:bCs/>
          <w:sz w:val="20"/>
          <w:szCs w:val="20"/>
        </w:rPr>
        <w:t xml:space="preserve">通常のリスク(本体評価に効果として組み込み済み):</w:t>
      </w:r>
      <w:r>
        <w:rPr>
          <w:rFonts w:ascii="Arial" w:cs="Arial" w:eastAsia="Yu Gothic" w:hAnsi="Arial"/>
          <w:sz w:val="20"/>
          <w:szCs w:val="20"/>
        </w:rPr>
        <w:t xml:space="preserve"> M2・M4・M5・M6・M9・M13・M16・M17(機構台帳)。</w:t>
      </w:r>
    </w:p>
    <w:p>
      <w:pPr>
        <w:spacing w:after="120" w:line="300"/>
      </w:pPr>
      <w:r>
        <w:rPr>
          <w:rFonts w:ascii="Arial" w:cs="Arial" w:eastAsia="Yu Gothic" w:hAnsi="Arial"/>
          <w:b/>
          <w:bCs/>
          <w:sz w:val="20"/>
          <w:szCs w:val="20"/>
        </w:rPr>
        <w:t xml:space="preserve">テールリスク(低確率・高インパクト。可能性分析のうえ本体評価から分離):</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7"/>
        <w:gridCol w:w="2178"/>
        <w:gridCol w:w="616"/>
        <w:gridCol w:w="2178"/>
        <w:gridCol w:w="2178"/>
        <w:gridCol w:w="2179"/>
      </w:tblGrid>
      <w:tr>
        <w:trPr>
          <w:cantSplit/>
          <w:tblHeader/>
        </w:trPr>
        <w:tc>
          <w:tcPr>
            <w:tcW w:type="dxa" w:w="57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w:t>
            </w:r>
          </w:p>
        </w:tc>
        <w:tc>
          <w:tcPr>
            <w:tcW w:type="dxa" w:w="217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テールリスク</w:t>
            </w:r>
          </w:p>
        </w:tc>
        <w:tc>
          <w:tcPr>
            <w:tcW w:type="dxa" w:w="61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発生確率(3年)</w:t>
            </w:r>
          </w:p>
        </w:tc>
        <w:tc>
          <w:tcPr>
            <w:tcW w:type="dxa" w:w="217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影響度</w:t>
            </w:r>
          </w:p>
        </w:tc>
        <w:tc>
          <w:tcPr>
            <w:tcW w:type="dxa" w:w="217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可能性分析</w:t>
            </w:r>
          </w:p>
        </w:tc>
        <w:tc>
          <w:tcPr>
            <w:tcW w:type="dxa" w:w="217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顕在化トリガー(兆候)</w:t>
            </w:r>
          </w:p>
        </w:tc>
      </w:tr>
      <w:tr>
        <w:trPr>
          <w:cantSplit/>
          <w:tblHeader w:val="false"/>
        </w:trPr>
        <w:tc>
          <w:tcPr>
            <w:tcW w:type="dxa" w:w="5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T1</w:t>
            </w:r>
          </w:p>
        </w:tc>
        <w:tc>
          <w:tcPr>
            <w:tcW w:type="dxa" w:w="2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投資の全面的な逆回転(主要 AI 研究所の同時資金難とハイパースケーラーの capex 削減)</w:t>
            </w:r>
          </w:p>
        </w:tc>
        <w:tc>
          <w:tcPr>
            <w:tcW w:type="dxa" w:w="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w:t>
            </w:r>
          </w:p>
        </w:tc>
        <w:tc>
          <w:tcPr>
            <w:tcW w:type="dxa" w:w="2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極大(1株 $50〜70。代替需要も同時に消え、リース $2,880億が固定費化)</w:t>
            </w:r>
          </w:p>
        </w:tc>
        <w:tc>
          <w:tcPr>
            <w:tcW w:type="dxa" w:w="2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OpenAI の FCF −$2,780億(2026〜30年)、評価額依存の資金調達。ただしハイパースケーラーの受注残は拡大中</w:t>
            </w:r>
          </w:p>
        </w:tc>
        <w:tc>
          <w:tcPr>
            <w:tcW w:type="dxa" w:w="21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OpenAI のダウンラウンド、ハイパースケーラーの capex ガイダンス引下げ、GPU 貸出単価の急落(H100 指数 &lt;$1.5)</w:t>
            </w:r>
          </w:p>
        </w:tc>
      </w:tr>
      <w:tr>
        <w:trPr>
          <w:cantSplit/>
          <w:tblHeader w:val="false"/>
        </w:trPr>
        <w:tc>
          <w:tcPr>
            <w:tcW w:type="dxa" w:w="5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T2</w:t>
            </w:r>
          </w:p>
        </w:tc>
        <w:tc>
          <w:tcPr>
            <w:tcW w:type="dxa" w:w="2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電力・規制ショック(州・連邦によるデータセンター電力の制限)</w:t>
            </w:r>
          </w:p>
        </w:tc>
        <w:tc>
          <w:tcPr>
            <w:tcW w:type="dxa" w:w="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5〜10%</w:t>
            </w:r>
          </w:p>
        </w:tc>
        <w:tc>
          <w:tcPr>
            <w:tcW w:type="dxa" w:w="2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大(納期 2年以上の遅延)</w:t>
            </w:r>
          </w:p>
        </w:tc>
        <w:tc>
          <w:tcPr>
            <w:tcW w:type="dxa" w:w="2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住民訴訟(ニューメキシコ)、電力料金の転嫁問題(ウィスコンシン)</w:t>
            </w:r>
          </w:p>
        </w:tc>
        <w:tc>
          <w:tcPr>
            <w:tcW w:type="dxa" w:w="21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州法・FERC の規則変更、送電の優先順位の変更</w:t>
            </w:r>
          </w:p>
        </w:tc>
      </w:tr>
      <w:tr>
        <w:trPr>
          <w:cantSplit/>
          <w:tblHeader w:val="false"/>
        </w:trPr>
        <w:tc>
          <w:tcPr>
            <w:tcW w:type="dxa" w:w="5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T3</w:t>
            </w:r>
          </w:p>
        </w:tc>
        <w:tc>
          <w:tcPr>
            <w:tcW w:type="dxa" w:w="2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キーパーソン(Larry Ellison 会長兼CTO、82歳)</w:t>
            </w:r>
          </w:p>
        </w:tc>
        <w:tc>
          <w:tcPr>
            <w:tcW w:type="dxa" w:w="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5%</w:t>
            </w:r>
          </w:p>
        </w:tc>
        <w:tc>
          <w:tcPr>
            <w:tcW w:type="dxa" w:w="2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中</w:t>
            </w:r>
          </w:p>
        </w:tc>
        <w:tc>
          <w:tcPr>
            <w:tcW w:type="dxa" w:w="2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共同CEO 体制(2025-09〜)と新CFO(2026-04)で継承は進行中</w:t>
            </w:r>
          </w:p>
        </w:tc>
        <w:tc>
          <w:tcPr>
            <w:tcW w:type="dxa" w:w="21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健康・持株の売却</w:t>
            </w:r>
          </w:p>
        </w:tc>
      </w:tr>
      <w:tr>
        <w:trPr>
          <w:cantSplit/>
          <w:tblHeader w:val="false"/>
        </w:trPr>
        <w:tc>
          <w:tcPr>
            <w:tcW w:type="dxa" w:w="5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T4</w:t>
            </w:r>
          </w:p>
        </w:tc>
        <w:tc>
          <w:tcPr>
            <w:tcW w:type="dxa" w:w="2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地政学(先端 GPU・メモリの供給途絶)</w:t>
            </w:r>
          </w:p>
        </w:tc>
        <w:tc>
          <w:tcPr>
            <w:tcW w:type="dxa" w:w="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5%</w:t>
            </w:r>
          </w:p>
        </w:tc>
        <w:tc>
          <w:tcPr>
            <w:tcW w:type="dxa" w:w="2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大</w:t>
            </w:r>
          </w:p>
        </w:tc>
        <w:tc>
          <w:tcPr>
            <w:tcW w:type="dxa" w:w="2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台湾集中</w:t>
            </w:r>
          </w:p>
        </w:tc>
        <w:tc>
          <w:tcPr>
            <w:tcW w:type="dxa" w:w="21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輸出規制、地域紛争</w:t>
            </w:r>
          </w:p>
        </w:tc>
      </w:tr>
      <w:tr>
        <w:trPr>
          <w:cantSplit/>
          <w:tblHeader w:val="false"/>
        </w:trPr>
        <w:tc>
          <w:tcPr>
            <w:tcW w:type="dxa" w:w="57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T5</w:t>
            </w:r>
          </w:p>
        </w:tc>
        <w:tc>
          <w:tcPr>
            <w:tcW w:type="dxa" w:w="2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会計不正</w:t>
            </w:r>
          </w:p>
        </w:tc>
        <w:tc>
          <w:tcPr>
            <w:tcW w:type="dxa" w:w="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低(兆候なし)</w:t>
            </w:r>
          </w:p>
        </w:tc>
        <w:tc>
          <w:tcPr>
            <w:tcW w:type="dxa" w:w="2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2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耐用年数の延長(FY25)は更新データと整合。異常検知器のうち発生主義比率は前受金で歪むため参考外</w:t>
            </w:r>
          </w:p>
        </w:tc>
        <w:tc>
          <w:tcPr>
            <w:tcW w:type="dxa" w:w="217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監査人の交代、修正再表示</w:t>
            </w:r>
          </w:p>
        </w:tc>
      </w:tr>
    </w:tbl>
    <w:p>
      <w:pPr>
        <w:spacing w:after="80"/>
      </w:pPr>
    </w:p>
    <w:p>
      <w:pPr>
        <w:spacing w:after="120" w:line="300"/>
      </w:pPr>
      <w:r>
        <w:rPr>
          <w:rFonts w:ascii="Arial" w:cs="Arial" w:eastAsia="Yu Gothic" w:hAnsi="Arial"/>
          <w:sz w:val="20"/>
          <w:szCs w:val="20"/>
        </w:rPr>
        <w:t xml:space="preserve">テールリスクは「分離」したが「無視」していない。T1 は弱気パス($84)をさらに下回る。そのためポジションの大きさは、T1 の顕在化で −50% になっても許容できる水準に抑える(12-4)。</w:t>
      </w:r>
    </w:p>
    <w:p>
      <w:pPr>
        <w:pStyle w:val="Heading2"/>
      </w:pPr>
      <w:r>
        <w:rPr>
          <w:rFonts w:ascii="Arial" w:cs="Arial" w:eastAsia="Yu Gothic" w:hAnsi="Arial"/>
        </w:rPr>
        <w:t xml:space="preserve">12-3 エントリー価格帯(F7)</w:t>
      </w:r>
    </w:p>
    <w:p>
      <w:pPr>
        <w:keepNext/>
        <w:spacing w:after="40" w:before="80"/>
        <w:jc w:val="center"/>
      </w:pPr>
      <w:r>
        <w:drawing>
          <wp:inline distT="0" distB="0" distL="0" distR="0">
            <wp:extent cx="57912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91200" cy="2962275"/>
                    </a:xfrm>
                    <a:prstGeom prst="rect">
                      <a:avLst/>
                    </a:prstGeom>
                  </pic:spPr>
                </pic:pic>
              </a:graphicData>
            </a:graphic>
          </wp:inline>
        </w:drawing>
      </w:r>
    </w:p>
    <w:p>
      <w:pPr>
        <w:spacing w:after="160"/>
        <w:jc w:val="center"/>
      </w:pPr>
      <w:r>
        <w:rPr>
          <w:rFonts w:ascii="Arial" w:cs="Arial" w:eastAsia="Yu Gothic" w:hAnsi="Arial"/>
          <w:i/>
          <w:iCs/>
          <w:color w:val="5A6B7D"/>
          <w:sz w:val="17"/>
          <w:szCs w:val="17"/>
        </w:rPr>
        <w:t xml:space="preserve">図F7 エントリー価格帯(数直線)。現在株価 $141.4 は見送り圏(エントリー価格帯の区分名。最終判断の「見送り」とは別)(出典: 本報告書の分析、3ゾーンの導出式は Appendix B-7)</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1"/>
        <w:gridCol w:w="3810"/>
        <w:gridCol w:w="3895"/>
      </w:tblGrid>
      <w:tr>
        <w:trPr>
          <w:cantSplit/>
          <w:tblHeader/>
        </w:trPr>
        <w:tc>
          <w:tcPr>
            <w:tcW w:type="dxa" w:w="220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項目</w:t>
            </w:r>
          </w:p>
        </w:tc>
        <w:tc>
          <w:tcPr>
            <w:tcW w:type="dxa" w:w="381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値</w:t>
            </w:r>
          </w:p>
        </w:tc>
        <w:tc>
          <w:tcPr>
            <w:tcW w:type="dxa" w:w="389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導出</w:t>
            </w:r>
          </w:p>
        </w:tc>
      </w:tr>
      <w:tr>
        <w:trPr>
          <w:cantSplit/>
          <w:tblHeader w:val="false"/>
        </w:trPr>
        <w:tc>
          <w:tcPr>
            <w:tcW w:type="dxa" w:w="22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ベース B(事業エンジン経路)</w:t>
            </w:r>
          </w:p>
        </w:tc>
        <w:tc>
          <w:tcPr>
            <w:tcW w:type="dxa" w:w="38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$134</w:t>
            </w:r>
          </w:p>
        </w:tc>
        <w:tc>
          <w:tcPr>
            <w:tcW w:type="dxa" w:w="389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10-3</w:t>
            </w:r>
          </w:p>
        </w:tc>
      </w:tr>
      <w:tr>
        <w:trPr>
          <w:cantSplit/>
          <w:tblHeader w:val="false"/>
        </w:trPr>
        <w:tc>
          <w:tcPr>
            <w:tcW w:type="dxa" w:w="22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強気 U(会社シナリオ経路)</w:t>
            </w:r>
          </w:p>
        </w:tc>
        <w:tc>
          <w:tcPr>
            <w:tcW w:type="dxa" w:w="38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$192</w:t>
            </w:r>
          </w:p>
        </w:tc>
        <w:tc>
          <w:tcPr>
            <w:tcW w:type="dxa" w:w="389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10-2</w:t>
            </w:r>
          </w:p>
        </w:tc>
      </w:tr>
      <w:tr>
        <w:trPr>
          <w:cantSplit/>
          <w:tblHeader w:val="false"/>
        </w:trPr>
        <w:tc>
          <w:tcPr>
            <w:tcW w:type="dxa" w:w="22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弱気 L</w:t>
            </w:r>
          </w:p>
        </w:tc>
        <w:tc>
          <w:tcPr>
            <w:tcW w:type="dxa" w:w="38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$84</w:t>
            </w:r>
          </w:p>
        </w:tc>
        <w:tc>
          <w:tcPr>
            <w:tcW w:type="dxa" w:w="389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10-2</w:t>
            </w:r>
          </w:p>
        </w:tc>
      </w:tr>
      <w:tr>
        <w:trPr>
          <w:cantSplit/>
          <w:tblHeader w:val="false"/>
        </w:trPr>
        <w:tc>
          <w:tcPr>
            <w:tcW w:type="dxa" w:w="22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安全余裕率 α</w:t>
            </w:r>
          </w:p>
        </w:tc>
        <w:tc>
          <w:tcPr>
            <w:tcW w:type="dxa" w:w="38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22.5%</w:t>
            </w:r>
          </w:p>
        </w:tc>
        <w:tc>
          <w:tcPr>
            <w:tcW w:type="dxa" w:w="389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構造評価 B(20〜25% の中央)</w:t>
            </w:r>
          </w:p>
        </w:tc>
      </w:tr>
      <w:tr>
        <w:trPr>
          <w:cantSplit/>
          <w:tblHeader w:val="false"/>
        </w:trPr>
        <w:tc>
          <w:tcPr>
            <w:tcW w:type="dxa" w:w="22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即エントリー圏の上限 Z1</w:t>
            </w:r>
          </w:p>
        </w:tc>
        <w:tc>
          <w:tcPr>
            <w:tcW w:type="dxa" w:w="38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min(B×(1−α), L×(1+α/2)) = min($104, </w:t>
            </w:r>
            <w:r>
              <w:rPr>
                <w:rFonts w:ascii="Arial" w:cs="Arial" w:eastAsia="Yu Gothic" w:hAnsi="Arial"/>
                <w:color w:val="222222"/>
                <w:sz w:val="16"/>
                <w:szCs w:val="16"/>
              </w:rPr>
              <w:t xml:space="preserve">$94</w:t>
            </w:r>
            <w:r>
              <w:rPr>
                <w:rFonts w:ascii="Arial" w:cs="Arial" w:eastAsia="Yu Gothic" w:hAnsi="Arial"/>
                <w:color w:val="222222"/>
                <w:sz w:val="16"/>
                <w:szCs w:val="16"/>
              </w:rPr>
              <w:t xml:space="preserve">)= $94</w:t>
            </w:r>
          </w:p>
        </w:tc>
        <w:tc>
          <w:tcPr>
            <w:tcW w:type="dxa" w:w="389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エッジなしのため即エントリー圏は設けない(参考値)</w:t>
            </w:r>
          </w:p>
        </w:tc>
      </w:tr>
      <w:tr>
        <w:trPr>
          <w:cantSplit/>
          <w:tblHeader w:val="false"/>
        </w:trPr>
        <w:tc>
          <w:tcPr>
            <w:tcW w:type="dxa" w:w="22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分割エントリー圏の上限 Z2</w:t>
            </w:r>
          </w:p>
        </w:tc>
        <w:tc>
          <w:tcPr>
            <w:tcW w:type="dxa" w:w="38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 × (1−α/2) = </w:t>
            </w:r>
            <w:r>
              <w:rPr>
                <w:rFonts w:ascii="Arial" w:cs="Arial" w:eastAsia="Yu Gothic" w:hAnsi="Arial"/>
                <w:color w:val="222222"/>
                <w:sz w:val="16"/>
                <w:szCs w:val="16"/>
              </w:rPr>
              <w:t xml:space="preserve">$119</w:t>
            </w:r>
          </w:p>
        </w:tc>
        <w:tc>
          <w:tcPr>
            <w:tcW w:type="dxa" w:w="389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
            </w:r>
          </w:p>
        </w:tc>
      </w:tr>
      <w:tr>
        <w:trPr>
          <w:cantSplit/>
          <w:tblHeader w:val="false"/>
        </w:trPr>
        <w:tc>
          <w:tcPr>
            <w:tcW w:type="dxa" w:w="22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現在株価 $141.40 の位置</w:t>
            </w:r>
          </w:p>
        </w:tc>
        <w:tc>
          <w:tcPr>
            <w:tcW w:type="dxa" w:w="38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見送り圏</w:t>
            </w:r>
            <w:r>
              <w:rPr>
                <w:rFonts w:ascii="Arial" w:cs="Arial" w:eastAsia="Yu Gothic" w:hAnsi="Arial"/>
                <w:color w:val="222222"/>
                <w:sz w:val="16"/>
                <w:szCs w:val="16"/>
              </w:rPr>
              <w:t xml:space="preserve">(区分名。最終判断の「見送り」とは別)</w:t>
            </w:r>
          </w:p>
        </w:tc>
        <w:tc>
          <w:tcPr>
            <w:tcW w:type="dxa" w:w="389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Z2 を 19% 上回る</w:t>
            </w:r>
          </w:p>
        </w:tc>
      </w:tr>
      <w:tr>
        <w:trPr>
          <w:cantSplit/>
          <w:tblHeader w:val="false"/>
        </w:trPr>
        <w:tc>
          <w:tcPr>
            <w:tcW w:type="dxa" w:w="22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補助条件</w:t>
            </w:r>
          </w:p>
        </w:tc>
        <w:tc>
          <w:tcPr>
            <w:tcW w:type="dxa" w:w="38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Z1 での (U−株価)÷(株価−L) = 10.3(≥2)</w:t>
            </w:r>
          </w:p>
        </w:tc>
        <w:tc>
          <w:tcPr>
            <w:tcW w:type="dxa" w:w="389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上値と下値の比は十分</w:t>
            </w:r>
          </w:p>
        </w:tc>
      </w:tr>
    </w:tbl>
    <w:p>
      <w:pPr>
        <w:spacing w:after="80"/>
      </w:pPr>
    </w:p>
    <w:p>
      <w:pPr>
        <w:pStyle w:val="Heading2"/>
      </w:pPr>
      <w:r>
        <w:rPr>
          <w:rFonts w:ascii="Arial" w:cs="Arial" w:eastAsia="Yu Gothic" w:hAnsi="Arial"/>
        </w:rPr>
        <w:t xml:space="preserve">12-4 時系列投資戦略(4フェーズ、F8)</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6"/>
        <w:gridCol w:w="2349"/>
        <w:gridCol w:w="2349"/>
        <w:gridCol w:w="2094"/>
        <w:gridCol w:w="2348"/>
      </w:tblGrid>
      <w:tr>
        <w:trPr>
          <w:cantSplit/>
          <w:tblHeader/>
        </w:trPr>
        <w:tc>
          <w:tcPr>
            <w:tcW w:type="dxa" w:w="76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フェーズ</w:t>
            </w:r>
          </w:p>
        </w:tc>
        <w:tc>
          <w:tcPr>
            <w:tcW w:type="dxa" w:w="234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期間の目安</w:t>
            </w:r>
          </w:p>
        </w:tc>
        <w:tc>
          <w:tcPr>
            <w:tcW w:type="dxa" w:w="234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やること</w:t>
            </w:r>
          </w:p>
        </w:tc>
        <w:tc>
          <w:tcPr>
            <w:tcW w:type="dxa" w:w="209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確認 KPI(判別KPI と共有)</w:t>
            </w:r>
          </w:p>
        </w:tc>
        <w:tc>
          <w:tcPr>
            <w:tcW w:type="dxa" w:w="234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撤退条件</w:t>
            </w:r>
          </w:p>
        </w:tc>
      </w:tr>
      <w:tr>
        <w:trPr>
          <w:cantSplit/>
          <w:tblHeader w:val="false"/>
        </w:trPr>
        <w:tc>
          <w:tcPr>
            <w:tcW w:type="dxa" w:w="76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 監視期(現在)</w:t>
            </w:r>
          </w:p>
        </w:tc>
        <w:tc>
          <w:tcPr>
            <w:tcW w:type="dxa" w:w="23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〜株価 ≤$119、または K1(≥30%)・K3(≥+10% かつ ≥90%)の2四半期連続の強気側確認まで</w:t>
            </w:r>
          </w:p>
        </w:tc>
        <w:tc>
          <w:tcPr>
            <w:tcW w:type="dxa" w:w="23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保有しない。四半期ごとに確度を更新する</w:t>
            </w:r>
          </w:p>
        </w:tc>
        <w:tc>
          <w:tcPr>
            <w:tcW w:type="dxa" w:w="20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K1〜K6</w:t>
            </w:r>
          </w:p>
        </w:tc>
        <w:tc>
          <w:tcPr>
            <w:tcW w:type="dxa" w:w="23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r>
      <w:tr>
        <w:trPr>
          <w:cantSplit/>
          <w:tblHeader w:val="false"/>
        </w:trPr>
        <w:tc>
          <w:tcPr>
            <w:tcW w:type="dxa" w:w="76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 エントリー期</w:t>
            </w:r>
          </w:p>
        </w:tc>
        <w:tc>
          <w:tcPr>
            <w:tcW w:type="dxa" w:w="23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条件成立から1〜2四半期</w:t>
            </w:r>
          </w:p>
        </w:tc>
        <w:tc>
          <w:tcPr>
            <w:tcW w:type="dxa" w:w="23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$119 以下で3回に分けて建てる(1回あたり目標ポジションの 1/3)。目標ポジションは、T1 で −50% でも全体の許容損失に収まる大きさ</w:t>
            </w:r>
          </w:p>
        </w:tc>
        <w:tc>
          <w:tcPr>
            <w:tcW w:type="dxa" w:w="20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K2(納入)、K4(OpenAI)</w:t>
            </w:r>
          </w:p>
        </w:tc>
        <w:tc>
          <w:tcPr>
            <w:tcW w:type="dxa" w:w="23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R3 または R5、あるいは R1 と R4 の同時発生(7-2)</w:t>
            </w:r>
          </w:p>
        </w:tc>
      </w:tr>
      <w:tr>
        <w:trPr>
          <w:cantSplit/>
          <w:tblHeader w:val="false"/>
        </w:trPr>
        <w:tc>
          <w:tcPr>
            <w:tcW w:type="dxa" w:w="76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 検証期</w:t>
            </w:r>
          </w:p>
        </w:tc>
        <w:tc>
          <w:tcPr>
            <w:tcW w:type="dxa" w:w="23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2〜4四半期</w:t>
            </w:r>
          </w:p>
        </w:tc>
        <w:tc>
          <w:tcPr>
            <w:tcW w:type="dxa" w:w="23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確度を四半期ごとに更新し、差分(経済的寿命・利益率)の進捗を見る</w:t>
            </w:r>
          </w:p>
        </w:tc>
        <w:tc>
          <w:tcPr>
            <w:tcW w:type="dxa" w:w="20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K1 の合格ライン(Q4 FY27 ≥30%)、K3</w:t>
            </w:r>
          </w:p>
        </w:tc>
        <w:tc>
          <w:tcPr>
            <w:tcW w:type="dxa" w:w="23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合格ラインを2四半期続けて下回り、一時要因で説明できない</w:t>
            </w:r>
          </w:p>
        </w:tc>
      </w:tr>
      <w:tr>
        <w:trPr>
          <w:cantSplit/>
          <w:tblHeader w:val="false"/>
        </w:trPr>
        <w:tc>
          <w:tcPr>
            <w:tcW w:type="dxa" w:w="76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 本格保有期</w:t>
            </w:r>
          </w:p>
        </w:tc>
        <w:tc>
          <w:tcPr>
            <w:tcW w:type="dxa" w:w="23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FCF(純)の改善が数字に表れてから(FY28 後半〜)</w:t>
            </w:r>
          </w:p>
        </w:tc>
        <w:tc>
          <w:tcPr>
            <w:tcW w:type="dxa" w:w="23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確度に応じて保有を増やす</w:t>
            </w:r>
          </w:p>
        </w:tc>
        <w:tc>
          <w:tcPr>
            <w:tcW w:type="dxa" w:w="20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K5、根幹KPI の加速度(OCI 前年比の2階差分)</w:t>
            </w:r>
          </w:p>
        </w:tc>
        <w:tc>
          <w:tcPr>
            <w:tcW w:type="dxa" w:w="23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ループ R1 の最も弱いリンク(OpenAI の支払)の破綻</w:t>
            </w:r>
          </w:p>
        </w:tc>
      </w:tr>
      <w:tr>
        <w:trPr>
          <w:cantSplit/>
          <w:tblHeader w:val="false"/>
        </w:trPr>
        <w:tc>
          <w:tcPr>
            <w:tcW w:type="dxa" w:w="76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4. 再評価期</w:t>
            </w:r>
          </w:p>
        </w:tc>
        <w:tc>
          <w:tcPr>
            <w:tcW w:type="dxa" w:w="23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差分が市場に織り込まれた後(PEG ≥1.0)</w:t>
            </w:r>
          </w:p>
        </w:tc>
        <w:tc>
          <w:tcPr>
            <w:tcW w:type="dxa" w:w="23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新しい差分があるかを再分析し、なければ縮小する</w:t>
            </w:r>
          </w:p>
        </w:tc>
        <w:tc>
          <w:tcPr>
            <w:tcW w:type="dxa" w:w="209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成長の値段、コンセンサスとの差</w:t>
            </w:r>
          </w:p>
        </w:tc>
        <w:tc>
          <w:tcPr>
            <w:tcW w:type="dxa" w:w="23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エッジの消失</w:t>
            </w:r>
          </w:p>
        </w:tc>
      </w:tr>
    </w:tbl>
    <w:p>
      <w:pPr>
        <w:spacing w:after="80"/>
      </w:pPr>
    </w:p>
    <w:p>
      <w:pPr>
        <w:spacing w:after="120" w:line="300"/>
      </w:pPr>
      <w:r>
        <w:rPr>
          <w:rFonts w:ascii="Arial" w:cs="Arial" w:eastAsia="Yu Gothic" w:hAnsi="Arial"/>
          <w:b/>
          <w:bCs/>
          <w:sz w:val="20"/>
          <w:szCs w:val="20"/>
        </w:rPr>
        <w:t xml:space="preserve">一文サマリ(投資アクション込み):</w:t>
      </w:r>
      <w:r>
        <w:rPr>
          <w:rFonts w:ascii="Arial" w:cs="Arial" w:eastAsia="Yu Gothic" w:hAnsi="Arial"/>
          <w:sz w:val="20"/>
          <w:szCs w:val="20"/>
        </w:rPr>
        <w:t xml:space="preserve"> Oracle は、データベースの利益を土台に他人の建物と顧客の資金で AI 容量を建てる事業へ移っている。しかし $141 の株価は、AI 容量の利益率30%と控えめな残存価値をすでに織り込み、事業本体の評価($134〜140)とほぼ一致するため、</w:t>
      </w:r>
      <w:r>
        <w:rPr>
          <w:rFonts w:ascii="Arial" w:cs="Arial" w:eastAsia="Yu Gothic" w:hAnsi="Arial"/>
          <w:b/>
          <w:bCs/>
          <w:sz w:val="20"/>
          <w:szCs w:val="20"/>
        </w:rPr>
        <w:t xml:space="preserve">監視</w:t>
      </w:r>
      <w:r>
        <w:rPr>
          <w:rFonts w:ascii="Arial" w:cs="Arial" w:eastAsia="Yu Gothic" w:hAnsi="Arial"/>
          <w:sz w:val="20"/>
          <w:szCs w:val="20"/>
        </w:rPr>
        <w:t xml:space="preserve">とする。</w:t>
      </w:r>
    </w:p>
    <w:p>
      <w:pPr>
        <w:pStyle w:val="ListParagraph"/>
        <w:numPr>
          <w:ilvl w:val="0"/>
          <w:numId w:val="3"/>
        </w:numPr>
        <w:spacing w:after="40" w:line="290"/>
      </w:pPr>
      <w:r>
        <w:rPr>
          <w:rFonts w:ascii="Arial" w:cs="Arial" w:eastAsia="Yu Gothic" w:hAnsi="Arial"/>
          <w:b/>
          <w:bCs/>
          <w:sz w:val="20"/>
          <w:szCs w:val="20"/>
        </w:rPr>
        <w:t xml:space="preserve">買付条件:</w:t>
      </w:r>
      <w:r>
        <w:rPr>
          <w:rFonts w:ascii="Arial" w:cs="Arial" w:eastAsia="Yu Gothic" w:hAnsi="Arial"/>
          <w:sz w:val="20"/>
          <w:szCs w:val="20"/>
        </w:rPr>
        <w:t xml:space="preserve"> $119 以下で3分割、または K1(AI 容量の粗利率 ≥30%)と K3(GPU 更新プレミアム ≥+10% かつ更新率 ≥90%)の2四半期連続の確認。</w:t>
      </w:r>
    </w:p>
    <w:p>
      <w:pPr>
        <w:pStyle w:val="ListParagraph"/>
        <w:numPr>
          <w:ilvl w:val="0"/>
          <w:numId w:val="3"/>
        </w:numPr>
        <w:spacing w:after="40" w:line="290"/>
      </w:pPr>
      <w:r>
        <w:rPr>
          <w:rFonts w:ascii="Arial" w:cs="Arial" w:eastAsia="Yu Gothic" w:hAnsi="Arial"/>
          <w:b/>
          <w:bCs/>
          <w:sz w:val="20"/>
          <w:szCs w:val="20"/>
        </w:rPr>
        <w:t xml:space="preserve">監視KPI:</w:t>
      </w:r>
      <w:r>
        <w:rPr>
          <w:rFonts w:ascii="Arial" w:cs="Arial" w:eastAsia="Yu Gothic" w:hAnsi="Arial"/>
          <w:sz w:val="20"/>
          <w:szCs w:val="20"/>
        </w:rPr>
        <w:t xml:space="preserve"> AI 容量の粗利率、四半期納入 MW、更新データ、OpenAI の資金調達、純現金 capex、RPO 純増。</w:t>
      </w:r>
    </w:p>
    <w:p>
      <w:pPr>
        <w:pStyle w:val="ListParagraph"/>
        <w:numPr>
          <w:ilvl w:val="0"/>
          <w:numId w:val="3"/>
        </w:numPr>
        <w:spacing w:after="40" w:line="290"/>
      </w:pPr>
      <w:r>
        <w:rPr>
          <w:rFonts w:ascii="Arial" w:cs="Arial" w:eastAsia="Yu Gothic" w:hAnsi="Arial"/>
          <w:b/>
          <w:bCs/>
          <w:sz w:val="20"/>
          <w:szCs w:val="20"/>
        </w:rPr>
        <w:t xml:space="preserve">売却トリガー(7-2 で事前登録):</w:t>
      </w:r>
      <w:r>
        <w:rPr>
          <w:rFonts w:ascii="Arial" w:cs="Arial" w:eastAsia="Yu Gothic" w:hAnsi="Arial"/>
          <w:sz w:val="20"/>
          <w:szCs w:val="20"/>
        </w:rPr>
        <w:t xml:space="preserve"> R3(OpenAI の資金調達失敗・支払遅延・契約の縮小や条件変更)、R5(投資不適格への転落、または $120 未満での大型増資)、あるいは R1(AI 容量の粗利率 25% 未満)と R4(更新プレミアムがマイナス、または更新率 70% 未満)の同時発生。</w:t>
      </w:r>
    </w:p>
    <w:p>
      <w:r>
        <w:br w:type="page"/>
      </w:r>
    </w:p>
    <w:p>
      <w:pPr>
        <w:pStyle w:val="Heading1"/>
      </w:pPr>
      <w:r>
        <w:rPr>
          <w:rFonts w:ascii="Arial" w:cs="Arial" w:eastAsia="Yu Gothic" w:hAnsi="Arial"/>
        </w:rPr>
        <w:t xml:space="preserve">Appendix A: evidence 台帳(パワポ作成スキル入力用の条件別一覧)</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4"/>
        <w:gridCol w:w="1973"/>
        <w:gridCol w:w="564"/>
        <w:gridCol w:w="2268"/>
        <w:gridCol w:w="2268"/>
        <w:gridCol w:w="2269"/>
      </w:tblGrid>
      <w:tr>
        <w:trPr>
          <w:cantSplit/>
          <w:tblHeader/>
        </w:trPr>
        <w:tc>
          <w:tcPr>
            <w:tcW w:type="dxa" w:w="56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w:t>
            </w:r>
          </w:p>
        </w:tc>
        <w:tc>
          <w:tcPr>
            <w:tcW w:type="dxa" w:w="197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条件</w:t>
            </w:r>
          </w:p>
        </w:tc>
        <w:tc>
          <w:tcPr>
            <w:tcW w:type="dxa" w:w="56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評価</w:t>
            </w:r>
          </w:p>
        </w:tc>
        <w:tc>
          <w:tcPr>
            <w:tcW w:type="dxa" w:w="226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根拠一文</w:t>
            </w:r>
          </w:p>
        </w:tc>
        <w:tc>
          <w:tcPr>
            <w:tcW w:type="dxa" w:w="226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主要数値(出所、取得日 2026-10-11)</w:t>
            </w:r>
          </w:p>
        </w:tc>
        <w:tc>
          <w:tcPr>
            <w:tcW w:type="dxa" w:w="226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監視KPI(C以下のみ)</w:t>
            </w:r>
          </w:p>
        </w:tc>
      </w:tr>
      <w:tr>
        <w:trPr>
          <w:cantSplit/>
          <w:tblHeader w:val="false"/>
        </w:trPr>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w:t>
            </w:r>
          </w:p>
        </w:tc>
        <w:tc>
          <w:tcPr>
            <w:tcW w:type="dxa" w:w="19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10年の価格決定力・競争優位・成長性</w:t>
            </w:r>
          </w:p>
        </w:tc>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DB はスイッチングコストが強い。AI は更新 +20% と値上げの実績があるが、優位の源泉(電力)は一時的</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更新 +20%(Q1 FY27 説明会)、Software −3%、CoreWeave の全品目 +25%(2026-07)</w:t>
            </w:r>
          </w:p>
        </w:tc>
        <w:tc>
          <w:tcPr>
            <w:tcW w:type="dxa" w:w="22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r>
      <w:tr>
        <w:trPr>
          <w:cantSplit/>
          <w:tblHeader w:val="false"/>
        </w:trPr>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w:t>
            </w:r>
          </w:p>
        </w:tc>
        <w:tc>
          <w:tcPr>
            <w:tcW w:type="dxa" w:w="19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コア事業の潤沢なキャッシュフロー</w:t>
            </w:r>
          </w:p>
        </w:tc>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コア NOPAT 約$211億、契約裏付け率 4.0倍。ただし全社 FCF は6四半期連続のマイナス</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営業CF $320億(FY26)、FCF −$237億(FY26)、Q1 FY27 −$54億(10-Q・プレス)</w:t>
            </w:r>
          </w:p>
        </w:tc>
        <w:tc>
          <w:tcPr>
            <w:tcW w:type="dxa" w:w="22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r>
      <w:tr>
        <w:trPr>
          <w:cantSplit/>
          <w:tblHeader w:val="false"/>
        </w:trPr>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w:t>
            </w:r>
          </w:p>
        </w:tc>
        <w:tc>
          <w:tcPr>
            <w:tcW w:type="dxa" w:w="19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コア技術・データの AI 転用と成果</w:t>
            </w:r>
          </w:p>
        </w:tc>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DB 基盤とネットワーク技術が OCI と AI 容量に転用され、増収の主因になった</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OCI +121%(Q1 FY27)、マルチクラウド DB +353%</w:t>
            </w:r>
          </w:p>
        </w:tc>
        <w:tc>
          <w:tcPr>
            <w:tcW w:type="dxa" w:w="22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r>
      <w:tr>
        <w:trPr>
          <w:cantSplit/>
          <w:tblHeader w:val="false"/>
        </w:trPr>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4</w:t>
            </w:r>
          </w:p>
        </w:tc>
        <w:tc>
          <w:tcPr>
            <w:tcW w:type="dxa" w:w="19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日本株か米国株</w:t>
            </w:r>
          </w:p>
        </w:tc>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S(充足)</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NYSE 上場の米国企業</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c>
          <w:tcPr>
            <w:tcW w:type="dxa" w:w="22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r>
      <w:tr>
        <w:trPr>
          <w:cantSplit/>
          <w:tblHeader w:val="false"/>
        </w:trPr>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5</w:t>
            </w:r>
          </w:p>
        </w:tc>
        <w:tc>
          <w:tcPr>
            <w:tcW w:type="dxa" w:w="19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CEO の信頼性と事業拡大の経歴</w:t>
            </w:r>
          </w:p>
        </w:tc>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Magouyrk は OCI をゼロから構築し、成長の約束は守った。capex の約束は大幅に超過し、報酬 KPI は総額指標</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FY26 capex: 2025-09 時点の見通し 約$350億 → 実績 $557億。PSO の KPI は FY28 総売上(DEF 14A)</w:t>
            </w:r>
          </w:p>
        </w:tc>
        <w:tc>
          <w:tcPr>
            <w:tcW w:type="dxa" w:w="22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r>
      <w:tr>
        <w:trPr>
          <w:cantSplit/>
          <w:tblHeader w:val="false"/>
        </w:trPr>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6</w:t>
            </w:r>
          </w:p>
        </w:tc>
        <w:tc>
          <w:tcPr>
            <w:tcW w:type="dxa" w:w="19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5年後 EPS 成長率で PEG&lt;1(CAGR 30%以上)</w:t>
            </w:r>
          </w:p>
        </w:tc>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会社シナリオ経路のみ CAGR 30%超かつ PEG&lt;1。事業エンジン(22.1%)とコンセンサス(26.2%)は CAGR 30% 未満</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事業実態PER 20.5倍、PEG 0.65〜0.92</w:t>
            </w:r>
          </w:p>
        </w:tc>
        <w:tc>
          <w:tcPr>
            <w:tcW w:type="dxa" w:w="22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K1・K2(AI 粗利率 ≥30%、納入 ≥1GW/四半期)。CAGR の上方修正のトリガー</w:t>
            </w:r>
          </w:p>
        </w:tc>
      </w:tr>
      <w:tr>
        <w:trPr>
          <w:cantSplit/>
          <w:tblHeader w:val="false"/>
        </w:trPr>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7</w:t>
            </w:r>
          </w:p>
        </w:tc>
        <w:tc>
          <w:tcPr>
            <w:tcW w:type="dxa" w:w="19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PEG が低い理由がリスクの過大評価</w:t>
            </w:r>
          </w:p>
        </w:tc>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安い理由の一部(経済的寿命)は片側の物語だが、主因(OpenAI 集中・資金)は実在のリスクで、株価の逆算は会社の利益率を織り込む</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逆算 m=30%、残存 0.54。OpenAI は RPO の 45〜50%(S&amp;P・BofA)</w:t>
            </w:r>
          </w:p>
        </w:tc>
        <w:tc>
          <w:tcPr>
            <w:tcW w:type="dxa" w:w="22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K4(OpenAI の資金調達 ≥$1兆評価)、K3(更新率 ≥85%)</w:t>
            </w:r>
          </w:p>
        </w:tc>
      </w:tr>
      <w:tr>
        <w:trPr>
          <w:cantSplit/>
          <w:tblHeader w:val="false"/>
        </w:trPr>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w:t>
            </w:r>
          </w:p>
        </w:tc>
        <w:tc>
          <w:tcPr>
            <w:tcW w:type="dxa" w:w="19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コモディティではない</w:t>
            </w:r>
          </w:p>
        </w:tc>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DB は非コモディティ。AI 容量は計算の商品化(先物の準備)が進み、差別化は電力・速度・ネットワークに限られる</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ICE・CME の GPU 計算先物の準備、H100 指数 $2.80(ネオクラウド)対 $7.19(ハイパースケーラー)</w:t>
            </w:r>
          </w:p>
        </w:tc>
        <w:tc>
          <w:tcPr>
            <w:tcW w:type="dxa" w:w="22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K1(AI 粗利率)。価格競争の兆候は全社粗利率の下落幅</w:t>
            </w:r>
          </w:p>
        </w:tc>
      </w:tr>
      <w:tr>
        <w:trPr>
          <w:cantSplit/>
          <w:tblHeader w:val="false"/>
        </w:trPr>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9</w:t>
            </w:r>
          </w:p>
        </w:tc>
        <w:tc>
          <w:tcPr>
            <w:tcW w:type="dxa" w:w="19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顧客の AI 実装の「停めない運用」に不可欠</w:t>
            </w:r>
          </w:p>
        </w:tc>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研究所にとって電力付き容量は最重要の費目で、乗り換えに数か月〜数年を要する。企業 AI は Oracle DB 上のデータに依存</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GPU 稼働率 97.9%、Q4 FY26 の更新 92%(GPU 基準)</w:t>
            </w:r>
          </w:p>
        </w:tc>
        <w:tc>
          <w:tcPr>
            <w:tcW w:type="dxa" w:w="22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r>
      <w:tr>
        <w:trPr>
          <w:cantSplit/>
          <w:tblHeader w:val="false"/>
        </w:trPr>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w:t>
            </w:r>
          </w:p>
        </w:tc>
        <w:tc>
          <w:tcPr>
            <w:tcW w:type="dxa" w:w="19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無形資産投資の陳腐化リスク</w:t>
            </w:r>
          </w:p>
        </w:tc>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DB の技術・顧客関係は長寿命。耐用年数の延長(6年)は更新データと整合</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FY25 に5 → 6年(営業費用 −$7.33億)、更新期の GPU(過半が4年超)が全量 +20% で更新・再販</w:t>
            </w:r>
          </w:p>
        </w:tc>
        <w:tc>
          <w:tcPr>
            <w:tcW w:type="dxa" w:w="22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r>
      <w:tr>
        <w:trPr>
          <w:cantSplit/>
          <w:tblHeader w:val="false"/>
        </w:trPr>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11</w:t>
            </w:r>
          </w:p>
        </w:tc>
        <w:tc>
          <w:tcPr>
            <w:tcW w:type="dxa" w:w="19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模倣困難・代替不可能</w:t>
            </w:r>
          </w:p>
        </w:tc>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DB 顧客基盤とマルチクラウドの配置は再現困難。AI 容量は資本と電力があれば再現可能(2〜4年)</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確保電力 10GW 超、AWS 20・Google 15リージョンで Oracle DB を提供</w:t>
            </w:r>
          </w:p>
        </w:tc>
        <w:tc>
          <w:tcPr>
            <w:tcW w:type="dxa" w:w="22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r>
      <w:tr>
        <w:trPr>
          <w:cantSplit/>
          <w:tblHeader w:val="false"/>
        </w:trPr>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12</w:t>
            </w:r>
          </w:p>
        </w:tc>
        <w:tc>
          <w:tcPr>
            <w:tcW w:type="dxa" w:w="19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従量課金型の収益性格</w:t>
            </w:r>
          </w:p>
        </w:tc>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OCI は従量・確約、保守・SaaS は継続課金。持込契約で陳腐化リスクを顧客に移す</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前払い・持込 $750億、RPO $6,640億</w:t>
            </w:r>
          </w:p>
        </w:tc>
        <w:tc>
          <w:tcPr>
            <w:tcW w:type="dxa" w:w="22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r>
      <w:tr>
        <w:trPr>
          <w:cantSplit/>
          <w:tblHeader w:val="false"/>
        </w:trPr>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13</w:t>
            </w:r>
          </w:p>
        </w:tc>
        <w:tc>
          <w:tcPr>
            <w:tcW w:type="dxa" w:w="19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アーキタイプ照合</w:t>
            </w:r>
          </w:p>
        </w:tc>
        <w:tc>
          <w:tcPr>
            <w:tcW w:type="dxa" w:w="5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ORCL 型(原型)だが、自社調達の GPU 部分は MU 型に寄る</w:t>
            </w:r>
          </w:p>
        </w:tc>
        <w:tc>
          <w:tcPr>
            <w:tcW w:type="dxa" w:w="226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capex ÷ 売上 147%(Q1 FY27)、純現金 capex ≤$700億(FY27)</w:t>
            </w:r>
          </w:p>
        </w:tc>
        <w:tc>
          <w:tcPr>
            <w:tcW w:type="dxa" w:w="226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w:t>
            </w:r>
          </w:p>
        </w:tc>
      </w:tr>
    </w:tbl>
    <w:p>
      <w:pPr>
        <w:spacing w:after="80"/>
      </w:pPr>
    </w:p>
    <w:p>
      <w:r>
        <w:br w:type="page"/>
      </w:r>
    </w:p>
    <w:p>
      <w:pPr>
        <w:pStyle w:val="Heading1"/>
      </w:pPr>
      <w:r>
        <w:rPr>
          <w:rFonts w:ascii="Arial" w:cs="Arial" w:eastAsia="Yu Gothic" w:hAnsi="Arial"/>
        </w:rPr>
        <w:t xml:space="preserve">Appendix B: 計算前提</w:t>
      </w:r>
    </w:p>
    <w:p>
      <w:pPr>
        <w:spacing w:after="120" w:line="300"/>
      </w:pPr>
      <w:r>
        <w:rPr>
          <w:rFonts w:ascii="Arial" w:cs="Arial" w:eastAsia="Yu Gothic" w:hAnsi="Arial"/>
          <w:b/>
          <w:bCs/>
          <w:sz w:val="20"/>
          <w:szCs w:val="20"/>
        </w:rPr>
        <w:t xml:space="preserve">B-1 EPS の定義と基準EPS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3"/>
        <w:gridCol w:w="3616"/>
        <w:gridCol w:w="3617"/>
      </w:tblGrid>
      <w:tr>
        <w:trPr>
          <w:cantSplit/>
          <w:tblHeader/>
        </w:trPr>
        <w:tc>
          <w:tcPr>
            <w:tcW w:type="dxa" w:w="267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項目</w:t>
            </w:r>
          </w:p>
        </w:tc>
        <w:tc>
          <w:tcPr>
            <w:tcW w:type="dxa" w:w="361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値</w:t>
            </w:r>
          </w:p>
        </w:tc>
        <w:tc>
          <w:tcPr>
            <w:tcW w:type="dxa" w:w="361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出所・注記</w:t>
            </w:r>
          </w:p>
        </w:tc>
      </w:tr>
      <w:tr>
        <w:trPr>
          <w:cantSplit/>
          <w:tblHeader w:val="false"/>
        </w:trPr>
        <w:tc>
          <w:tcPr>
            <w:tcW w:type="dxa" w:w="26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EPS の定義</w:t>
            </w:r>
          </w:p>
        </w:tc>
        <w:tc>
          <w:tcPr>
            <w:tcW w:type="dxa" w:w="3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希薄化後・非GAAP(会社定義: SBC、買収無形資産の償却、買収関連・リストラ費用などを除外)。事業実態EPS は、ここから SBC の税引後額を控除</w:t>
            </w:r>
          </w:p>
        </w:tc>
        <w:tc>
          <w:tcPr>
            <w:tcW w:type="dxa" w:w="36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Oracle 決算プレス</w:t>
            </w:r>
          </w:p>
        </w:tc>
      </w:tr>
      <w:tr>
        <w:trPr>
          <w:cantSplit/>
          <w:tblHeader w:val="false"/>
        </w:trPr>
        <w:tc>
          <w:tcPr>
            <w:tcW w:type="dxa" w:w="26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FY26 非GAAP EPS</w:t>
            </w:r>
          </w:p>
        </w:tc>
        <w:tc>
          <w:tcPr>
            <w:tcW w:type="dxa" w:w="3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$7.631(GAAP $5.83)</w:t>
            </w:r>
          </w:p>
        </w:tc>
        <w:tc>
          <w:tcPr>
            <w:tcW w:type="dxa" w:w="36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Q4 FY26 プレス(2026-06-10)</w:t>
            </w:r>
          </w:p>
        </w:tc>
      </w:tr>
      <w:tr>
        <w:trPr>
          <w:cantSplit/>
          <w:tblHeader w:val="false"/>
        </w:trPr>
        <w:tc>
          <w:tcPr>
            <w:tcW w:type="dxa" w:w="26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一時要因の除外</w:t>
            </w:r>
          </w:p>
        </w:tc>
        <w:tc>
          <w:tcPr>
            <w:tcW w:type="dxa" w:w="3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Ampere 売却益 $27億(税引前、Q2 FY26、EPS 約 $0.72)+ Q4 の投資益 $0.08(Bloom ワラント関連と推定)= $0.80 → 正規化 $6.83</w:t>
            </w:r>
          </w:p>
        </w:tc>
        <w:tc>
          <w:tcPr>
            <w:tcW w:type="dxa" w:w="36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プレス・10-K(営業外収益 +$35億、うち Ampere $27億・その他の投資益 $3.8億)</w:t>
            </w:r>
          </w:p>
        </w:tc>
      </w:tr>
      <w:tr>
        <w:trPr>
          <w:cantSplit/>
          <w:tblHeader w:val="false"/>
        </w:trPr>
        <w:tc>
          <w:tcPr>
            <w:tcW w:type="dxa" w:w="26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SBC</w:t>
            </w:r>
          </w:p>
        </w:tc>
        <w:tc>
          <w:tcPr>
            <w:tcW w:type="dxa" w:w="3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FY26 $48.11億、FY27E 約$46億(Q1 $11.27億 × 4 = $45億に増加傾向を加味)、以後 +6%/年</w:t>
            </w:r>
          </w:p>
        </w:tc>
        <w:tc>
          <w:tcPr>
            <w:tcW w:type="dxa" w:w="36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10-K・10-Q</w:t>
            </w:r>
          </w:p>
        </w:tc>
      </w:tr>
      <w:tr>
        <w:trPr>
          <w:cantSplit/>
          <w:tblHeader w:val="false"/>
        </w:trPr>
        <w:tc>
          <w:tcPr>
            <w:tcW w:type="dxa" w:w="26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税率(非GAAP)</w:t>
            </w:r>
          </w:p>
        </w:tc>
        <w:tc>
          <w:tcPr>
            <w:tcW w:type="dxa" w:w="3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20%(Q1 FY26 実績 20.5%)</w:t>
            </w:r>
          </w:p>
        </w:tc>
        <w:tc>
          <w:tcPr>
            <w:tcW w:type="dxa" w:w="36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決算説明会</w:t>
            </w:r>
          </w:p>
        </w:tc>
      </w:tr>
      <w:tr>
        <w:trPr>
          <w:cantSplit/>
          <w:tblHeader w:val="false"/>
        </w:trPr>
        <w:tc>
          <w:tcPr>
            <w:tcW w:type="dxa" w:w="26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株数(希薄化後)</w:t>
            </w:r>
          </w:p>
        </w:tc>
        <w:tc>
          <w:tcPr>
            <w:tcW w:type="dxa" w:w="3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FY26 29.14億、Q1 FY27 30.0億(平均)、期末換算 30.5億(ATM 1.41億株の期末効果)。FY27 30.3 → FY28 30.8 → FY29 31.2 → FY30 31.3 → FY31 31.4 → FY32 31.5(億株)</w:t>
            </w:r>
          </w:p>
        </w:tc>
        <w:tc>
          <w:tcPr>
            <w:tcW w:type="dxa" w:w="36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プレス・H3・推定</w:t>
            </w:r>
          </w:p>
        </w:tc>
      </w:tr>
      <w:tr>
        <w:trPr>
          <w:cantSplit/>
          <w:tblHeader w:val="false"/>
        </w:trPr>
        <w:tc>
          <w:tcPr>
            <w:tcW w:type="dxa" w:w="26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基準EPS(FY27 事業実態)</w:t>
            </w:r>
          </w:p>
        </w:tc>
        <w:tc>
          <w:tcPr>
            <w:tcW w:type="dxa" w:w="3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$8.10 − $1.215 = </w:t>
            </w:r>
            <w:r>
              <w:rPr>
                <w:rFonts w:ascii="Arial" w:cs="Arial" w:eastAsia="Yu Gothic" w:hAnsi="Arial"/>
                <w:color w:val="222222"/>
                <w:sz w:val="16"/>
                <w:szCs w:val="16"/>
              </w:rPr>
              <w:t xml:space="preserve">$6.885</w:t>
            </w:r>
            <w:r>
              <w:rPr>
                <w:rFonts w:ascii="Arial" w:cs="Arial" w:eastAsia="Yu Gothic" w:hAnsi="Arial"/>
                <w:color w:val="222222"/>
                <w:sz w:val="16"/>
                <w:szCs w:val="16"/>
              </w:rPr>
              <w:t xml:space="preserve">(会社ガイダンス基準)。採用経路の FY27 EPS は $6.93(差 0.6%)で、目標株価はこちらを使う</w:t>
            </w:r>
          </w:p>
        </w:tc>
        <w:tc>
          <w:tcPr>
            <w:tcW w:type="dxa" w:w="36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10-1・10-3</w:t>
            </w:r>
          </w:p>
        </w:tc>
      </w:tr>
      <w:tr>
        <w:trPr>
          <w:cantSplit/>
          <w:tblHeader w:val="false"/>
        </w:trPr>
        <w:tc>
          <w:tcPr>
            <w:tcW w:type="dxa" w:w="26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事業実態EPS の補正内訳(上下両方向)</w:t>
            </w:r>
          </w:p>
        </w:tc>
        <w:tc>
          <w:tcPr>
            <w:tcW w:type="dxa" w:w="3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下方: SBC −$1.215。上方: 立上げ費用(定常状態 +$0.85、基準には入れず併記)。両方向・中立: 経済的耐用年数(上方 = 残存価値、下方 = 4年償却なら −$1.71)、前払いの金融要素(中立)</w:t>
            </w:r>
          </w:p>
        </w:tc>
        <w:tc>
          <w:tcPr>
            <w:tcW w:type="dxa" w:w="36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10-1</w:t>
            </w:r>
          </w:p>
        </w:tc>
      </w:tr>
    </w:tbl>
    <w:p>
      <w:pPr>
        <w:spacing w:after="80"/>
      </w:pPr>
    </w:p>
    <w:p>
      <w:pPr>
        <w:spacing w:after="120" w:line="300"/>
      </w:pPr>
      <w:r>
        <w:rPr>
          <w:rFonts w:ascii="Arial" w:cs="Arial" w:eastAsia="Yu Gothic" w:hAnsi="Arial"/>
          <w:b/>
          <w:bCs/>
          <w:sz w:val="20"/>
          <w:szCs w:val="20"/>
        </w:rPr>
        <w:t xml:space="preserve">B-2 EPS 成長の対数分解</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6"/>
        <w:gridCol w:w="627"/>
        <w:gridCol w:w="627"/>
        <w:gridCol w:w="837"/>
        <w:gridCol w:w="596"/>
        <w:gridCol w:w="4813"/>
      </w:tblGrid>
      <w:tr>
        <w:trPr>
          <w:cantSplit/>
          <w:tblHeader/>
        </w:trPr>
        <w:tc>
          <w:tcPr>
            <w:tcW w:type="dxa" w:w="240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期間</w:t>
            </w:r>
          </w:p>
        </w:tc>
        <w:tc>
          <w:tcPr>
            <w:tcW w:type="dxa" w:w="62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EPS</w:t>
            </w:r>
          </w:p>
        </w:tc>
        <w:tc>
          <w:tcPr>
            <w:tcW w:type="dxa" w:w="62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売上</w:t>
            </w:r>
          </w:p>
        </w:tc>
        <w:tc>
          <w:tcPr>
            <w:tcW w:type="dxa" w:w="83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純利益率</w:t>
            </w:r>
          </w:p>
        </w:tc>
        <w:tc>
          <w:tcPr>
            <w:tcW w:type="dxa" w:w="59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株数</w:t>
            </w:r>
          </w:p>
        </w:tc>
        <w:tc>
          <w:tcPr>
            <w:tcW w:type="dxa" w:w="481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備考</w:t>
            </w:r>
          </w:p>
        </w:tc>
      </w:tr>
      <w:tr>
        <w:trPr>
          <w:cantSplit/>
          <w:tblHeader w:val="false"/>
        </w:trPr>
        <w:tc>
          <w:tcPr>
            <w:tcW w:type="dxa" w:w="240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FY25 → FY26(一時益除く)</w:t>
            </w:r>
          </w:p>
        </w:tc>
        <w:tc>
          <w:tcPr>
            <w:tcW w:type="dxa" w:w="6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+12.5%</w:t>
            </w:r>
          </w:p>
        </w:tc>
        <w:tc>
          <w:tcPr>
            <w:tcW w:type="dxa" w:w="6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+16.1%</w:t>
            </w:r>
          </w:p>
        </w:tc>
        <w:tc>
          <w:tcPr>
            <w:tcW w:type="dxa" w:w="83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−1.9%</w:t>
            </w:r>
          </w:p>
        </w:tc>
        <w:tc>
          <w:tcPr>
            <w:tcW w:type="dxa" w:w="5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−1.7%</w:t>
            </w:r>
          </w:p>
        </w:tc>
        <w:tc>
          <w:tcPr>
            <w:tcW w:type="dxa" w:w="481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FY25 非GAAP EPS は $6.03(決算発表、T1)を採用。AI 要約の $6.00 は不採用</w:t>
            </w:r>
          </w:p>
        </w:tc>
      </w:tr>
      <w:tr>
        <w:trPr>
          <w:cantSplit/>
          <w:tblHeader w:val="false"/>
        </w:trPr>
        <w:tc>
          <w:tcPr>
            <w:tcW w:type="dxa" w:w="240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FY26 → FY27(ガイダンス)</w:t>
            </w:r>
          </w:p>
        </w:tc>
        <w:tc>
          <w:tcPr>
            <w:tcW w:type="dxa" w:w="6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+17.1%</w:t>
            </w:r>
          </w:p>
        </w:tc>
        <w:tc>
          <w:tcPr>
            <w:tcW w:type="dxa" w:w="6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+28.9%</w:t>
            </w:r>
          </w:p>
        </w:tc>
        <w:tc>
          <w:tcPr>
            <w:tcW w:type="dxa" w:w="83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−8.0%</w:t>
            </w:r>
          </w:p>
        </w:tc>
        <w:tc>
          <w:tcPr>
            <w:tcW w:type="dxa" w:w="59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−3.9%</w:t>
            </w:r>
          </w:p>
        </w:tc>
        <w:tc>
          <w:tcPr>
            <w:tcW w:type="dxa" w:w="481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純利益率の低下 = AI のミックス、支払利息、立上げ費用</w:t>
            </w:r>
          </w:p>
        </w:tc>
      </w:tr>
    </w:tbl>
    <w:p>
      <w:pPr>
        <w:spacing w:after="80"/>
      </w:pPr>
    </w:p>
    <w:p>
      <w:pPr>
        <w:spacing w:after="120" w:line="300"/>
      </w:pPr>
      <w:r>
        <w:rPr>
          <w:rFonts w:ascii="Arial" w:cs="Arial" w:eastAsia="Yu Gothic" w:hAnsi="Arial"/>
          <w:b/>
          <w:bCs/>
          <w:sz w:val="20"/>
          <w:szCs w:val="20"/>
        </w:rPr>
        <w:t xml:space="preserve">B-3 年度別 EPS の経路(非GAAP / 事業実態)</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807"/>
        <w:gridCol w:w="2807"/>
        <w:gridCol w:w="1920"/>
        <w:gridCol w:w="1772"/>
      </w:tblGrid>
      <w:tr>
        <w:trPr>
          <w:cantSplit/>
          <w:tblHeader/>
        </w:trPr>
        <w:tc>
          <w:tcPr>
            <w:tcW w:type="dxa" w:w="60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年度</w:t>
            </w:r>
          </w:p>
        </w:tc>
        <w:tc>
          <w:tcPr>
            <w:tcW w:type="dxa" w:w="280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コンセンサス</w:t>
            </w:r>
          </w:p>
        </w:tc>
        <w:tc>
          <w:tcPr>
            <w:tcW w:type="dxa" w:w="280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会社シナリオ</w:t>
            </w:r>
          </w:p>
        </w:tc>
        <w:tc>
          <w:tcPr>
            <w:tcW w:type="dxa" w:w="192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事業エンジン</w:t>
            </w:r>
          </w:p>
        </w:tc>
        <w:tc>
          <w:tcPr>
            <w:tcW w:type="dxa" w:w="177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弱気</w:t>
            </w:r>
          </w:p>
        </w:tc>
      </w:tr>
      <w:tr>
        <w:trPr>
          <w:cantSplit/>
          <w:tblHeader w:val="false"/>
        </w:trPr>
        <w:tc>
          <w:tcPr>
            <w:tcW w:type="dxa" w:w="6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FY27</w:t>
            </w:r>
          </w:p>
        </w:tc>
        <w:tc>
          <w:tcPr>
            <w:tcW w:type="dxa" w:w="280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8.05 / 6.84</w:t>
            </w:r>
          </w:p>
        </w:tc>
        <w:tc>
          <w:tcPr>
            <w:tcW w:type="dxa" w:w="280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8.10 / 6.89</w:t>
            </w:r>
          </w:p>
        </w:tc>
        <w:tc>
          <w:tcPr>
            <w:tcW w:type="dxa" w:w="192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8.14 / 6.93</w:t>
            </w:r>
          </w:p>
        </w:tc>
        <w:tc>
          <w:tcPr>
            <w:tcW w:type="dxa" w:w="17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7.71 / 6.51</w:t>
            </w:r>
          </w:p>
        </w:tc>
      </w:tr>
      <w:tr>
        <w:trPr>
          <w:cantSplit/>
          <w:tblHeader w:val="false"/>
        </w:trPr>
        <w:tc>
          <w:tcPr>
            <w:tcW w:type="dxa" w:w="6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FY28</w:t>
            </w:r>
          </w:p>
        </w:tc>
        <w:tc>
          <w:tcPr>
            <w:tcW w:type="dxa" w:w="280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10.78 / 9.51</w:t>
            </w:r>
          </w:p>
        </w:tc>
        <w:tc>
          <w:tcPr>
            <w:tcW w:type="dxa" w:w="280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11.13 / 9.86</w:t>
            </w:r>
          </w:p>
        </w:tc>
        <w:tc>
          <w:tcPr>
            <w:tcW w:type="dxa" w:w="192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10.81 / 9.55</w:t>
            </w:r>
          </w:p>
        </w:tc>
        <w:tc>
          <w:tcPr>
            <w:tcW w:type="dxa" w:w="17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8.20 / 6.98</w:t>
            </w:r>
          </w:p>
        </w:tc>
      </w:tr>
      <w:tr>
        <w:trPr>
          <w:cantSplit/>
          <w:tblHeader w:val="false"/>
        </w:trPr>
        <w:tc>
          <w:tcPr>
            <w:tcW w:type="dxa" w:w="6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FY29</w:t>
            </w:r>
          </w:p>
        </w:tc>
        <w:tc>
          <w:tcPr>
            <w:tcW w:type="dxa" w:w="280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15.03 / 13.70(延長)</w:t>
            </w:r>
          </w:p>
        </w:tc>
        <w:tc>
          <w:tcPr>
            <w:tcW w:type="dxa" w:w="280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15.29 / 13.96(補間)</w:t>
            </w:r>
          </w:p>
        </w:tc>
        <w:tc>
          <w:tcPr>
            <w:tcW w:type="dxa" w:w="192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13.87 / 12.54</w:t>
            </w:r>
          </w:p>
        </w:tc>
        <w:tc>
          <w:tcPr>
            <w:tcW w:type="dxa" w:w="17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8.84 / 7.58</w:t>
            </w:r>
          </w:p>
        </w:tc>
      </w:tr>
      <w:tr>
        <w:trPr>
          <w:cantSplit/>
          <w:tblHeader w:val="false"/>
        </w:trPr>
        <w:tc>
          <w:tcPr>
            <w:tcW w:type="dxa" w:w="6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FY30</w:t>
            </w:r>
          </w:p>
        </w:tc>
        <w:tc>
          <w:tcPr>
            <w:tcW w:type="dxa" w:w="280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18.56 / 17.16(延長)</w:t>
            </w:r>
          </w:p>
        </w:tc>
        <w:tc>
          <w:tcPr>
            <w:tcW w:type="dxa" w:w="280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21.00 / 19.60</w:t>
            </w:r>
          </w:p>
        </w:tc>
        <w:tc>
          <w:tcPr>
            <w:tcW w:type="dxa" w:w="192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16.89 / 15.49</w:t>
            </w:r>
          </w:p>
        </w:tc>
        <w:tc>
          <w:tcPr>
            <w:tcW w:type="dxa" w:w="17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9.58 / 8.27</w:t>
            </w:r>
          </w:p>
        </w:tc>
      </w:tr>
      <w:tr>
        <w:trPr>
          <w:cantSplit/>
          <w:tblHeader w:val="false"/>
        </w:trPr>
        <w:tc>
          <w:tcPr>
            <w:tcW w:type="dxa" w:w="6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FY31</w:t>
            </w:r>
          </w:p>
        </w:tc>
        <w:tc>
          <w:tcPr>
            <w:tcW w:type="dxa" w:w="280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21.43 / 19.95(延長)</w:t>
            </w:r>
          </w:p>
        </w:tc>
        <w:tc>
          <w:tcPr>
            <w:tcW w:type="dxa" w:w="280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25.20 / 23.72(延長)</w:t>
            </w:r>
          </w:p>
        </w:tc>
        <w:tc>
          <w:tcPr>
            <w:tcW w:type="dxa" w:w="192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18.92 / 17.44</w:t>
            </w:r>
          </w:p>
        </w:tc>
        <w:tc>
          <w:tcPr>
            <w:tcW w:type="dxa" w:w="17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10.10 / 8.72</w:t>
            </w:r>
          </w:p>
        </w:tc>
      </w:tr>
      <w:tr>
        <w:trPr>
          <w:cantSplit/>
          <w:tblHeader w:val="false"/>
        </w:trPr>
        <w:tc>
          <w:tcPr>
            <w:tcW w:type="dxa" w:w="60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FY32</w:t>
            </w:r>
          </w:p>
        </w:tc>
        <w:tc>
          <w:tcPr>
            <w:tcW w:type="dxa" w:w="280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23.44 / 21.88(延長)</w:t>
            </w:r>
          </w:p>
        </w:tc>
        <w:tc>
          <w:tcPr>
            <w:tcW w:type="dxa" w:w="280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28.98 / 27.42(延長)</w:t>
            </w:r>
          </w:p>
        </w:tc>
        <w:tc>
          <w:tcPr>
            <w:tcW w:type="dxa" w:w="192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20.34 / 18.78</w:t>
            </w:r>
          </w:p>
        </w:tc>
        <w:tc>
          <w:tcPr>
            <w:tcW w:type="dxa" w:w="17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10.51 / 9.05</w:t>
            </w:r>
          </w:p>
        </w:tc>
      </w:tr>
    </w:tbl>
    <w:p>
      <w:pPr>
        <w:spacing w:after="80"/>
      </w:pPr>
    </w:p>
    <w:p>
      <w:pPr>
        <w:spacing w:after="120" w:line="300"/>
      </w:pPr>
      <w:r>
        <w:rPr>
          <w:rFonts w:ascii="Arial" w:cs="Arial" w:eastAsia="Yu Gothic" w:hAnsi="Arial"/>
          <w:b/>
          <w:bCs/>
          <w:sz w:val="20"/>
          <w:szCs w:val="20"/>
        </w:rPr>
        <w:t xml:space="preserve">コンセンサスの出所:</w:t>
      </w:r>
      <w:r>
        <w:rPr>
          <w:rFonts w:ascii="Arial" w:cs="Arial" w:eastAsia="Yu Gothic" w:hAnsi="Arial"/>
          <w:sz w:val="20"/>
          <w:szCs w:val="20"/>
        </w:rPr>
        <w:t xml:space="preserve"> FY27 $8.05(tickerleague、25名、高 $8.15・低 $7.82)、FY28 $10.78(TickFlow、16名、高 $14.05・低 $7.36)、売上は FY27 $905億(Yahoo)・FY28 $1,306億(TickFlow 35名・Yahoo の平均)・FY29 $1,832億(TickFlow 17名)。</w:t>
      </w:r>
    </w:p>
    <w:p>
      <w:pPr>
        <w:spacing w:after="120" w:line="300"/>
      </w:pPr>
      <w:r>
        <w:rPr>
          <w:rFonts w:ascii="Arial" w:cs="Arial" w:eastAsia="Yu Gothic" w:hAnsi="Arial"/>
          <w:b/>
          <w:bCs/>
          <w:sz w:val="20"/>
          <w:szCs w:val="20"/>
        </w:rPr>
        <w:t xml:space="preserve">欠損と延長の扱い:</w:t>
      </w:r>
      <w:r>
        <w:rPr>
          <w:rFonts w:ascii="Arial" w:cs="Arial" w:eastAsia="Yu Gothic" w:hAnsi="Arial"/>
          <w:sz w:val="20"/>
          <w:szCs w:val="20"/>
        </w:rPr>
        <w:t xml:space="preserve"> FY29〜FY31 の EPS コンセンサスは取得できなかった。FY29 はコンセンサス売上 × 事業エンジンの利益率で延長し、FY30 以降は売上成長 +20%・+13%・+9% を仮定して延長した(延長部分と明記)。TradingView から直接は取得できなかった(既知の制約3)。</w:t>
      </w:r>
    </w:p>
    <w:p>
      <w:pPr>
        <w:spacing w:after="120" w:line="300"/>
      </w:pPr>
      <w:r>
        <w:rPr>
          <w:rFonts w:ascii="Arial" w:cs="Arial" w:eastAsia="Yu Gothic" w:hAnsi="Arial"/>
          <w:b/>
          <w:bCs/>
          <w:sz w:val="20"/>
          <w:szCs w:val="20"/>
        </w:rPr>
        <w:t xml:space="preserve">事業エンジン経路の前提:</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2"/>
        <w:gridCol w:w="901"/>
        <w:gridCol w:w="901"/>
        <w:gridCol w:w="901"/>
        <w:gridCol w:w="901"/>
        <w:gridCol w:w="901"/>
        <w:gridCol w:w="899"/>
      </w:tblGrid>
      <w:tr>
        <w:trPr>
          <w:cantSplit/>
          <w:tblHeader/>
        </w:trPr>
        <w:tc>
          <w:tcPr>
            <w:tcW w:type="dxa" w:w="450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項目</w:t>
            </w:r>
          </w:p>
        </w:tc>
        <w:tc>
          <w:tcPr>
            <w:tcW w:type="dxa" w:w="90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FY27</w:t>
            </w:r>
          </w:p>
        </w:tc>
        <w:tc>
          <w:tcPr>
            <w:tcW w:type="dxa" w:w="90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FY28</w:t>
            </w:r>
          </w:p>
        </w:tc>
        <w:tc>
          <w:tcPr>
            <w:tcW w:type="dxa" w:w="90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FY29</w:t>
            </w:r>
          </w:p>
        </w:tc>
        <w:tc>
          <w:tcPr>
            <w:tcW w:type="dxa" w:w="90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FY30</w:t>
            </w:r>
          </w:p>
        </w:tc>
        <w:tc>
          <w:tcPr>
            <w:tcW w:type="dxa" w:w="90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FY31</w:t>
            </w:r>
          </w:p>
        </w:tc>
        <w:tc>
          <w:tcPr>
            <w:tcW w:type="dxa" w:w="89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4"/>
                <w:szCs w:val="14"/>
              </w:rPr>
              <w:t xml:space="preserve">FY32</w:t>
            </w:r>
          </w:p>
        </w:tc>
      </w:tr>
      <w:tr>
        <w:trPr>
          <w:cantSplit/>
          <w:tblHeader w:val="false"/>
        </w:trPr>
        <w:tc>
          <w:tcPr>
            <w:tcW w:type="dxa" w:w="450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期末稼働 GW</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5.0</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8.0</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10.5</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12.0</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13.0</w:t>
            </w:r>
          </w:p>
        </w:tc>
        <w:tc>
          <w:tcPr>
            <w:tcW w:type="dxa" w:w="8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13.8</w:t>
            </w:r>
          </w:p>
        </w:tc>
      </w:tr>
      <w:tr>
        <w:trPr>
          <w:cantSplit/>
          <w:tblHeader w:val="false"/>
        </w:trPr>
        <w:tc>
          <w:tcPr>
            <w:tcW w:type="dxa" w:w="450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GW あたり売上(B$/年)</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8.0</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9.5</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10.0</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10.5</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10.5</w:t>
            </w:r>
          </w:p>
        </w:tc>
        <w:tc>
          <w:tcPr>
            <w:tcW w:type="dxa" w:w="8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10.5</w:t>
            </w:r>
          </w:p>
        </w:tc>
      </w:tr>
      <w:tr>
        <w:trPr>
          <w:cantSplit/>
          <w:tblHeader w:val="false"/>
        </w:trPr>
        <w:tc>
          <w:tcPr>
            <w:tcW w:type="dxa" w:w="450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AI の EBIT 利益率</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16%</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23%</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27%</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29%</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30%</w:t>
            </w:r>
          </w:p>
        </w:tc>
        <w:tc>
          <w:tcPr>
            <w:tcW w:type="dxa" w:w="8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30%</w:t>
            </w:r>
          </w:p>
        </w:tc>
      </w:tr>
      <w:tr>
        <w:trPr>
          <w:cantSplit/>
          <w:tblHeader w:val="false"/>
        </w:trPr>
        <w:tc>
          <w:tcPr>
            <w:tcW w:type="dxa" w:w="450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純支払利息(B$)</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4.4</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5.8</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6.4</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6.2</w:t>
            </w:r>
          </w:p>
        </w:tc>
        <w:tc>
          <w:tcPr>
            <w:tcW w:type="dxa" w:w="90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5.6</w:t>
            </w:r>
          </w:p>
        </w:tc>
        <w:tc>
          <w:tcPr>
            <w:tcW w:type="dxa" w:w="8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4"/>
                <w:szCs w:val="14"/>
              </w:rPr>
              <w:t xml:space="preserve">5.0</w:t>
            </w:r>
          </w:p>
        </w:tc>
      </w:tr>
    </w:tbl>
    <w:p>
      <w:pPr>
        <w:spacing w:after="80"/>
      </w:pPr>
    </w:p>
    <w:p>
      <w:pPr>
        <w:spacing w:after="120" w:line="300"/>
      </w:pPr>
      <w:r>
        <w:rPr>
          <w:rFonts w:ascii="Arial" w:cs="Arial" w:eastAsia="Yu Gothic" w:hAnsi="Arial"/>
          <w:b/>
          <w:bCs/>
          <w:sz w:val="20"/>
          <w:szCs w:val="20"/>
        </w:rPr>
        <w:t xml:space="preserve">事業エンジン経路のコア部分(稼働 GW の起点 FY26 末 1.7GW は、FY25 末 約0.5GW〔推定〕+ FY26 納入 1.2GW):</w:t>
      </w:r>
    </w:p>
    <w:p>
      <w:pPr>
        <w:pStyle w:val="ListParagraph"/>
        <w:numPr>
          <w:ilvl w:val="0"/>
          <w:numId w:val="3"/>
        </w:numPr>
        <w:spacing w:after="40" w:line="290"/>
      </w:pPr>
      <w:r>
        <w:rPr>
          <w:rFonts w:ascii="Arial" w:cs="Arial" w:eastAsia="Yu Gothic" w:hAnsi="Arial"/>
          <w:b/>
          <w:bCs/>
          <w:sz w:val="20"/>
          <w:szCs w:val="20"/>
        </w:rPr>
        <w:t xml:space="preserve">成長率:</w:t>
      </w:r>
      <w:r>
        <w:rPr>
          <w:rFonts w:ascii="Arial" w:cs="Arial" w:eastAsia="Yu Gothic" w:hAnsi="Arial"/>
          <w:sz w:val="20"/>
          <w:szCs w:val="20"/>
        </w:rPr>
        <w:t xml:space="preserve"> ソフトウェア −3%/年、SaaS +10〜8%、非AI OCI +30%から +12%へ逓減。</w:t>
      </w:r>
    </w:p>
    <w:p>
      <w:pPr>
        <w:pStyle w:val="ListParagraph"/>
        <w:numPr>
          <w:ilvl w:val="0"/>
          <w:numId w:val="3"/>
        </w:numPr>
        <w:spacing w:after="40" w:line="290"/>
      </w:pPr>
      <w:r>
        <w:rPr>
          <w:rFonts w:ascii="Arial" w:cs="Arial" w:eastAsia="Yu Gothic" w:hAnsi="Arial"/>
          <w:b/>
          <w:bCs/>
          <w:sz w:val="20"/>
          <w:szCs w:val="20"/>
        </w:rPr>
        <w:t xml:space="preserve">利益率:</w:t>
      </w:r>
      <w:r>
        <w:rPr>
          <w:rFonts w:ascii="Arial" w:cs="Arial" w:eastAsia="Yu Gothic" w:hAnsi="Arial"/>
          <w:sz w:val="20"/>
          <w:szCs w:val="20"/>
        </w:rPr>
        <w:t xml:space="preserve"> 非GAAP 営業利益率 48%(Q1 FY27 に合わせた較正値。較正後の誤差はモデル $80.6億 対 実績 $82億で −1.8%)。</w:t>
      </w:r>
    </w:p>
    <w:p>
      <w:pPr>
        <w:spacing w:after="120" w:line="300"/>
      </w:pPr>
      <w:r>
        <w:rPr>
          <w:rFonts w:ascii="Arial" w:cs="Arial" w:eastAsia="Yu Gothic" w:hAnsi="Arial"/>
          <w:b/>
          <w:bCs/>
          <w:sz w:val="20"/>
          <w:szCs w:val="20"/>
        </w:rPr>
        <w:t xml:space="preserve">弱気パスの前提:</w:t>
      </w:r>
    </w:p>
    <w:p>
      <w:pPr>
        <w:pStyle w:val="ListParagraph"/>
        <w:numPr>
          <w:ilvl w:val="0"/>
          <w:numId w:val="3"/>
        </w:numPr>
        <w:spacing w:after="40" w:line="290"/>
      </w:pPr>
      <w:r>
        <w:rPr>
          <w:rFonts w:ascii="Arial" w:cs="Arial" w:eastAsia="Yu Gothic" w:hAnsi="Arial"/>
          <w:b/>
          <w:bCs/>
          <w:sz w:val="20"/>
          <w:szCs w:val="20"/>
        </w:rPr>
        <w:t xml:space="preserve">稼働 GW:</w:t>
      </w:r>
      <w:r>
        <w:rPr>
          <w:rFonts w:ascii="Arial" w:cs="Arial" w:eastAsia="Yu Gothic" w:hAnsi="Arial"/>
          <w:sz w:val="20"/>
          <w:szCs w:val="20"/>
        </w:rPr>
        <w:t xml:space="preserve"> FY27 4.5、FY28 6.5、FY29 8.0、FY30 9.0、FY31 9.5、FY32 9.5。</w:t>
      </w:r>
    </w:p>
    <w:p>
      <w:pPr>
        <w:pStyle w:val="ListParagraph"/>
        <w:numPr>
          <w:ilvl w:val="0"/>
          <w:numId w:val="3"/>
        </w:numPr>
        <w:spacing w:after="40" w:line="290"/>
      </w:pPr>
      <w:r>
        <w:rPr>
          <w:rFonts w:ascii="Arial" w:cs="Arial" w:eastAsia="Yu Gothic" w:hAnsi="Arial"/>
          <w:b/>
          <w:bCs/>
          <w:sz w:val="20"/>
          <w:szCs w:val="20"/>
        </w:rPr>
        <w:t xml:space="preserve">GW あたり売上:</w:t>
      </w:r>
      <w:r>
        <w:rPr>
          <w:rFonts w:ascii="Arial" w:cs="Arial" w:eastAsia="Yu Gothic" w:hAnsi="Arial"/>
          <w:sz w:val="20"/>
          <w:szCs w:val="20"/>
        </w:rPr>
        <w:t xml:space="preserve"> $8〜9B。</w:t>
      </w:r>
    </w:p>
    <w:p>
      <w:pPr>
        <w:pStyle w:val="ListParagraph"/>
        <w:numPr>
          <w:ilvl w:val="0"/>
          <w:numId w:val="3"/>
        </w:numPr>
        <w:spacing w:after="40" w:line="290"/>
      </w:pPr>
      <w:r>
        <w:rPr>
          <w:rFonts w:ascii="Arial" w:cs="Arial" w:eastAsia="Yu Gothic" w:hAnsi="Arial"/>
          <w:b/>
          <w:bCs/>
          <w:sz w:val="20"/>
          <w:szCs w:val="20"/>
        </w:rPr>
        <w:t xml:space="preserve">AI の EBIT 利益率:</w:t>
      </w:r>
      <w:r>
        <w:rPr>
          <w:rFonts w:ascii="Arial" w:cs="Arial" w:eastAsia="Yu Gothic" w:hAnsi="Arial"/>
          <w:sz w:val="20"/>
          <w:szCs w:val="20"/>
        </w:rPr>
        <w:t xml:space="preserve"> 14〜18%。</w:t>
      </w:r>
    </w:p>
    <w:p>
      <w:pPr>
        <w:pStyle w:val="ListParagraph"/>
        <w:numPr>
          <w:ilvl w:val="0"/>
          <w:numId w:val="3"/>
        </w:numPr>
        <w:spacing w:after="40" w:line="290"/>
      </w:pPr>
      <w:r>
        <w:rPr>
          <w:rFonts w:ascii="Arial" w:cs="Arial" w:eastAsia="Yu Gothic" w:hAnsi="Arial"/>
          <w:b/>
          <w:bCs/>
          <w:sz w:val="20"/>
          <w:szCs w:val="20"/>
        </w:rPr>
        <w:t xml:space="preserve">OpenAI の実現率:</w:t>
      </w:r>
      <w:r>
        <w:rPr>
          <w:rFonts w:ascii="Arial" w:cs="Arial" w:eastAsia="Yu Gothic" w:hAnsi="Arial"/>
          <w:sz w:val="20"/>
          <w:szCs w:val="20"/>
        </w:rPr>
        <w:t xml:space="preserve"> FY28 以降 50%。</w:t>
      </w:r>
    </w:p>
    <w:p>
      <w:pPr>
        <w:pStyle w:val="ListParagraph"/>
        <w:numPr>
          <w:ilvl w:val="0"/>
          <w:numId w:val="3"/>
        </w:numPr>
        <w:spacing w:after="40" w:line="290"/>
      </w:pPr>
      <w:r>
        <w:rPr>
          <w:rFonts w:ascii="Arial" w:cs="Arial" w:eastAsia="Yu Gothic" w:hAnsi="Arial"/>
          <w:b/>
          <w:bCs/>
          <w:sz w:val="20"/>
          <w:szCs w:val="20"/>
        </w:rPr>
        <w:t xml:space="preserve">株数:</w:t>
      </w:r>
      <w:r>
        <w:rPr>
          <w:rFonts w:ascii="Arial" w:cs="Arial" w:eastAsia="Yu Gothic" w:hAnsi="Arial"/>
          <w:sz w:val="20"/>
          <w:szCs w:val="20"/>
        </w:rPr>
        <w:t xml:space="preserve"> FY32 33.7億株。</w:t>
      </w:r>
    </w:p>
    <w:p>
      <w:pPr>
        <w:spacing w:after="120" w:line="300"/>
      </w:pPr>
      <w:r>
        <w:rPr>
          <w:rFonts w:ascii="Arial" w:cs="Arial" w:eastAsia="Yu Gothic" w:hAnsi="Arial"/>
          <w:b/>
          <w:bCs/>
          <w:sz w:val="20"/>
          <w:szCs w:val="20"/>
        </w:rPr>
        <w:t xml:space="preserve">B-4 許容 PEG(3経路の収束)と年度別 PEG</w:t>
      </w:r>
      <w:r>
        <w:rPr>
          <w:rFonts w:ascii="Arial" w:cs="Arial" w:eastAsia="Yu Gothic" w:hAnsi="Arial"/>
          <w:sz w:val="20"/>
          <w:szCs w:val="20"/>
        </w:rPr>
        <w:t xml:space="preserve"> — 9章を参照。</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3"/>
        <w:gridCol w:w="4953"/>
      </w:tblGrid>
      <w:tr>
        <w:trPr>
          <w:cantSplit/>
          <w:tblHeader/>
        </w:trPr>
        <w:tc>
          <w:tcPr>
            <w:tcW w:type="dxa" w:w="495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経路</w:t>
            </w:r>
          </w:p>
        </w:tc>
        <w:tc>
          <w:tcPr>
            <w:tcW w:type="dxa" w:w="495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レンジ</w:t>
            </w:r>
          </w:p>
        </w:tc>
      </w:tr>
      <w:tr>
        <w:trPr>
          <w:cantSplit/>
          <w:tblHeader w:val="false"/>
        </w:trPr>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 ピア</w:t>
            </w:r>
          </w:p>
        </w:tc>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1.0〜1.3</w:t>
            </w:r>
          </w:p>
        </w:tc>
      </w:tr>
      <w:tr>
        <w:trPr>
          <w:cantSplit/>
          <w:tblHeader w:val="false"/>
        </w:trPr>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 慣行</w:t>
            </w:r>
          </w:p>
        </w:tc>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0.9〜1.0</w:t>
            </w:r>
          </w:p>
        </w:tc>
      </w:tr>
      <w:tr>
        <w:trPr>
          <w:cantSplit/>
          <w:tblHeader w:val="false"/>
        </w:trPr>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 因果</w:t>
            </w:r>
          </w:p>
        </w:tc>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0.6〜0.9</w:t>
            </w:r>
          </w:p>
        </w:tc>
      </w:tr>
      <w:tr>
        <w:trPr>
          <w:cantSplit/>
          <w:tblHeader w:val="false"/>
        </w:trPr>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採用(FY27)</w:t>
            </w:r>
          </w:p>
        </w:tc>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0.80〜0.95</w:t>
            </w:r>
          </w:p>
        </w:tc>
      </w:tr>
    </w:tbl>
    <w:p>
      <w:pPr>
        <w:spacing w:after="80"/>
      </w:pPr>
    </w:p>
    <w:p>
      <w:pPr>
        <w:spacing w:after="120" w:line="300"/>
      </w:pPr>
      <w:r>
        <w:rPr>
          <w:rFonts w:ascii="Arial" w:cs="Arial" w:eastAsia="Yu Gothic" w:hAnsi="Arial"/>
          <w:sz w:val="20"/>
          <w:szCs w:val="20"/>
        </w:rPr>
        <w:t xml:space="preserve">年度別 PEG は FY28 0.85〜1.00、FY29 0.90〜1.05、FY30 0.95〜1.10、FY31 1.00〜1.15、FY32 1.00〜1.20。PER の下限は 14倍。成長率 g は、各年度から5年先までの事業実態EPS の CAGR(FY33 以降は経路別の逓減率で延長: エンジン 7→4%、コンセンサス 9→5%、会社 12→6%、弱気 3%)。</w:t>
      </w:r>
    </w:p>
    <w:p>
      <w:pPr>
        <w:spacing w:after="120" w:line="300"/>
      </w:pPr>
      <w:r>
        <w:rPr>
          <w:rFonts w:ascii="Arial" w:cs="Arial" w:eastAsia="Yu Gothic" w:hAnsi="Arial"/>
          <w:b/>
          <w:bCs/>
          <w:sz w:val="20"/>
          <w:szCs w:val="20"/>
        </w:rPr>
        <w:t xml:space="preserve">B-5 SOTP と GW あたりの経済性</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2"/>
        <w:gridCol w:w="2972"/>
        <w:gridCol w:w="1261"/>
        <w:gridCol w:w="3151"/>
      </w:tblGrid>
      <w:tr>
        <w:trPr>
          <w:cantSplit/>
          <w:tblHeader/>
        </w:trPr>
        <w:tc>
          <w:tcPr>
            <w:tcW w:type="dxa" w:w="252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項目</w:t>
            </w:r>
          </w:p>
        </w:tc>
        <w:tc>
          <w:tcPr>
            <w:tcW w:type="dxa" w:w="297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ベース</w:t>
            </w:r>
          </w:p>
        </w:tc>
        <w:tc>
          <w:tcPr>
            <w:tcW w:type="dxa" w:w="126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強気</w:t>
            </w:r>
          </w:p>
        </w:tc>
        <w:tc>
          <w:tcPr>
            <w:tcW w:type="dxa" w:w="315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弱気</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コアの資本コスト</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8.0%</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8.0%</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9.0%</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コアの5年成長率</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6%</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7%</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4.5%</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コアの永続成長率</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2.5%</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2.5%</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2.5%</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コアの ROIC</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35%</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35%</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35%</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の資本コスト</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9.5%</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11%</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GW あたり売上 R</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$100億</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$100億</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$100億</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AI の EBIT 利益率 m</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29%</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33%</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18%</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GW あたり投資 K</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$250億</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$250億</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$250億</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契約期間</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6年</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6年</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6年</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契約後の残存</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0.6×2年</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0.8×3年</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 + 空室費(施設費の50%、17年目まで)</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稼働中</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2.55GW(平均1年経過)</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同</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同</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契約済みの合計</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10.2GW</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10.2GW</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7.0GW</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建設時期の割引</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0.85</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0.85</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0.85</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未契約の成長</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1.5GW/年 × 5年 × 0.7 × 50% × 0.62</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2.5GW/年 × 60%</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建設仮勘定の AI 分(足し戻し)</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$350億 × 0.85</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同</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 0.6(座礁)</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顧客前払い(控除)</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$114億</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同</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同</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負債等(控除)</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$1,024億</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同</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同</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株数</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30.5億</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同</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同</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1株価値</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$139.6</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$168.2</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$84.2</w:t>
            </w:r>
          </w:p>
        </w:tc>
      </w:tr>
      <w:tr>
        <w:trPr>
          <w:cantSplit/>
          <w:tblHeader w:val="false"/>
        </w:trPr>
        <w:tc>
          <w:tcPr>
            <w:tcW w:type="dxa" w:w="252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GW あたり NPV / IRR</w:t>
            </w:r>
          </w:p>
        </w:tc>
        <w:tc>
          <w:tcPr>
            <w:tcW w:type="dxa" w:w="297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$59億 / 17.0%</w:t>
            </w:r>
          </w:p>
        </w:tc>
        <w:tc>
          <w:tcPr>
            <w:tcW w:type="dxa" w:w="126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$113億 / 20.9%</w:t>
            </w:r>
          </w:p>
        </w:tc>
        <w:tc>
          <w:tcPr>
            <w:tcW w:type="dxa" w:w="315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−$44億 / 9.2%</w:t>
            </w:r>
          </w:p>
        </w:tc>
      </w:tr>
    </w:tbl>
    <w:p>
      <w:pPr>
        <w:spacing w:after="80"/>
      </w:pPr>
    </w:p>
    <w:p>
      <w:pPr>
        <w:spacing w:after="120" w:line="300"/>
      </w:pPr>
      <w:r>
        <w:rPr>
          <w:rFonts w:ascii="Arial" w:cs="Arial" w:eastAsia="Yu Gothic" w:hAnsi="Arial"/>
          <w:b/>
          <w:bCs/>
          <w:sz w:val="20"/>
          <w:szCs w:val="20"/>
        </w:rPr>
        <w:t xml:space="preserve">逆算:</w:t>
      </w:r>
      <w:r>
        <w:rPr>
          <w:rFonts w:ascii="Arial" w:cs="Arial" w:eastAsia="Yu Gothic" w:hAnsi="Arial"/>
          <w:sz w:val="20"/>
          <w:szCs w:val="20"/>
        </w:rPr>
        <w:t xml:space="preserve"> 現株価 $141.40 に一致する AI の EBIT 利益率は 30.5%(他はベース)、残存価格比(3年)は 0.54。</w:t>
      </w:r>
    </w:p>
    <w:p>
      <w:pPr>
        <w:spacing w:after="120" w:line="300"/>
      </w:pPr>
      <w:r>
        <w:rPr>
          <w:rFonts w:ascii="Arial" w:cs="Arial" w:eastAsia="Yu Gothic" w:hAnsi="Arial"/>
          <w:b/>
          <w:bCs/>
          <w:sz w:val="20"/>
          <w:szCs w:val="20"/>
        </w:rPr>
        <w:t xml:space="preserve">B-6 リスクの効果測定</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3962"/>
        <w:gridCol w:w="3963"/>
      </w:tblGrid>
      <w:tr>
        <w:trPr>
          <w:cantSplit/>
          <w:tblHeader/>
        </w:trPr>
        <w:tc>
          <w:tcPr>
            <w:tcW w:type="dxa" w:w="198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項目</w:t>
            </w:r>
          </w:p>
        </w:tc>
        <w:tc>
          <w:tcPr>
            <w:tcW w:type="dxa" w:w="396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計算</w:t>
            </w:r>
          </w:p>
        </w:tc>
        <w:tc>
          <w:tcPr>
            <w:tcW w:type="dxa" w:w="396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結果</w:t>
            </w:r>
          </w:p>
        </w:tc>
      </w:tr>
      <w:tr>
        <w:trPr>
          <w:cantSplit/>
          <w:tblHeader w:val="false"/>
        </w:trPr>
        <w:tc>
          <w:tcPr>
            <w:tcW w:type="dxa" w:w="19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ATM 増資の反実仮想</w:t>
            </w:r>
          </w:p>
        </w:tc>
        <w:tc>
          <w:tcPr>
            <w:tcW w:type="dxa" w:w="3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1.41億株 ÷ 29.14億株 = 希薄化 4.8% → EPS −4.6%。同額 $200億を借入(6.5%、税引後)にした場合は EPS −4.2%</w:t>
            </w:r>
          </w:p>
        </w:tc>
        <w:tc>
          <w:tcPr>
            <w:tcW w:type="dxa" w:w="39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EPS への影響はほぼ同じ。借入なら S&amp;P の閾値(4.5倍)超過の確率が上がる → 増資の純効果はわずかにプラス</w:t>
            </w:r>
          </w:p>
        </w:tc>
      </w:tr>
      <w:tr>
        <w:trPr>
          <w:cantSplit/>
          <w:tblHeader w:val="false"/>
        </w:trPr>
        <w:tc>
          <w:tcPr>
            <w:tcW w:type="dxa" w:w="19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1株当たり成長率への影響</w:t>
            </w:r>
          </w:p>
        </w:tc>
        <w:tc>
          <w:tcPr>
            <w:tcW w:type="dxa" w:w="3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(1+利益成長)÷(1+希薄化)−1。FY27: 純利益 +23.3%(一時益除く $199億 → $245億)÷ 株数 +4.0% → EPS +18.6%。反実仮想(増資せず、その分の容量を建てない): $200億で建てられる容量は約0.8GW、NPV は約 $48億(1株 +$1.6)。平均発行価格(推定 約$141)は1株価値 $140 とほぼ同じで、発行による価値の移転はほぼない</w:t>
            </w:r>
          </w:p>
        </w:tc>
        <w:tc>
          <w:tcPr>
            <w:tcW w:type="dxa" w:w="39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調達は1株価値をわずかに増やす(AI の NPV/GW が正であることが前提。弱気の NPV −$44億/GW なら逆に減らす)</w:t>
            </w:r>
          </w:p>
        </w:tc>
      </w:tr>
      <w:tr>
        <w:trPr>
          <w:cantSplit/>
          <w:tblHeader w:val="false"/>
        </w:trPr>
        <w:tc>
          <w:tcPr>
            <w:tcW w:type="dxa" w:w="19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契約裏付け率</w:t>
            </w:r>
          </w:p>
        </w:tc>
        <w:tc>
          <w:tcPr>
            <w:tcW w:type="dxa" w:w="3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受注残の年間転換額 $1,107億 ÷(支払利息 $60億 + リース支払 $219億)</w:t>
            </w:r>
          </w:p>
        </w:tc>
        <w:tc>
          <w:tcPr>
            <w:tcW w:type="dxa" w:w="39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4.0倍</w:t>
            </w:r>
          </w:p>
        </w:tc>
      </w:tr>
      <w:tr>
        <w:trPr>
          <w:cantSplit/>
          <w:tblHeader w:val="false"/>
        </w:trPr>
        <w:tc>
          <w:tcPr>
            <w:tcW w:type="dxa" w:w="19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金利感応度</w:t>
            </w:r>
          </w:p>
        </w:tc>
        <w:tc>
          <w:tcPr>
            <w:tcW w:type="dxa" w:w="3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変動金利の比率は非開示(主に固定利付債)。新規調達 $200億 × 100bp = 税引後 $1.6億 = EPS −$0.05</w:t>
            </w:r>
          </w:p>
        </w:tc>
        <w:tc>
          <w:tcPr>
            <w:tcW w:type="dxa" w:w="39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小</w:t>
            </w:r>
          </w:p>
        </w:tc>
      </w:tr>
      <w:tr>
        <w:trPr>
          <w:cantSplit/>
          <w:tblHeader w:val="false"/>
        </w:trPr>
        <w:tc>
          <w:tcPr>
            <w:tcW w:type="dxa" w:w="198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OpenAI 不払い</w:t>
            </w:r>
          </w:p>
        </w:tc>
        <w:tc>
          <w:tcPr>
            <w:tcW w:type="dxa" w:w="3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年 $600億 × 残り3年、再販単価 40〜70%・空白 1〜2年、税引後、10%割引(3年後から)</w:t>
            </w:r>
          </w:p>
        </w:tc>
        <w:tc>
          <w:tcPr>
            <w:tcW w:type="dxa" w:w="396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−$16〜−25/株(再交渉 −20%: −$6.5/株)</w:t>
            </w:r>
          </w:p>
        </w:tc>
      </w:tr>
    </w:tbl>
    <w:p>
      <w:pPr>
        <w:spacing w:after="80"/>
      </w:pPr>
    </w:p>
    <w:p>
      <w:pPr>
        <w:spacing w:after="120" w:line="300"/>
      </w:pPr>
      <w:r>
        <w:rPr>
          <w:rFonts w:ascii="Arial" w:cs="Arial" w:eastAsia="Yu Gothic" w:hAnsi="Arial"/>
          <w:b/>
          <w:bCs/>
          <w:sz w:val="20"/>
          <w:szCs w:val="20"/>
        </w:rPr>
        <w:t xml:space="preserve">B-7 エントリー価格帯</w:t>
      </w:r>
      <w:r>
        <w:rPr>
          <w:rFonts w:ascii="Arial" w:cs="Arial" w:eastAsia="Yu Gothic" w:hAnsi="Arial"/>
          <w:sz w:val="20"/>
          <w:szCs w:val="20"/>
        </w:rPr>
        <w:t xml:space="preserve"> — 12-3 を参照。B $134、U $192、L $84、α 22.5%、Z1 $94(参考)、Z2 $119。</w:t>
      </w:r>
    </w:p>
    <w:p>
      <w:r>
        <w:br w:type="page"/>
      </w:r>
    </w:p>
    <w:p>
      <w:pPr>
        <w:pStyle w:val="Heading1"/>
      </w:pPr>
      <w:r>
        <w:rPr>
          <w:rFonts w:ascii="Arial" w:cs="Arial" w:eastAsia="Yu Gothic" w:hAnsi="Arial"/>
        </w:rPr>
        <w:t xml:space="preserve">Appendix C: パワポ変換マップ(図表 → スライドのテンプレート番号と表現パターンの対応)</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27"/>
        <w:gridCol w:w="1864"/>
        <w:gridCol w:w="1962"/>
        <w:gridCol w:w="2353"/>
      </w:tblGrid>
      <w:tr>
        <w:trPr>
          <w:cantSplit/>
          <w:tblHeader/>
        </w:trPr>
        <w:tc>
          <w:tcPr>
            <w:tcW w:type="dxa" w:w="372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図</w:t>
            </w:r>
          </w:p>
        </w:tc>
        <w:tc>
          <w:tcPr>
            <w:tcW w:type="dxa" w:w="186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本報告書の位置</w:t>
            </w:r>
          </w:p>
        </w:tc>
        <w:tc>
          <w:tcPr>
            <w:tcW w:type="dxa" w:w="196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Tテンプレ</w:t>
            </w:r>
          </w:p>
        </w:tc>
        <w:tc>
          <w:tcPr>
            <w:tcW w:type="dxa" w:w="235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bcg 表現パターン</w:t>
            </w:r>
          </w:p>
        </w:tc>
      </w:tr>
      <w:tr>
        <w:trPr>
          <w:cantSplit/>
          <w:tblHeader w:val="false"/>
        </w:trPr>
        <w:tc>
          <w:tcPr>
            <w:tcW w:type="dxa" w:w="37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F1 鳥の目事業構造マップ(現在)</w:t>
            </w:r>
          </w:p>
        </w:tc>
        <w:tc>
          <w:tcPr>
            <w:tcW w:type="dxa" w:w="18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3-3</w:t>
            </w:r>
          </w:p>
        </w:tc>
        <w:tc>
          <w:tcPr>
            <w:tcW w:type="dxa" w:w="1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T15</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鳥の目マップ型</w:t>
            </w:r>
          </w:p>
        </w:tc>
      </w:tr>
      <w:tr>
        <w:trPr>
          <w:cantSplit/>
          <w:tblHeader w:val="false"/>
        </w:trPr>
        <w:tc>
          <w:tcPr>
            <w:tcW w:type="dxa" w:w="37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F2 構造変化オーバーレイ(将来)</w:t>
            </w:r>
          </w:p>
        </w:tc>
        <w:tc>
          <w:tcPr>
            <w:tcW w:type="dxa" w:w="18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6-2</w:t>
            </w:r>
          </w:p>
        </w:tc>
        <w:tc>
          <w:tcPr>
            <w:tcW w:type="dxa" w:w="1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T15 再掲オーバーレイ</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再掲オーバーレイ型</w:t>
            </w:r>
          </w:p>
        </w:tc>
      </w:tr>
      <w:tr>
        <w:trPr>
          <w:cantSplit/>
          <w:tblHeader w:val="false"/>
        </w:trPr>
        <w:tc>
          <w:tcPr>
            <w:tcW w:type="dxa" w:w="37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F3 強気派 vs 弱気派対照表</w:t>
            </w:r>
          </w:p>
        </w:tc>
        <w:tc>
          <w:tcPr>
            <w:tcW w:type="dxa" w:w="18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7-1</w:t>
            </w:r>
          </w:p>
        </w:tc>
        <w:tc>
          <w:tcPr>
            <w:tcW w:type="dxa" w:w="1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T13/T8</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対比2段型</w:t>
            </w:r>
          </w:p>
        </w:tc>
      </w:tr>
      <w:tr>
        <w:trPr>
          <w:cantSplit/>
          <w:tblHeader w:val="false"/>
        </w:trPr>
        <w:tc>
          <w:tcPr>
            <w:tcW w:type="dxa" w:w="37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F4 判別KPI 計器盤</w:t>
            </w:r>
          </w:p>
        </w:tc>
        <w:tc>
          <w:tcPr>
            <w:tcW w:type="dxa" w:w="18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7-3</w:t>
            </w:r>
          </w:p>
        </w:tc>
        <w:tc>
          <w:tcPr>
            <w:tcW w:type="dxa" w:w="1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T8</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ファクト表型(C-5)</w:t>
            </w:r>
          </w:p>
        </w:tc>
      </w:tr>
      <w:tr>
        <w:trPr>
          <w:cantSplit/>
          <w:tblHeader w:val="false"/>
        </w:trPr>
        <w:tc>
          <w:tcPr>
            <w:tcW w:type="dxa" w:w="37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F5 検証スケジュール</w:t>
            </w:r>
          </w:p>
        </w:tc>
        <w:tc>
          <w:tcPr>
            <w:tcW w:type="dxa" w:w="18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11-1</w:t>
            </w:r>
          </w:p>
        </w:tc>
        <w:tc>
          <w:tcPr>
            <w:tcW w:type="dxa" w:w="1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T5</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時系列ロードマップ型</w:t>
            </w:r>
          </w:p>
        </w:tc>
      </w:tr>
      <w:tr>
        <w:trPr>
          <w:cantSplit/>
          <w:tblHeader w:val="false"/>
        </w:trPr>
        <w:tc>
          <w:tcPr>
            <w:tcW w:type="dxa" w:w="37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F6 目標株価計算フロー</w:t>
            </w:r>
          </w:p>
        </w:tc>
        <w:tc>
          <w:tcPr>
            <w:tcW w:type="dxa" w:w="18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10-3</w:t>
            </w:r>
          </w:p>
        </w:tc>
        <w:tc>
          <w:tcPr>
            <w:tcW w:type="dxa" w:w="1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T18</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計算フロー型</w:t>
            </w:r>
          </w:p>
        </w:tc>
      </w:tr>
      <w:tr>
        <w:trPr>
          <w:cantSplit/>
          <w:tblHeader w:val="false"/>
        </w:trPr>
        <w:tc>
          <w:tcPr>
            <w:tcW w:type="dxa" w:w="37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F7 エントリー価格ゾーン</w:t>
            </w:r>
          </w:p>
        </w:tc>
        <w:tc>
          <w:tcPr>
            <w:tcW w:type="dxa" w:w="18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12-3(図あり)</w:t>
            </w:r>
          </w:p>
        </w:tc>
        <w:tc>
          <w:tcPr>
            <w:tcW w:type="dxa" w:w="1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T18/T13</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帯グラフ型</w:t>
            </w:r>
          </w:p>
        </w:tc>
      </w:tr>
      <w:tr>
        <w:trPr>
          <w:cantSplit/>
          <w:tblHeader w:val="false"/>
        </w:trPr>
        <w:tc>
          <w:tcPr>
            <w:tcW w:type="dxa" w:w="37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F8 時系列投資戦略</w:t>
            </w:r>
          </w:p>
        </w:tc>
        <w:tc>
          <w:tcPr>
            <w:tcW w:type="dxa" w:w="18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12-4</w:t>
            </w:r>
          </w:p>
        </w:tc>
        <w:tc>
          <w:tcPr>
            <w:tcW w:type="dxa" w:w="1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T5/T8</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ロードマップ型</w:t>
            </w:r>
          </w:p>
        </w:tc>
      </w:tr>
      <w:tr>
        <w:trPr>
          <w:cantSplit/>
          <w:tblHeader w:val="false"/>
        </w:trPr>
        <w:tc>
          <w:tcPr>
            <w:tcW w:type="dxa" w:w="37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F9 移行現在地ロードマップ</w:t>
            </w:r>
          </w:p>
        </w:tc>
        <w:tc>
          <w:tcPr>
            <w:tcW w:type="dxa" w:w="18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6-1</w:t>
            </w:r>
          </w:p>
        </w:tc>
        <w:tc>
          <w:tcPr>
            <w:tcW w:type="dxa" w:w="1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T5/T13</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段階的成熟ロードマップ型</w:t>
            </w:r>
          </w:p>
        </w:tc>
      </w:tr>
      <w:tr>
        <w:trPr>
          <w:cantSplit/>
          <w:tblHeader w:val="false"/>
        </w:trPr>
        <w:tc>
          <w:tcPr>
            <w:tcW w:type="dxa" w:w="37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F10 収益・費用フロー解剖</w:t>
            </w:r>
          </w:p>
        </w:tc>
        <w:tc>
          <w:tcPr>
            <w:tcW w:type="dxa" w:w="18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3-1</w:t>
            </w:r>
          </w:p>
        </w:tc>
        <w:tc>
          <w:tcPr>
            <w:tcW w:type="dxa" w:w="1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T15</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ストラクチャー図型</w:t>
            </w:r>
          </w:p>
        </w:tc>
      </w:tr>
      <w:tr>
        <w:trPr>
          <w:cantSplit/>
          <w:tblHeader w:val="false"/>
        </w:trPr>
        <w:tc>
          <w:tcPr>
            <w:tcW w:type="dxa" w:w="37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F11 シナリオ採点表</w:t>
            </w:r>
          </w:p>
        </w:tc>
        <w:tc>
          <w:tcPr>
            <w:tcW w:type="dxa" w:w="18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5-1</w:t>
            </w:r>
          </w:p>
        </w:tc>
        <w:tc>
          <w:tcPr>
            <w:tcW w:type="dxa" w:w="1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T8</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ファクト表型(C-5)</w:t>
            </w:r>
          </w:p>
        </w:tc>
      </w:tr>
      <w:tr>
        <w:trPr>
          <w:cantSplit/>
          <w:tblHeader w:val="false"/>
        </w:trPr>
        <w:tc>
          <w:tcPr>
            <w:tcW w:type="dxa" w:w="37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F12 シナリオ×PEG 感応度マトリクス</w:t>
            </w:r>
          </w:p>
        </w:tc>
        <w:tc>
          <w:tcPr>
            <w:tcW w:type="dxa" w:w="18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10-4(図あり)</w:t>
            </w:r>
          </w:p>
        </w:tc>
        <w:tc>
          <w:tcPr>
            <w:tcW w:type="dxa" w:w="1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T13</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感応度マトリクス型</w:t>
            </w:r>
          </w:p>
        </w:tc>
      </w:tr>
      <w:tr>
        <w:trPr>
          <w:cantSplit/>
          <w:tblHeader w:val="false"/>
        </w:trPr>
        <w:tc>
          <w:tcPr>
            <w:tcW w:type="dxa" w:w="37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F13 年度別適正株価パス</w:t>
            </w:r>
          </w:p>
        </w:tc>
        <w:tc>
          <w:tcPr>
            <w:tcW w:type="dxa" w:w="18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10-2(図あり)</w:t>
            </w:r>
          </w:p>
        </w:tc>
        <w:tc>
          <w:tcPr>
            <w:tcW w:type="dxa" w:w="1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T7/T18</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計算フロー型</w:t>
            </w:r>
          </w:p>
        </w:tc>
      </w:tr>
      <w:tr>
        <w:trPr>
          <w:cantSplit/>
          <w:tblHeader w:val="false"/>
        </w:trPr>
        <w:tc>
          <w:tcPr>
            <w:tcW w:type="dxa" w:w="37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F14 リスクマトリクス(テールリスク含む)</w:t>
            </w:r>
          </w:p>
        </w:tc>
        <w:tc>
          <w:tcPr>
            <w:tcW w:type="dxa" w:w="18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12-2</w:t>
            </w:r>
          </w:p>
        </w:tc>
        <w:tc>
          <w:tcPr>
            <w:tcW w:type="dxa" w:w="1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T13</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感応度マトリクス型</w:t>
            </w:r>
          </w:p>
        </w:tc>
      </w:tr>
      <w:tr>
        <w:trPr>
          <w:cantSplit/>
          <w:tblHeader w:val="false"/>
        </w:trPr>
        <w:tc>
          <w:tcPr>
            <w:tcW w:type="dxa" w:w="37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F15 事業エンジン図</w:t>
            </w:r>
          </w:p>
        </w:tc>
        <w:tc>
          <w:tcPr>
            <w:tcW w:type="dxa" w:w="18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2-5(資本の図は 2-7)</w:t>
            </w:r>
          </w:p>
        </w:tc>
        <w:tc>
          <w:tcPr>
            <w:tcW w:type="dxa" w:w="1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T15</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ストラクチャー図型</w:t>
            </w:r>
          </w:p>
        </w:tc>
      </w:tr>
      <w:tr>
        <w:trPr>
          <w:cantSplit/>
          <w:tblHeader w:val="false"/>
        </w:trPr>
        <w:tc>
          <w:tcPr>
            <w:tcW w:type="dxa" w:w="37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F16 機構台帳サマリ</w:t>
            </w:r>
          </w:p>
        </w:tc>
        <w:tc>
          <w:tcPr>
            <w:tcW w:type="dxa" w:w="18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12-1</w:t>
            </w:r>
          </w:p>
        </w:tc>
        <w:tc>
          <w:tcPr>
            <w:tcW w:type="dxa" w:w="1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T8</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ファクト表型(C-5)</w:t>
            </w:r>
          </w:p>
        </w:tc>
      </w:tr>
      <w:tr>
        <w:trPr>
          <w:cantSplit/>
          <w:tblHeader w:val="false"/>
        </w:trPr>
        <w:tc>
          <w:tcPr>
            <w:tcW w:type="dxa" w:w="37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F17 市場との差分</w:t>
            </w:r>
          </w:p>
        </w:tc>
        <w:tc>
          <w:tcPr>
            <w:tcW w:type="dxa" w:w="18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2-1</w:t>
            </w:r>
          </w:p>
        </w:tc>
        <w:tc>
          <w:tcPr>
            <w:tcW w:type="dxa" w:w="1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T13/T8</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対比2段型</w:t>
            </w:r>
          </w:p>
        </w:tc>
      </w:tr>
      <w:tr>
        <w:trPr>
          <w:cantSplit/>
          <w:tblHeader w:val="false"/>
        </w:trPr>
        <w:tc>
          <w:tcPr>
            <w:tcW w:type="dxa" w:w="372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F18 根幹KPI 加速度表</w:t>
            </w:r>
          </w:p>
        </w:tc>
        <w:tc>
          <w:tcPr>
            <w:tcW w:type="dxa" w:w="186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2-10(図あり)</w:t>
            </w:r>
          </w:p>
        </w:tc>
        <w:tc>
          <w:tcPr>
            <w:tcW w:type="dxa" w:w="196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T8</w:t>
            </w:r>
          </w:p>
        </w:tc>
        <w:tc>
          <w:tcPr>
            <w:tcW w:type="dxa" w:w="23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ファクト表型(C-5)</w:t>
            </w:r>
          </w:p>
        </w:tc>
      </w:tr>
    </w:tbl>
    <w:p>
      <w:pPr>
        <w:spacing w:after="80"/>
      </w:pPr>
    </w:p>
    <w:p>
      <w:r>
        <w:br w:type="page"/>
      </w:r>
    </w:p>
    <w:p>
      <w:pPr>
        <w:pStyle w:val="Heading1"/>
      </w:pPr>
      <w:r>
        <w:rPr>
          <w:rFonts w:ascii="Arial" w:cs="Arial" w:eastAsia="Yu Gothic" w:hAnsi="Arial"/>
        </w:rPr>
        <w:t xml:space="preserve">Appendix D: 13条件の詳細審査</w:t>
      </w:r>
    </w:p>
    <w:p>
      <w:pPr>
        <w:spacing w:after="120" w:line="300"/>
      </w:pPr>
      <w:r>
        <w:rPr>
          <w:rFonts w:ascii="Arial" w:cs="Arial" w:eastAsia="Yu Gothic" w:hAnsi="Arial"/>
          <w:sz w:val="20"/>
          <w:szCs w:val="20"/>
        </w:rPr>
        <w:t xml:space="preserve">各条件で、仮判定 → 追加調査トリガーの確認(最大2周)→ 根拠一文 + 定量 evidence(2〜4点)+ 出所 → C 以下に監視 KPI、の順に判定した。構造は「アクター / フロー / リスク所在(意図と1株当たり価値への純効果)/ 時間」の4要素で記述する。</w:t>
      </w:r>
    </w:p>
    <w:p>
      <w:pPr>
        <w:spacing w:after="120" w:line="300"/>
      </w:pPr>
      <w:r>
        <w:rPr>
          <w:rFonts w:ascii="Arial" w:cs="Arial" w:eastAsia="Yu Gothic" w:hAnsi="Arial"/>
          <w:b/>
          <w:bCs/>
          <w:sz w:val="20"/>
          <w:szCs w:val="20"/>
        </w:rPr>
        <w:t xml:space="preserve">条件1 10年の価格決定力・競争優位・成長性 — B</w:t>
      </w:r>
    </w:p>
    <w:p>
      <w:pPr>
        <w:pStyle w:val="ListParagraph"/>
        <w:numPr>
          <w:ilvl w:val="0"/>
          <w:numId w:val="3"/>
        </w:numPr>
        <w:spacing w:after="40" w:line="290"/>
      </w:pPr>
      <w:r>
        <w:rPr>
          <w:rFonts w:ascii="Arial" w:cs="Arial" w:eastAsia="Yu Gothic" w:hAnsi="Arial"/>
          <w:b/>
          <w:bCs/>
          <w:sz w:val="20"/>
          <w:szCs w:val="20"/>
        </w:rPr>
        <w:t xml:space="preserve">判断軸:</w:t>
      </w:r>
      <w:r>
        <w:rPr>
          <w:rFonts w:ascii="Arial" w:cs="Arial" w:eastAsia="Yu Gothic" w:hAnsi="Arial"/>
          <w:sz w:val="20"/>
          <w:szCs w:val="20"/>
        </w:rPr>
        <w:t xml:space="preserve"> 顧客価値と価格の差、更新時単価 ÷ 初回単価、7 Powers の数と強さ、CAP、成長余地。</w:t>
      </w:r>
    </w:p>
    <w:p>
      <w:pPr>
        <w:pStyle w:val="ListParagraph"/>
        <w:numPr>
          <w:ilvl w:val="0"/>
          <w:numId w:val="3"/>
        </w:numPr>
        <w:spacing w:after="40" w:line="290"/>
      </w:pPr>
      <w:r>
        <w:rPr>
          <w:rFonts w:ascii="Arial" w:cs="Arial" w:eastAsia="Yu Gothic" w:hAnsi="Arial"/>
          <w:b/>
          <w:bCs/>
          <w:sz w:val="20"/>
          <w:szCs w:val="20"/>
        </w:rPr>
        <w:t xml:space="preserve">evidence:</w:t>
      </w:r>
    </w:p>
    <w:p>
      <w:pPr>
        <w:pStyle w:val="ListParagraph"/>
        <w:numPr>
          <w:ilvl w:val="1"/>
          <w:numId w:val="3"/>
        </w:numPr>
        <w:spacing w:after="40" w:line="290"/>
      </w:pPr>
      <w:r>
        <w:rPr>
          <w:rFonts w:ascii="Arial" w:cs="Arial" w:eastAsia="Yu Gothic" w:hAnsi="Arial"/>
          <w:sz w:val="20"/>
          <w:szCs w:val="20"/>
        </w:rPr>
        <w:t xml:space="preserve">① 更新期の GPU(過半が4年超)の全量が従来契約比 +20% で更新・再販(Q1 FY27、更新と再販の合算)</w:t>
      </w:r>
    </w:p>
    <w:p>
      <w:pPr>
        <w:pStyle w:val="ListParagraph"/>
        <w:numPr>
          <w:ilvl w:val="1"/>
          <w:numId w:val="3"/>
        </w:numPr>
        <w:spacing w:after="40" w:line="290"/>
      </w:pPr>
      <w:r>
        <w:rPr>
          <w:rFonts w:ascii="Arial" w:cs="Arial" w:eastAsia="Yu Gothic" w:hAnsi="Arial"/>
          <w:sz w:val="20"/>
          <w:szCs w:val="20"/>
        </w:rPr>
        <w:t xml:space="preserve">② ソフトウェア −3%(緩やかな侵食)</w:t>
      </w:r>
    </w:p>
    <w:p>
      <w:pPr>
        <w:pStyle w:val="ListParagraph"/>
        <w:numPr>
          <w:ilvl w:val="1"/>
          <w:numId w:val="3"/>
        </w:numPr>
        <w:spacing w:after="40" w:line="290"/>
      </w:pPr>
      <w:r>
        <w:rPr>
          <w:rFonts w:ascii="Arial" w:cs="Arial" w:eastAsia="Yu Gothic" w:hAnsi="Arial"/>
          <w:sz w:val="20"/>
          <w:szCs w:val="20"/>
        </w:rPr>
        <w:t xml:space="preserve">③ 7 Powers: スイッチングコスト(強)、プロセスパワー(中)、独占的資源=電力(一時的)</w:t>
      </w:r>
    </w:p>
    <w:p>
      <w:pPr>
        <w:pStyle w:val="ListParagraph"/>
        <w:numPr>
          <w:ilvl w:val="1"/>
          <w:numId w:val="3"/>
        </w:numPr>
        <w:spacing w:after="40" w:line="290"/>
      </w:pPr>
      <w:r>
        <w:rPr>
          <w:rFonts w:ascii="Arial" w:cs="Arial" w:eastAsia="Yu Gothic" w:hAnsi="Arial"/>
          <w:sz w:val="20"/>
          <w:szCs w:val="20"/>
        </w:rPr>
        <w:t xml:space="preserve">④ CAP は加重 7〜9年</w:t>
      </w:r>
    </w:p>
    <w:p>
      <w:pPr>
        <w:pStyle w:val="ListParagraph"/>
        <w:numPr>
          <w:ilvl w:val="0"/>
          <w:numId w:val="3"/>
        </w:numPr>
        <w:spacing w:after="40" w:line="290"/>
      </w:pPr>
      <w:r>
        <w:rPr>
          <w:rFonts w:ascii="Arial" w:cs="Arial" w:eastAsia="Yu Gothic" w:hAnsi="Arial"/>
          <w:b/>
          <w:bCs/>
          <w:sz w:val="20"/>
          <w:szCs w:val="20"/>
        </w:rPr>
        <w:t xml:space="preserve">構造:</w:t>
      </w:r>
    </w:p>
    <w:p>
      <w:pPr>
        <w:pStyle w:val="ListParagraph"/>
        <w:numPr>
          <w:ilvl w:val="1"/>
          <w:numId w:val="3"/>
        </w:numPr>
        <w:spacing w:after="40" w:line="290"/>
      </w:pPr>
      <w:r>
        <w:rPr>
          <w:rFonts w:ascii="Arial" w:cs="Arial" w:eastAsia="Yu Gothic" w:hAnsi="Arial"/>
          <w:sz w:val="20"/>
          <w:szCs w:val="20"/>
        </w:rPr>
        <w:t xml:space="preserve">アクター: DB 顧客、AI 研究所、ハイパースケーラー</w:t>
      </w:r>
    </w:p>
    <w:p>
      <w:pPr>
        <w:pStyle w:val="ListParagraph"/>
        <w:numPr>
          <w:ilvl w:val="1"/>
          <w:numId w:val="3"/>
        </w:numPr>
        <w:spacing w:after="40" w:line="290"/>
      </w:pPr>
      <w:r>
        <w:rPr>
          <w:rFonts w:ascii="Arial" w:cs="Arial" w:eastAsia="Yu Gothic" w:hAnsi="Arial"/>
          <w:sz w:val="20"/>
          <w:szCs w:val="20"/>
        </w:rPr>
        <w:t xml:space="preserve">フロー: 保守料・容量料</w:t>
      </w:r>
    </w:p>
    <w:p>
      <w:pPr>
        <w:pStyle w:val="ListParagraph"/>
        <w:numPr>
          <w:ilvl w:val="1"/>
          <w:numId w:val="3"/>
        </w:numPr>
        <w:spacing w:after="40" w:line="290"/>
      </w:pPr>
      <w:r>
        <w:rPr>
          <w:rFonts w:ascii="Arial" w:cs="Arial" w:eastAsia="Yu Gothic" w:hAnsi="Arial"/>
          <w:sz w:val="20"/>
          <w:szCs w:val="20"/>
        </w:rPr>
        <w:t xml:space="preserve">リスク所在: 価格競争リスクは Oracle が負う(AI)</w:t>
      </w:r>
    </w:p>
    <w:p>
      <w:pPr>
        <w:pStyle w:val="ListParagraph"/>
        <w:numPr>
          <w:ilvl w:val="1"/>
          <w:numId w:val="3"/>
        </w:numPr>
        <w:spacing w:after="40" w:line="290"/>
      </w:pPr>
      <w:r>
        <w:rPr>
          <w:rFonts w:ascii="Arial" w:cs="Arial" w:eastAsia="Yu Gothic" w:hAnsi="Arial"/>
          <w:sz w:val="20"/>
          <w:szCs w:val="20"/>
        </w:rPr>
        <w:t xml:space="preserve">時間: DB は数十年、AI の優位は電力が希少な数年</w:t>
      </w:r>
    </w:p>
    <w:p>
      <w:pPr>
        <w:pStyle w:val="ListParagraph"/>
        <w:numPr>
          <w:ilvl w:val="0"/>
          <w:numId w:val="3"/>
        </w:numPr>
        <w:spacing w:after="40" w:line="290"/>
      </w:pPr>
      <w:r>
        <w:rPr>
          <w:rFonts w:ascii="Arial" w:cs="Arial" w:eastAsia="Yu Gothic" w:hAnsi="Arial"/>
          <w:b/>
          <w:bCs/>
          <w:sz w:val="20"/>
          <w:szCs w:val="20"/>
        </w:rPr>
        <w:t xml:space="preserve">判定:</w:t>
      </w:r>
      <w:r>
        <w:rPr>
          <w:rFonts w:ascii="Arial" w:cs="Arial" w:eastAsia="Yu Gothic" w:hAnsi="Arial"/>
          <w:sz w:val="20"/>
          <w:szCs w:val="20"/>
        </w:rPr>
        <w:t xml:space="preserve"> S(Power 2つ以上で強化中、CAP 10年超)には AI 側の優位の短さで届かず、D 以下の兆候(値下げ圧力)もないため B。1周目で決定。</w:t>
      </w:r>
    </w:p>
    <w:p>
      <w:pPr>
        <w:spacing w:after="120" w:line="300"/>
      </w:pPr>
      <w:r>
        <w:rPr>
          <w:rFonts w:ascii="Arial" w:cs="Arial" w:eastAsia="Yu Gothic" w:hAnsi="Arial"/>
          <w:b/>
          <w:bCs/>
          <w:sz w:val="20"/>
          <w:szCs w:val="20"/>
        </w:rPr>
        <w:t xml:space="preserve">条件2 コア事業の潤沢なキャッシュフロー — B</w:t>
      </w:r>
    </w:p>
    <w:p>
      <w:pPr>
        <w:pStyle w:val="ListParagraph"/>
        <w:numPr>
          <w:ilvl w:val="0"/>
          <w:numId w:val="3"/>
        </w:numPr>
        <w:spacing w:after="40" w:line="290"/>
      </w:pPr>
      <w:r>
        <w:rPr>
          <w:rFonts w:ascii="Arial" w:cs="Arial" w:eastAsia="Yu Gothic" w:hAnsi="Arial"/>
          <w:b/>
          <w:bCs/>
          <w:sz w:val="20"/>
          <w:szCs w:val="20"/>
        </w:rPr>
        <w:t xml:space="preserve">判断軸(確認層):</w:t>
      </w:r>
      <w:r>
        <w:rPr>
          <w:rFonts w:ascii="Arial" w:cs="Arial" w:eastAsia="Yu Gothic" w:hAnsi="Arial"/>
          <w:sz w:val="20"/>
          <w:szCs w:val="20"/>
        </w:rPr>
        <w:t xml:space="preserve"> コア単体の定常状態利益と、成長 capex の裏付け。</w:t>
      </w:r>
    </w:p>
    <w:p>
      <w:pPr>
        <w:pStyle w:val="ListParagraph"/>
        <w:numPr>
          <w:ilvl w:val="0"/>
          <w:numId w:val="3"/>
        </w:numPr>
        <w:spacing w:after="40" w:line="290"/>
      </w:pPr>
      <w:r>
        <w:rPr>
          <w:rFonts w:ascii="Arial" w:cs="Arial" w:eastAsia="Yu Gothic" w:hAnsi="Arial"/>
          <w:b/>
          <w:bCs/>
          <w:sz w:val="20"/>
          <w:szCs w:val="20"/>
        </w:rPr>
        <w:t xml:space="preserve">evidence:</w:t>
      </w:r>
    </w:p>
    <w:p>
      <w:pPr>
        <w:pStyle w:val="ListParagraph"/>
        <w:numPr>
          <w:ilvl w:val="1"/>
          <w:numId w:val="3"/>
        </w:numPr>
        <w:spacing w:after="40" w:line="290"/>
      </w:pPr>
      <w:r>
        <w:rPr>
          <w:rFonts w:ascii="Arial" w:cs="Arial" w:eastAsia="Yu Gothic" w:hAnsi="Arial"/>
          <w:sz w:val="20"/>
          <w:szCs w:val="20"/>
        </w:rPr>
        <w:t xml:space="preserve">① コア NOPAT 約$211億(推定)</w:t>
      </w:r>
    </w:p>
    <w:p>
      <w:pPr>
        <w:pStyle w:val="ListParagraph"/>
        <w:numPr>
          <w:ilvl w:val="1"/>
          <w:numId w:val="3"/>
        </w:numPr>
        <w:spacing w:after="40" w:line="290"/>
      </w:pPr>
      <w:r>
        <w:rPr>
          <w:rFonts w:ascii="Arial" w:cs="Arial" w:eastAsia="Yu Gothic" w:hAnsi="Arial"/>
          <w:sz w:val="20"/>
          <w:szCs w:val="20"/>
        </w:rPr>
        <w:t xml:space="preserve">② 契約裏付け率 4.0倍</w:t>
      </w:r>
    </w:p>
    <w:p>
      <w:pPr>
        <w:pStyle w:val="ListParagraph"/>
        <w:numPr>
          <w:ilvl w:val="1"/>
          <w:numId w:val="3"/>
        </w:numPr>
        <w:spacing w:after="40" w:line="290"/>
      </w:pPr>
      <w:r>
        <w:rPr>
          <w:rFonts w:ascii="Arial" w:cs="Arial" w:eastAsia="Yu Gothic" w:hAnsi="Arial"/>
          <w:sz w:val="20"/>
          <w:szCs w:val="20"/>
        </w:rPr>
        <w:t xml:space="preserve">③ 前払い・持込 $750億</w:t>
      </w:r>
    </w:p>
    <w:p>
      <w:pPr>
        <w:pStyle w:val="ListParagraph"/>
        <w:numPr>
          <w:ilvl w:val="1"/>
          <w:numId w:val="3"/>
        </w:numPr>
        <w:spacing w:after="40" w:line="290"/>
      </w:pPr>
      <w:r>
        <w:rPr>
          <w:rFonts w:ascii="Arial" w:cs="Arial" w:eastAsia="Yu Gothic" w:hAnsi="Arial"/>
          <w:sz w:val="20"/>
          <w:szCs w:val="20"/>
        </w:rPr>
        <w:t xml:space="preserve">④ 全社 FCF は FY26 −$237億、Q1 FY27 −$54億</w:t>
      </w:r>
    </w:p>
    <w:p>
      <w:pPr>
        <w:pStyle w:val="ListParagraph"/>
        <w:numPr>
          <w:ilvl w:val="0"/>
          <w:numId w:val="3"/>
        </w:numPr>
        <w:spacing w:after="40" w:line="290"/>
      </w:pPr>
      <w:r>
        <w:rPr>
          <w:rFonts w:ascii="Arial" w:cs="Arial" w:eastAsia="Yu Gothic" w:hAnsi="Arial"/>
          <w:b/>
          <w:bCs/>
          <w:sz w:val="20"/>
          <w:szCs w:val="20"/>
        </w:rPr>
        <w:t xml:space="preserve">確認層として:</w:t>
      </w:r>
      <w:r>
        <w:rPr>
          <w:rFonts w:ascii="Arial" w:cs="Arial" w:eastAsia="Yu Gothic" w:hAnsi="Arial"/>
          <w:sz w:val="20"/>
          <w:szCs w:val="20"/>
        </w:rPr>
        <w:t xml:space="preserve"> 全社 FCF のマイナスは、成長 capex(契約済み需要の取り込み)によるもので、コアの稼ぐ力は落ちていない。ただし capex の裏付けの約45%は資金調達に頼る1社(OpenAI)であり、「顧客の資本で裏付けられている」と言えるのは前払い・持込の部分に限られる。</w:t>
      </w:r>
    </w:p>
    <w:p>
      <w:pPr>
        <w:pStyle w:val="ListParagraph"/>
        <w:numPr>
          <w:ilvl w:val="0"/>
          <w:numId w:val="3"/>
        </w:numPr>
        <w:spacing w:after="40" w:line="290"/>
      </w:pPr>
      <w:r>
        <w:rPr>
          <w:rFonts w:ascii="Arial" w:cs="Arial" w:eastAsia="Yu Gothic" w:hAnsi="Arial"/>
          <w:b/>
          <w:bCs/>
          <w:sz w:val="20"/>
          <w:szCs w:val="20"/>
        </w:rPr>
        <w:t xml:space="preserve">判定:</w:t>
      </w:r>
      <w:r>
        <w:rPr>
          <w:rFonts w:ascii="Arial" w:cs="Arial" w:eastAsia="Yu Gothic" w:hAnsi="Arial"/>
          <w:sz w:val="20"/>
          <w:szCs w:val="20"/>
        </w:rPr>
        <w:t xml:space="preserve"> S には届かず B。</w:t>
      </w:r>
    </w:p>
    <w:p>
      <w:pPr>
        <w:spacing w:after="120" w:line="300"/>
      </w:pPr>
      <w:r>
        <w:rPr>
          <w:rFonts w:ascii="Arial" w:cs="Arial" w:eastAsia="Yu Gothic" w:hAnsi="Arial"/>
          <w:b/>
          <w:bCs/>
          <w:sz w:val="20"/>
          <w:szCs w:val="20"/>
        </w:rPr>
        <w:t xml:space="preserve">条件3 コア技術・データの AI 転用と成果 — A</w:t>
      </w:r>
    </w:p>
    <w:p>
      <w:pPr>
        <w:pStyle w:val="ListParagraph"/>
        <w:numPr>
          <w:ilvl w:val="0"/>
          <w:numId w:val="3"/>
        </w:numPr>
        <w:spacing w:after="40" w:line="290"/>
      </w:pPr>
      <w:r>
        <w:rPr>
          <w:rFonts w:ascii="Arial" w:cs="Arial" w:eastAsia="Yu Gothic" w:hAnsi="Arial"/>
          <w:b/>
          <w:bCs/>
          <w:sz w:val="20"/>
          <w:szCs w:val="20"/>
        </w:rPr>
        <w:t xml:space="preserve">evidence:</w:t>
      </w:r>
    </w:p>
    <w:p>
      <w:pPr>
        <w:pStyle w:val="ListParagraph"/>
        <w:numPr>
          <w:ilvl w:val="1"/>
          <w:numId w:val="3"/>
        </w:numPr>
        <w:spacing w:after="40" w:line="290"/>
      </w:pPr>
      <w:r>
        <w:rPr>
          <w:rFonts w:ascii="Arial" w:cs="Arial" w:eastAsia="Yu Gothic" w:hAnsi="Arial"/>
          <w:sz w:val="20"/>
          <w:szCs w:val="20"/>
        </w:rPr>
        <w:t xml:space="preserve">① OCI +121%(Q1 FY27)、総売上の伸びの主因</w:t>
      </w:r>
    </w:p>
    <w:p>
      <w:pPr>
        <w:pStyle w:val="ListParagraph"/>
        <w:numPr>
          <w:ilvl w:val="1"/>
          <w:numId w:val="3"/>
        </w:numPr>
        <w:spacing w:after="40" w:line="290"/>
      </w:pPr>
      <w:r>
        <w:rPr>
          <w:rFonts w:ascii="Arial" w:cs="Arial" w:eastAsia="Yu Gothic" w:hAnsi="Arial"/>
          <w:sz w:val="20"/>
          <w:szCs w:val="20"/>
        </w:rPr>
        <w:t xml:space="preserve">② マルチクラウド DB +353%・顧客 +180%</w:t>
      </w:r>
    </w:p>
    <w:p>
      <w:pPr>
        <w:pStyle w:val="ListParagraph"/>
        <w:numPr>
          <w:ilvl w:val="1"/>
          <w:numId w:val="3"/>
        </w:numPr>
        <w:spacing w:after="40" w:line="290"/>
      </w:pPr>
      <w:r>
        <w:rPr>
          <w:rFonts w:ascii="Arial" w:cs="Arial" w:eastAsia="Yu Gothic" w:hAnsi="Arial"/>
          <w:sz w:val="20"/>
          <w:szCs w:val="20"/>
        </w:rPr>
        <w:t xml:space="preserve">③ Exadata 由来の RDMA ネットワークによる GPU クラスタ構築</w:t>
      </w:r>
    </w:p>
    <w:p>
      <w:pPr>
        <w:pStyle w:val="ListParagraph"/>
        <w:numPr>
          <w:ilvl w:val="1"/>
          <w:numId w:val="3"/>
        </w:numPr>
        <w:spacing w:after="40" w:line="290"/>
      </w:pPr>
      <w:r>
        <w:rPr>
          <w:rFonts w:ascii="Arial" w:cs="Arial" w:eastAsia="Yu Gothic" w:hAnsi="Arial"/>
          <w:sz w:val="20"/>
          <w:szCs w:val="20"/>
        </w:rPr>
        <w:t xml:space="preserve">④ 企業顧客の「自社データでの AI 推論」需要(会社説明)</w:t>
      </w:r>
    </w:p>
    <w:p>
      <w:pPr>
        <w:pStyle w:val="ListParagraph"/>
        <w:numPr>
          <w:ilvl w:val="0"/>
          <w:numId w:val="3"/>
        </w:numPr>
        <w:spacing w:after="40" w:line="290"/>
      </w:pPr>
      <w:r>
        <w:rPr>
          <w:rFonts w:ascii="Arial" w:cs="Arial" w:eastAsia="Yu Gothic" w:hAnsi="Arial"/>
          <w:b/>
          <w:bCs/>
          <w:sz w:val="20"/>
          <w:szCs w:val="20"/>
        </w:rPr>
        <w:t xml:space="preserve">構造:</w:t>
      </w:r>
      <w:r>
        <w:rPr>
          <w:rFonts w:ascii="Arial" w:cs="Arial" w:eastAsia="Yu Gothic" w:hAnsi="Arial"/>
          <w:sz w:val="20"/>
          <w:szCs w:val="20"/>
        </w:rPr>
        <w:t xml:space="preserve"> 既存資産(DB・ネットワーク技術・顧客)→ 転用経路(OCI、他社クラウド内の DB、AI Database)→ 新収益。</w:t>
      </w:r>
    </w:p>
    <w:p>
      <w:pPr>
        <w:pStyle w:val="ListParagraph"/>
        <w:numPr>
          <w:ilvl w:val="0"/>
          <w:numId w:val="3"/>
        </w:numPr>
        <w:spacing w:after="40" w:line="290"/>
      </w:pPr>
      <w:r>
        <w:rPr>
          <w:rFonts w:ascii="Arial" w:cs="Arial" w:eastAsia="Yu Gothic" w:hAnsi="Arial"/>
          <w:b/>
          <w:bCs/>
          <w:sz w:val="20"/>
          <w:szCs w:val="20"/>
        </w:rPr>
        <w:t xml:space="preserve">判定:</w:t>
      </w:r>
      <w:r>
        <w:rPr>
          <w:rFonts w:ascii="Arial" w:cs="Arial" w:eastAsia="Yu Gothic" w:hAnsi="Arial"/>
          <w:sz w:val="20"/>
          <w:szCs w:val="20"/>
        </w:rPr>
        <w:t xml:space="preserve"> 転用先が全社成長の主因になっているため A。S(圧倒的)に届かない理由は、AI 容量の収益が GPU の貸出(DB の転用ではない部分)に大きく依存するためである。</w:t>
      </w:r>
    </w:p>
    <w:p>
      <w:pPr>
        <w:spacing w:after="120" w:line="300"/>
      </w:pPr>
      <w:r>
        <w:rPr>
          <w:rFonts w:ascii="Arial" w:cs="Arial" w:eastAsia="Yu Gothic" w:hAnsi="Arial"/>
          <w:b/>
          <w:bCs/>
          <w:sz w:val="20"/>
          <w:szCs w:val="20"/>
        </w:rPr>
        <w:t xml:space="preserve">条件4 日本株か米国株 — 充足</w:t>
      </w:r>
    </w:p>
    <w:p>
      <w:pPr>
        <w:pStyle w:val="ListParagraph"/>
        <w:numPr>
          <w:ilvl w:val="0"/>
          <w:numId w:val="3"/>
        </w:numPr>
        <w:spacing w:after="40" w:line="290"/>
      </w:pPr>
      <w:r>
        <w:rPr>
          <w:rFonts w:ascii="Arial" w:cs="Arial" w:eastAsia="Yu Gothic" w:hAnsi="Arial"/>
          <w:sz w:val="20"/>
          <w:szCs w:val="20"/>
        </w:rPr>
        <w:t xml:space="preserve">NYSE 上場の米国企業。</w:t>
      </w:r>
    </w:p>
    <w:p>
      <w:pPr>
        <w:spacing w:after="120" w:line="300"/>
      </w:pPr>
      <w:r>
        <w:rPr>
          <w:rFonts w:ascii="Arial" w:cs="Arial" w:eastAsia="Yu Gothic" w:hAnsi="Arial"/>
          <w:b/>
          <w:bCs/>
          <w:sz w:val="20"/>
          <w:szCs w:val="20"/>
        </w:rPr>
        <w:t xml:space="preserve">条件5 CEO の信頼性と事業拡大の経歴 — B(C との境界)</w:t>
      </w:r>
    </w:p>
    <w:p>
      <w:pPr>
        <w:pStyle w:val="ListParagraph"/>
        <w:numPr>
          <w:ilvl w:val="0"/>
          <w:numId w:val="3"/>
        </w:numPr>
        <w:spacing w:after="40" w:line="290"/>
      </w:pPr>
      <w:r>
        <w:rPr>
          <w:rFonts w:ascii="Arial" w:cs="Arial" w:eastAsia="Yu Gothic" w:hAnsi="Arial"/>
          <w:b/>
          <w:bCs/>
          <w:sz w:val="20"/>
          <w:szCs w:val="20"/>
        </w:rPr>
        <w:t xml:space="preserve">evidence:</w:t>
      </w:r>
    </w:p>
    <w:p>
      <w:pPr>
        <w:pStyle w:val="ListParagraph"/>
        <w:numPr>
          <w:ilvl w:val="1"/>
          <w:numId w:val="3"/>
        </w:numPr>
        <w:spacing w:after="40" w:line="290"/>
      </w:pPr>
      <w:r>
        <w:rPr>
          <w:rFonts w:ascii="Arial" w:cs="Arial" w:eastAsia="Yu Gothic" w:hAnsi="Arial"/>
          <w:sz w:val="20"/>
          <w:szCs w:val="20"/>
        </w:rPr>
        <w:t xml:space="preserve">① Magouyrk は OCI を立ち上げた中心人物で、OCI の成長加速(+55% → +121%)の約束は実現</w:t>
      </w:r>
    </w:p>
    <w:p>
      <w:pPr>
        <w:pStyle w:val="ListParagraph"/>
        <w:numPr>
          <w:ilvl w:val="1"/>
          <w:numId w:val="3"/>
        </w:numPr>
        <w:spacing w:after="40" w:line="290"/>
      </w:pPr>
      <w:r>
        <w:rPr>
          <w:rFonts w:ascii="Arial" w:cs="Arial" w:eastAsia="Yu Gothic" w:hAnsi="Arial"/>
          <w:sz w:val="20"/>
          <w:szCs w:val="20"/>
        </w:rPr>
        <w:t xml:space="preserve">② 売上ガイダンスは Q3・Q4 FY26・Q1 FY27 で上振れ、Q2 FY26 は未達</w:t>
      </w:r>
    </w:p>
    <w:p>
      <w:pPr>
        <w:pStyle w:val="ListParagraph"/>
        <w:numPr>
          <w:ilvl w:val="1"/>
          <w:numId w:val="3"/>
        </w:numPr>
        <w:spacing w:after="40" w:line="290"/>
      </w:pPr>
      <w:r>
        <w:rPr>
          <w:rFonts w:ascii="Arial" w:cs="Arial" w:eastAsia="Yu Gothic" w:hAnsi="Arial"/>
          <w:sz w:val="20"/>
          <w:szCs w:val="20"/>
        </w:rPr>
        <w:t xml:space="preserve">③ FY26 capex は 2025-09 時点の見通し 約$350億 → 2025-12 に $500億 → 実績 $557億(+59%)。FCF 黒字化の時期は示さない</w:t>
      </w:r>
    </w:p>
    <w:p>
      <w:pPr>
        <w:pStyle w:val="ListParagraph"/>
        <w:numPr>
          <w:ilvl w:val="1"/>
          <w:numId w:val="3"/>
        </w:numPr>
        <w:spacing w:after="40" w:line="290"/>
      </w:pPr>
      <w:r>
        <w:rPr>
          <w:rFonts w:ascii="Arial" w:cs="Arial" w:eastAsia="Yu Gothic" w:hAnsi="Arial"/>
          <w:sz w:val="20"/>
          <w:szCs w:val="20"/>
        </w:rPr>
        <w:t xml:space="preserve">④ 共同CEO の業績連動部分(PSO、報酬の20%)の KPI は FY28 の総売上(総額)で、1株当たり指標ではない。80% は行使価格 $308.46 の時間ベースのオプション</w:t>
      </w:r>
    </w:p>
    <w:p>
      <w:pPr>
        <w:pStyle w:val="ListParagraph"/>
        <w:numPr>
          <w:ilvl w:val="0"/>
          <w:numId w:val="3"/>
        </w:numPr>
        <w:spacing w:after="40" w:line="290"/>
      </w:pPr>
      <w:r>
        <w:rPr>
          <w:rFonts w:ascii="Arial" w:cs="Arial" w:eastAsia="Yu Gothic" w:hAnsi="Arial"/>
          <w:b/>
          <w:bCs/>
          <w:sz w:val="20"/>
          <w:szCs w:val="20"/>
        </w:rPr>
        <w:t xml:space="preserve">補足:</w:t>
      </w:r>
      <w:r>
        <w:rPr>
          <w:rFonts w:ascii="Arial" w:cs="Arial" w:eastAsia="Yu Gothic" w:hAnsi="Arial"/>
          <w:sz w:val="20"/>
          <w:szCs w:val="20"/>
        </w:rPr>
        <w:t xml:space="preserve"> CFO は 2026-04 に交代(Maxson)。共同CEO は 2025-09 に就任で、新体制の実績は約1年。</w:t>
      </w:r>
    </w:p>
    <w:p>
      <w:pPr>
        <w:pStyle w:val="ListParagraph"/>
        <w:numPr>
          <w:ilvl w:val="0"/>
          <w:numId w:val="3"/>
        </w:numPr>
        <w:spacing w:after="40" w:line="290"/>
      </w:pPr>
      <w:r>
        <w:rPr>
          <w:rFonts w:ascii="Arial" w:cs="Arial" w:eastAsia="Yu Gothic" w:hAnsi="Arial"/>
          <w:b/>
          <w:bCs/>
          <w:sz w:val="20"/>
          <w:szCs w:val="20"/>
        </w:rPr>
        <w:t xml:space="preserve">判定:</w:t>
      </w:r>
      <w:r>
        <w:rPr>
          <w:rFonts w:ascii="Arial" w:cs="Arial" w:eastAsia="Yu Gothic" w:hAnsi="Arial"/>
          <w:sz w:val="20"/>
          <w:szCs w:val="20"/>
        </w:rPr>
        <w:t xml:space="preserve"> 実行(需要獲得・容量納入)は強いが、資本配分の規律と1株当たりの整合で留保が大きい。2周目でも決め手がなく、B を維持し、境界であることを明記する(C なら C×4 の規則が発動するが、総合は B で変わらない)。</w:t>
      </w:r>
    </w:p>
    <w:p>
      <w:pPr>
        <w:spacing w:after="120" w:line="300"/>
      </w:pPr>
      <w:r>
        <w:rPr>
          <w:rFonts w:ascii="Arial" w:cs="Arial" w:eastAsia="Yu Gothic" w:hAnsi="Arial"/>
          <w:b/>
          <w:bCs/>
          <w:sz w:val="20"/>
          <w:szCs w:val="20"/>
        </w:rPr>
        <w:t xml:space="preserve">条件6 5年後 EPS 成長率で PEG&lt;1(CAGR 30%以上) — C</w:t>
      </w:r>
    </w:p>
    <w:p>
      <w:pPr>
        <w:pStyle w:val="ListParagraph"/>
        <w:numPr>
          <w:ilvl w:val="0"/>
          <w:numId w:val="3"/>
        </w:numPr>
        <w:spacing w:after="40" w:line="290"/>
      </w:pPr>
      <w:r>
        <w:rPr>
          <w:rFonts w:ascii="Arial" w:cs="Arial" w:eastAsia="Yu Gothic" w:hAnsi="Arial"/>
          <w:b/>
          <w:bCs/>
          <w:sz w:val="20"/>
          <w:szCs w:val="20"/>
        </w:rPr>
        <w:t xml:space="preserve">evidence: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8"/>
        <w:gridCol w:w="5735"/>
        <w:gridCol w:w="1043"/>
      </w:tblGrid>
      <w:tr>
        <w:trPr>
          <w:cantSplit/>
          <w:tblHeader/>
        </w:trPr>
        <w:tc>
          <w:tcPr>
            <w:tcW w:type="dxa" w:w="312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経路</w:t>
            </w:r>
          </w:p>
        </w:tc>
        <w:tc>
          <w:tcPr>
            <w:tcW w:type="dxa" w:w="573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事業実態EPS の5年 CAGR</w:t>
            </w:r>
          </w:p>
        </w:tc>
        <w:tc>
          <w:tcPr>
            <w:tcW w:type="dxa" w:w="104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PEG</w:t>
            </w:r>
          </w:p>
        </w:tc>
      </w:tr>
      <w:tr>
        <w:trPr>
          <w:cantSplit/>
          <w:tblHeader w:val="false"/>
        </w:trPr>
        <w:tc>
          <w:tcPr>
            <w:tcW w:type="dxa" w:w="312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事業エンジン</w:t>
            </w:r>
          </w:p>
        </w:tc>
        <w:tc>
          <w:tcPr>
            <w:tcW w:type="dxa" w:w="57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22.1%</w:t>
            </w:r>
          </w:p>
        </w:tc>
        <w:tc>
          <w:tcPr>
            <w:tcW w:type="dxa" w:w="10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0.92</w:t>
            </w:r>
          </w:p>
        </w:tc>
      </w:tr>
      <w:tr>
        <w:trPr>
          <w:cantSplit/>
          <w:tblHeader w:val="false"/>
        </w:trPr>
        <w:tc>
          <w:tcPr>
            <w:tcW w:type="dxa" w:w="312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コンセンサス</w:t>
            </w:r>
          </w:p>
        </w:tc>
        <w:tc>
          <w:tcPr>
            <w:tcW w:type="dxa" w:w="57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26.2%</w:t>
            </w:r>
          </w:p>
        </w:tc>
        <w:tc>
          <w:tcPr>
            <w:tcW w:type="dxa" w:w="10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0.79</w:t>
            </w:r>
          </w:p>
        </w:tc>
      </w:tr>
      <w:tr>
        <w:trPr>
          <w:cantSplit/>
          <w:tblHeader w:val="false"/>
        </w:trPr>
        <w:tc>
          <w:tcPr>
            <w:tcW w:type="dxa" w:w="312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会社シナリオ</w:t>
            </w:r>
          </w:p>
        </w:tc>
        <w:tc>
          <w:tcPr>
            <w:tcW w:type="dxa" w:w="573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31.8%</w:t>
            </w:r>
          </w:p>
        </w:tc>
        <w:tc>
          <w:tcPr>
            <w:tcW w:type="dxa" w:w="104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0.65</w:t>
            </w:r>
          </w:p>
        </w:tc>
      </w:tr>
    </w:tbl>
    <w:p>
      <w:pPr>
        <w:spacing w:after="80"/>
      </w:pPr>
    </w:p>
    <w:p>
      <w:pPr>
        <w:spacing w:after="120" w:line="300"/>
      </w:pPr>
      <w:r>
        <w:rPr>
          <w:rFonts w:ascii="Arial" w:cs="Arial" w:eastAsia="Yu Gothic" w:hAnsi="Arial"/>
          <w:sz w:val="20"/>
          <w:szCs w:val="20"/>
        </w:rPr>
        <w:t xml:space="preserve">(いずれも PER 20.5倍)</w:t>
      </w:r>
    </w:p>
    <w:p>
      <w:pPr>
        <w:pStyle w:val="ListParagraph"/>
        <w:numPr>
          <w:ilvl w:val="0"/>
          <w:numId w:val="3"/>
        </w:numPr>
        <w:spacing w:after="40" w:line="290"/>
      </w:pPr>
      <w:r>
        <w:rPr>
          <w:rFonts w:ascii="Arial" w:cs="Arial" w:eastAsia="Yu Gothic" w:hAnsi="Arial"/>
          <w:b/>
          <w:bCs/>
          <w:sz w:val="20"/>
          <w:szCs w:val="20"/>
        </w:rPr>
        <w:t xml:space="preserve">判定:</w:t>
      </w:r>
      <w:r>
        <w:rPr>
          <w:rFonts w:ascii="Arial" w:cs="Arial" w:eastAsia="Yu Gothic" w:hAnsi="Arial"/>
          <w:sz w:val="20"/>
          <w:szCs w:val="20"/>
        </w:rPr>
        <w:t xml:space="preserve"> 会社シナリオ経路だけが CAGR 30% 以上かつ PEG&lt;1 を満たし、事業エンジン経路は満たさない(評価目安の「B=事業エンジン経路でのみ満たす」とは逆)ので C。</w:t>
      </w:r>
    </w:p>
    <w:p>
      <w:pPr>
        <w:pStyle w:val="ListParagraph"/>
        <w:numPr>
          <w:ilvl w:val="0"/>
          <w:numId w:val="3"/>
        </w:numPr>
        <w:spacing w:after="40" w:line="290"/>
      </w:pPr>
      <w:r>
        <w:rPr>
          <w:rFonts w:ascii="Arial" w:cs="Arial" w:eastAsia="Yu Gothic" w:hAnsi="Arial"/>
          <w:b/>
          <w:bCs/>
          <w:sz w:val="20"/>
          <w:szCs w:val="20"/>
        </w:rPr>
        <w:t xml:space="preserve">監視KPI:</w:t>
      </w:r>
      <w:r>
        <w:rPr>
          <w:rFonts w:ascii="Arial" w:cs="Arial" w:eastAsia="Yu Gothic" w:hAnsi="Arial"/>
          <w:sz w:val="20"/>
          <w:szCs w:val="20"/>
        </w:rPr>
        <w:t xml:space="preserve"> K1(AI 粗利率 ≥30%)と K2(納入 ≥1GW/四半期)が続けば、事業エンジン経路の CAGR は 26% 前後へ上がる。</w:t>
      </w:r>
    </w:p>
    <w:p>
      <w:pPr>
        <w:spacing w:after="120" w:line="300"/>
      </w:pPr>
      <w:r>
        <w:rPr>
          <w:rFonts w:ascii="Arial" w:cs="Arial" w:eastAsia="Yu Gothic" w:hAnsi="Arial"/>
          <w:b/>
          <w:bCs/>
          <w:sz w:val="20"/>
          <w:szCs w:val="20"/>
        </w:rPr>
        <w:t xml:space="preserve">条件7 PEG が低い理由がリスクの過大評価であること — C</w:t>
      </w:r>
    </w:p>
    <w:p>
      <w:pPr>
        <w:pStyle w:val="ListParagraph"/>
        <w:numPr>
          <w:ilvl w:val="0"/>
          <w:numId w:val="3"/>
        </w:numPr>
        <w:spacing w:after="40" w:line="290"/>
      </w:pPr>
      <w:r>
        <w:rPr>
          <w:rFonts w:ascii="Arial" w:cs="Arial" w:eastAsia="Yu Gothic" w:hAnsi="Arial"/>
          <w:b/>
          <w:bCs/>
          <w:sz w:val="20"/>
          <w:szCs w:val="20"/>
        </w:rPr>
        <w:t xml:space="preserve">判断軸:</w:t>
      </w:r>
      <w:r>
        <w:rPr>
          <w:rFonts w:ascii="Arial" w:cs="Arial" w:eastAsia="Yu Gothic" w:hAnsi="Arial"/>
          <w:sz w:val="20"/>
          <w:szCs w:val="20"/>
        </w:rPr>
        <w:t xml:space="preserve"> 「なぜ安いか」を出典で特定し、見落としの原因で説明できるか。</w:t>
      </w:r>
    </w:p>
    <w:p>
      <w:pPr>
        <w:pStyle w:val="ListParagraph"/>
        <w:numPr>
          <w:ilvl w:val="0"/>
          <w:numId w:val="3"/>
        </w:numPr>
        <w:spacing w:after="40" w:line="290"/>
      </w:pPr>
      <w:r>
        <w:rPr>
          <w:rFonts w:ascii="Arial" w:cs="Arial" w:eastAsia="Yu Gothic" w:hAnsi="Arial"/>
          <w:b/>
          <w:bCs/>
          <w:sz w:val="20"/>
          <w:szCs w:val="20"/>
        </w:rPr>
        <w:t xml:space="preserve">evidence:</w:t>
      </w:r>
    </w:p>
    <w:p>
      <w:pPr>
        <w:pStyle w:val="ListParagraph"/>
        <w:numPr>
          <w:ilvl w:val="1"/>
          <w:numId w:val="3"/>
        </w:numPr>
        <w:spacing w:after="40" w:line="290"/>
      </w:pPr>
      <w:r>
        <w:rPr>
          <w:rFonts w:ascii="Arial" w:cs="Arial" w:eastAsia="Yu Gothic" w:hAnsi="Arial"/>
          <w:sz w:val="20"/>
          <w:szCs w:val="20"/>
        </w:rPr>
        <w:t xml:space="preserve">① 安く見える理由の第一は、PER が資本集約度を映さないこと(会計による歪みではなく、評価法の限界)</w:t>
      </w:r>
    </w:p>
    <w:p>
      <w:pPr>
        <w:pStyle w:val="ListParagraph"/>
        <w:numPr>
          <w:ilvl w:val="1"/>
          <w:numId w:val="3"/>
        </w:numPr>
        <w:spacing w:after="40" w:line="290"/>
      </w:pPr>
      <w:r>
        <w:rPr>
          <w:rFonts w:ascii="Arial" w:cs="Arial" w:eastAsia="Yu Gothic" w:hAnsi="Arial"/>
          <w:sz w:val="20"/>
          <w:szCs w:val="20"/>
        </w:rPr>
        <w:t xml:space="preserve">② 市場の物語のうち「GPU 2〜3年寿命」(Burry)は片側の物語で、更新データ(+20%)が反証する</w:t>
      </w:r>
    </w:p>
    <w:p>
      <w:pPr>
        <w:pStyle w:val="ListParagraph"/>
        <w:numPr>
          <w:ilvl w:val="1"/>
          <w:numId w:val="3"/>
        </w:numPr>
        <w:spacing w:after="40" w:line="290"/>
      </w:pPr>
      <w:r>
        <w:rPr>
          <w:rFonts w:ascii="Arial" w:cs="Arial" w:eastAsia="Yu Gothic" w:hAnsi="Arial"/>
          <w:sz w:val="20"/>
          <w:szCs w:val="20"/>
        </w:rPr>
        <w:t xml:space="preserve">③ 一方、OpenAI 集中(RPO の 45〜50%、S&amp;P・BofA)と資金調達(BBB-、CDS 200bp)は実在のリスクで、市場は正しく見ている</w:t>
      </w:r>
    </w:p>
    <w:p>
      <w:pPr>
        <w:pStyle w:val="ListParagraph"/>
        <w:numPr>
          <w:ilvl w:val="1"/>
          <w:numId w:val="3"/>
        </w:numPr>
        <w:spacing w:after="40" w:line="290"/>
      </w:pPr>
      <w:r>
        <w:rPr>
          <w:rFonts w:ascii="Arial" w:cs="Arial" w:eastAsia="Yu Gothic" w:hAnsi="Arial"/>
          <w:sz w:val="20"/>
          <w:szCs w:val="20"/>
        </w:rPr>
        <w:t xml:space="preserve">④ 陳腐化リスクの所在: 持込分は顧客、自社調達分は Oracle(契約期間 ≒ 償却期間で、契約中はほぼ相殺)、建屋の長期リースは Oracle</w:t>
      </w:r>
    </w:p>
    <w:p>
      <w:pPr>
        <w:pStyle w:val="ListParagraph"/>
        <w:numPr>
          <w:ilvl w:val="0"/>
          <w:numId w:val="3"/>
        </w:numPr>
        <w:spacing w:after="40" w:line="290"/>
      </w:pPr>
      <w:r>
        <w:rPr>
          <w:rFonts w:ascii="Arial" w:cs="Arial" w:eastAsia="Yu Gothic" w:hAnsi="Arial"/>
          <w:b/>
          <w:bCs/>
          <w:sz w:val="20"/>
          <w:szCs w:val="20"/>
        </w:rPr>
        <w:t xml:space="preserve">判定:</w:t>
      </w:r>
      <w:r>
        <w:rPr>
          <w:rFonts w:ascii="Arial" w:cs="Arial" w:eastAsia="Yu Gothic" w:hAnsi="Arial"/>
          <w:sz w:val="20"/>
          <w:szCs w:val="20"/>
        </w:rPr>
        <w:t xml:space="preserve"> 安い理由の一部しか見落としで説明できないため C。</w:t>
      </w:r>
    </w:p>
    <w:p>
      <w:pPr>
        <w:pStyle w:val="ListParagraph"/>
        <w:numPr>
          <w:ilvl w:val="0"/>
          <w:numId w:val="3"/>
        </w:numPr>
        <w:spacing w:after="40" w:line="290"/>
      </w:pPr>
      <w:r>
        <w:rPr>
          <w:rFonts w:ascii="Arial" w:cs="Arial" w:eastAsia="Yu Gothic" w:hAnsi="Arial"/>
          <w:b/>
          <w:bCs/>
          <w:sz w:val="20"/>
          <w:szCs w:val="20"/>
        </w:rPr>
        <w:t xml:space="preserve">監視KPI:</w:t>
      </w:r>
      <w:r>
        <w:rPr>
          <w:rFonts w:ascii="Arial" w:cs="Arial" w:eastAsia="Yu Gothic" w:hAnsi="Arial"/>
          <w:sz w:val="20"/>
          <w:szCs w:val="20"/>
        </w:rPr>
        <w:t xml:space="preserve"> K3(更新率 ≥85%)、K4(OpenAI の資金調達)。</w:t>
      </w:r>
    </w:p>
    <w:p>
      <w:pPr>
        <w:spacing w:after="120" w:line="300"/>
      </w:pPr>
      <w:r>
        <w:rPr>
          <w:rFonts w:ascii="Arial" w:cs="Arial" w:eastAsia="Yu Gothic" w:hAnsi="Arial"/>
          <w:b/>
          <w:bCs/>
          <w:sz w:val="20"/>
          <w:szCs w:val="20"/>
        </w:rPr>
        <w:t xml:space="preserve">条件8 コモディティではない — C</w:t>
      </w:r>
    </w:p>
    <w:p>
      <w:pPr>
        <w:pStyle w:val="ListParagraph"/>
        <w:numPr>
          <w:ilvl w:val="0"/>
          <w:numId w:val="3"/>
        </w:numPr>
        <w:spacing w:after="40" w:line="290"/>
      </w:pPr>
      <w:r>
        <w:rPr>
          <w:rFonts w:ascii="Arial" w:cs="Arial" w:eastAsia="Yu Gothic" w:hAnsi="Arial"/>
          <w:b/>
          <w:bCs/>
          <w:sz w:val="20"/>
          <w:szCs w:val="20"/>
        </w:rPr>
        <w:t xml:space="preserve">evidence:</w:t>
      </w:r>
    </w:p>
    <w:p>
      <w:pPr>
        <w:pStyle w:val="ListParagraph"/>
        <w:numPr>
          <w:ilvl w:val="1"/>
          <w:numId w:val="3"/>
        </w:numPr>
        <w:spacing w:after="40" w:line="290"/>
      </w:pPr>
      <w:r>
        <w:rPr>
          <w:rFonts w:ascii="Arial" w:cs="Arial" w:eastAsia="Yu Gothic" w:hAnsi="Arial"/>
          <w:sz w:val="20"/>
          <w:szCs w:val="20"/>
        </w:rPr>
        <w:t xml:space="preserve">① DB は非コモディティ</w:t>
      </w:r>
    </w:p>
    <w:p>
      <w:pPr>
        <w:pStyle w:val="ListParagraph"/>
        <w:numPr>
          <w:ilvl w:val="1"/>
          <w:numId w:val="3"/>
        </w:numPr>
        <w:spacing w:after="40" w:line="290"/>
      </w:pPr>
      <w:r>
        <w:rPr>
          <w:rFonts w:ascii="Arial" w:cs="Arial" w:eastAsia="Yu Gothic" w:hAnsi="Arial"/>
          <w:sz w:val="20"/>
          <w:szCs w:val="20"/>
        </w:rPr>
        <w:t xml:space="preserve">② AI 容量: GPU 計算の価格指数(Silicon Data・Ornn)が整い、ICE が現金決済の GPU 先物を準備(2026-05 発表)、CME も提携</w:t>
      </w:r>
    </w:p>
    <w:p>
      <w:pPr>
        <w:pStyle w:val="ListParagraph"/>
        <w:numPr>
          <w:ilvl w:val="1"/>
          <w:numId w:val="3"/>
        </w:numPr>
        <w:spacing w:after="40" w:line="290"/>
      </w:pPr>
      <w:r>
        <w:rPr>
          <w:rFonts w:ascii="Arial" w:cs="Arial" w:eastAsia="Yu Gothic" w:hAnsi="Arial"/>
          <w:sz w:val="20"/>
          <w:szCs w:val="20"/>
        </w:rPr>
        <w:t xml:space="preserve">③ ネオクラウドとハイパースケーラーの H100 単価差は約2.6倍で、差別化の余地は残る</w:t>
      </w:r>
    </w:p>
    <w:p>
      <w:pPr>
        <w:pStyle w:val="ListParagraph"/>
        <w:numPr>
          <w:ilvl w:val="1"/>
          <w:numId w:val="3"/>
        </w:numPr>
        <w:spacing w:after="40" w:line="290"/>
      </w:pPr>
      <w:r>
        <w:rPr>
          <w:rFonts w:ascii="Arial" w:cs="Arial" w:eastAsia="Yu Gothic" w:hAnsi="Arial"/>
          <w:sz w:val="20"/>
          <w:szCs w:val="20"/>
        </w:rPr>
        <w:t xml:space="preserve">④ Oracle の差別化は電力の確保、RDMA ネットワーク、マルチクラウド</w:t>
      </w:r>
    </w:p>
    <w:p>
      <w:pPr>
        <w:pStyle w:val="ListParagraph"/>
        <w:numPr>
          <w:ilvl w:val="0"/>
          <w:numId w:val="3"/>
        </w:numPr>
        <w:spacing w:after="40" w:line="290"/>
      </w:pPr>
      <w:r>
        <w:rPr>
          <w:rFonts w:ascii="Arial" w:cs="Arial" w:eastAsia="Yu Gothic" w:hAnsi="Arial"/>
          <w:b/>
          <w:bCs/>
          <w:sz w:val="20"/>
          <w:szCs w:val="20"/>
        </w:rPr>
        <w:t xml:space="preserve">判定:</w:t>
      </w:r>
      <w:r>
        <w:rPr>
          <w:rFonts w:ascii="Arial" w:cs="Arial" w:eastAsia="Yu Gothic" w:hAnsi="Arial"/>
          <w:sz w:val="20"/>
          <w:szCs w:val="20"/>
        </w:rPr>
        <w:t xml:space="preserve"> 増分の価値の大半を生む AI 容量が商品化の途上にあるため C。</w:t>
      </w:r>
    </w:p>
    <w:p>
      <w:pPr>
        <w:pStyle w:val="ListParagraph"/>
        <w:numPr>
          <w:ilvl w:val="0"/>
          <w:numId w:val="3"/>
        </w:numPr>
        <w:spacing w:after="40" w:line="290"/>
      </w:pPr>
      <w:r>
        <w:rPr>
          <w:rFonts w:ascii="Arial" w:cs="Arial" w:eastAsia="Yu Gothic" w:hAnsi="Arial"/>
          <w:b/>
          <w:bCs/>
          <w:sz w:val="20"/>
          <w:szCs w:val="20"/>
        </w:rPr>
        <w:t xml:space="preserve">監視KPI:</w:t>
      </w:r>
      <w:r>
        <w:rPr>
          <w:rFonts w:ascii="Arial" w:cs="Arial" w:eastAsia="Yu Gothic" w:hAnsi="Arial"/>
          <w:sz w:val="20"/>
          <w:szCs w:val="20"/>
        </w:rPr>
        <w:t xml:space="preserve"> K1(AI 粗利率)と全社粗利率の下落幅。</w:t>
      </w:r>
    </w:p>
    <w:p>
      <w:pPr>
        <w:spacing w:after="120" w:line="300"/>
      </w:pPr>
      <w:r>
        <w:rPr>
          <w:rFonts w:ascii="Arial" w:cs="Arial" w:eastAsia="Yu Gothic" w:hAnsi="Arial"/>
          <w:b/>
          <w:bCs/>
          <w:sz w:val="20"/>
          <w:szCs w:val="20"/>
        </w:rPr>
        <w:t xml:space="preserve">条件9 停めない運用に不可欠 — B</w:t>
      </w:r>
    </w:p>
    <w:p>
      <w:pPr>
        <w:pStyle w:val="ListParagraph"/>
        <w:numPr>
          <w:ilvl w:val="0"/>
          <w:numId w:val="3"/>
        </w:numPr>
        <w:spacing w:after="40" w:line="290"/>
      </w:pPr>
      <w:r>
        <w:rPr>
          <w:rFonts w:ascii="Arial" w:cs="Arial" w:eastAsia="Yu Gothic" w:hAnsi="Arial"/>
          <w:b/>
          <w:bCs/>
          <w:sz w:val="20"/>
          <w:szCs w:val="20"/>
        </w:rPr>
        <w:t xml:space="preserve">evidence:</w:t>
      </w:r>
    </w:p>
    <w:p>
      <w:pPr>
        <w:pStyle w:val="ListParagraph"/>
        <w:numPr>
          <w:ilvl w:val="1"/>
          <w:numId w:val="3"/>
        </w:numPr>
        <w:spacing w:after="40" w:line="290"/>
      </w:pPr>
      <w:r>
        <w:rPr>
          <w:rFonts w:ascii="Arial" w:cs="Arial" w:eastAsia="Yu Gothic" w:hAnsi="Arial"/>
          <w:sz w:val="20"/>
          <w:szCs w:val="20"/>
        </w:rPr>
        <w:t xml:space="preserve">① GPU 稼働率 97.9%</w:t>
      </w:r>
    </w:p>
    <w:p>
      <w:pPr>
        <w:pStyle w:val="ListParagraph"/>
        <w:numPr>
          <w:ilvl w:val="1"/>
          <w:numId w:val="3"/>
        </w:numPr>
        <w:spacing w:after="40" w:line="290"/>
      </w:pPr>
      <w:r>
        <w:rPr>
          <w:rFonts w:ascii="Arial" w:cs="Arial" w:eastAsia="Yu Gothic" w:hAnsi="Arial"/>
          <w:sz w:val="20"/>
          <w:szCs w:val="20"/>
        </w:rPr>
        <w:t xml:space="preserve">② Q4 FY26: 顧客の 49% が GPU の 92% を更新</w:t>
      </w:r>
    </w:p>
    <w:p>
      <w:pPr>
        <w:pStyle w:val="ListParagraph"/>
        <w:numPr>
          <w:ilvl w:val="1"/>
          <w:numId w:val="3"/>
        </w:numPr>
        <w:spacing w:after="40" w:line="290"/>
      </w:pPr>
      <w:r>
        <w:rPr>
          <w:rFonts w:ascii="Arial" w:cs="Arial" w:eastAsia="Yu Gothic" w:hAnsi="Arial"/>
          <w:sz w:val="20"/>
          <w:szCs w:val="20"/>
        </w:rPr>
        <w:t xml:space="preserve">③ 学習・推論の容量は AI 研究所の事業の律速で、乗り換えには電力付き容量の確保が要る(数か月〜数年)</w:t>
      </w:r>
    </w:p>
    <w:p>
      <w:pPr>
        <w:pStyle w:val="ListParagraph"/>
        <w:numPr>
          <w:ilvl w:val="1"/>
          <w:numId w:val="3"/>
        </w:numPr>
        <w:spacing w:after="40" w:line="290"/>
      </w:pPr>
      <w:r>
        <w:rPr>
          <w:rFonts w:ascii="Arial" w:cs="Arial" w:eastAsia="Yu Gothic" w:hAnsi="Arial"/>
          <w:sz w:val="20"/>
          <w:szCs w:val="20"/>
        </w:rPr>
        <w:t xml:space="preserve">④ 企業 AI は Oracle DB 内のデータに依存</w:t>
      </w:r>
    </w:p>
    <w:p>
      <w:pPr>
        <w:pStyle w:val="ListParagraph"/>
        <w:numPr>
          <w:ilvl w:val="0"/>
          <w:numId w:val="3"/>
        </w:numPr>
        <w:spacing w:after="40" w:line="290"/>
      </w:pPr>
      <w:r>
        <w:rPr>
          <w:rFonts w:ascii="Arial" w:cs="Arial" w:eastAsia="Yu Gothic" w:hAnsi="Arial"/>
          <w:b/>
          <w:bCs/>
          <w:sz w:val="20"/>
          <w:szCs w:val="20"/>
        </w:rPr>
        <w:t xml:space="preserve">判定:</w:t>
      </w:r>
      <w:r>
        <w:rPr>
          <w:rFonts w:ascii="Arial" w:cs="Arial" w:eastAsia="Yu Gothic" w:hAnsi="Arial"/>
          <w:sz w:val="20"/>
          <w:szCs w:val="20"/>
        </w:rPr>
        <w:t xml:space="preserve"> 止まると顧客の事業が止まるが、代替(他クラウド)は存在するため B。</w:t>
      </w:r>
    </w:p>
    <w:p>
      <w:pPr>
        <w:spacing w:after="120" w:line="300"/>
      </w:pPr>
      <w:r>
        <w:rPr>
          <w:rFonts w:ascii="Arial" w:cs="Arial" w:eastAsia="Yu Gothic" w:hAnsi="Arial"/>
          <w:b/>
          <w:bCs/>
          <w:sz w:val="20"/>
          <w:szCs w:val="20"/>
        </w:rPr>
        <w:t xml:space="preserve">条件10 無形資産投資の陳腐化リスク — B</w:t>
      </w:r>
    </w:p>
    <w:p>
      <w:pPr>
        <w:pStyle w:val="ListParagraph"/>
        <w:numPr>
          <w:ilvl w:val="0"/>
          <w:numId w:val="3"/>
        </w:numPr>
        <w:spacing w:after="40" w:line="290"/>
      </w:pPr>
      <w:r>
        <w:rPr>
          <w:rFonts w:ascii="Arial" w:cs="Arial" w:eastAsia="Yu Gothic" w:hAnsi="Arial"/>
          <w:b/>
          <w:bCs/>
          <w:sz w:val="20"/>
          <w:szCs w:val="20"/>
        </w:rPr>
        <w:t xml:space="preserve">evidence:</w:t>
      </w:r>
    </w:p>
    <w:p>
      <w:pPr>
        <w:pStyle w:val="ListParagraph"/>
        <w:numPr>
          <w:ilvl w:val="1"/>
          <w:numId w:val="3"/>
        </w:numPr>
        <w:spacing w:after="40" w:line="290"/>
      </w:pPr>
      <w:r>
        <w:rPr>
          <w:rFonts w:ascii="Arial" w:cs="Arial" w:eastAsia="Yu Gothic" w:hAnsi="Arial"/>
          <w:sz w:val="20"/>
          <w:szCs w:val="20"/>
        </w:rPr>
        <w:t xml:space="preserve">① DB 技術・顧客関係は数十年の寿命</w:t>
      </w:r>
    </w:p>
    <w:p>
      <w:pPr>
        <w:pStyle w:val="ListParagraph"/>
        <w:numPr>
          <w:ilvl w:val="1"/>
          <w:numId w:val="3"/>
        </w:numPr>
        <w:spacing w:after="40" w:line="290"/>
      </w:pPr>
      <w:r>
        <w:rPr>
          <w:rFonts w:ascii="Arial" w:cs="Arial" w:eastAsia="Yu Gothic" w:hAnsi="Arial"/>
          <w:sz w:val="20"/>
          <w:szCs w:val="20"/>
        </w:rPr>
        <w:t xml:space="preserve">② AI 向けソフト(OCI のスタック)は世代交代が速い</w:t>
      </w:r>
    </w:p>
    <w:p>
      <w:pPr>
        <w:pStyle w:val="ListParagraph"/>
        <w:numPr>
          <w:ilvl w:val="1"/>
          <w:numId w:val="3"/>
        </w:numPr>
        <w:spacing w:after="40" w:line="290"/>
      </w:pPr>
      <w:r>
        <w:rPr>
          <w:rFonts w:ascii="Arial" w:cs="Arial" w:eastAsia="Yu Gothic" w:hAnsi="Arial"/>
          <w:sz w:val="20"/>
          <w:szCs w:val="20"/>
        </w:rPr>
        <w:t xml:space="preserve">③ 有形資産(GPU)の耐用年数延長(5 → 6年)は更新データと整合</w:t>
      </w:r>
    </w:p>
    <w:p>
      <w:pPr>
        <w:pStyle w:val="ListParagraph"/>
        <w:numPr>
          <w:ilvl w:val="1"/>
          <w:numId w:val="3"/>
        </w:numPr>
        <w:spacing w:after="40" w:line="290"/>
      </w:pPr>
      <w:r>
        <w:rPr>
          <w:rFonts w:ascii="Arial" w:cs="Arial" w:eastAsia="Yu Gothic" w:hAnsi="Arial"/>
          <w:sz w:val="20"/>
          <w:szCs w:val="20"/>
        </w:rPr>
        <w:t xml:space="preserve">④ 中古 GPU の売買価格の下落(下方の兆候)</w:t>
      </w:r>
    </w:p>
    <w:p>
      <w:pPr>
        <w:pStyle w:val="ListParagraph"/>
        <w:numPr>
          <w:ilvl w:val="0"/>
          <w:numId w:val="3"/>
        </w:numPr>
        <w:spacing w:after="40" w:line="290"/>
      </w:pPr>
      <w:r>
        <w:rPr>
          <w:rFonts w:ascii="Arial" w:cs="Arial" w:eastAsia="Yu Gothic" w:hAnsi="Arial"/>
          <w:b/>
          <w:bCs/>
          <w:sz w:val="20"/>
          <w:szCs w:val="20"/>
        </w:rPr>
        <w:t xml:space="preserve">判定:</w:t>
      </w:r>
      <w:r>
        <w:rPr>
          <w:rFonts w:ascii="Arial" w:cs="Arial" w:eastAsia="Yu Gothic" w:hAnsi="Arial"/>
          <w:sz w:val="20"/>
          <w:szCs w:val="20"/>
        </w:rPr>
        <w:t xml:space="preserve"> B。</w:t>
      </w:r>
    </w:p>
    <w:p>
      <w:pPr>
        <w:spacing w:after="120" w:line="300"/>
      </w:pPr>
      <w:r>
        <w:rPr>
          <w:rFonts w:ascii="Arial" w:cs="Arial" w:eastAsia="Yu Gothic" w:hAnsi="Arial"/>
          <w:b/>
          <w:bCs/>
          <w:sz w:val="20"/>
          <w:szCs w:val="20"/>
        </w:rPr>
        <w:t xml:space="preserve">条件11 模倣困難・代替不可能 — B</w:t>
      </w:r>
    </w:p>
    <w:p>
      <w:pPr>
        <w:pStyle w:val="ListParagraph"/>
        <w:numPr>
          <w:ilvl w:val="0"/>
          <w:numId w:val="3"/>
        </w:numPr>
        <w:spacing w:after="40" w:line="290"/>
      </w:pPr>
      <w:r>
        <w:rPr>
          <w:rFonts w:ascii="Arial" w:cs="Arial" w:eastAsia="Yu Gothic" w:hAnsi="Arial"/>
          <w:b/>
          <w:bCs/>
          <w:sz w:val="20"/>
          <w:szCs w:val="20"/>
        </w:rPr>
        <w:t xml:space="preserve">evidence:</w:t>
      </w:r>
    </w:p>
    <w:p>
      <w:pPr>
        <w:pStyle w:val="ListParagraph"/>
        <w:numPr>
          <w:ilvl w:val="1"/>
          <w:numId w:val="3"/>
        </w:numPr>
        <w:spacing w:after="40" w:line="290"/>
      </w:pPr>
      <w:r>
        <w:rPr>
          <w:rFonts w:ascii="Arial" w:cs="Arial" w:eastAsia="Yu Gothic" w:hAnsi="Arial"/>
          <w:sz w:val="20"/>
          <w:szCs w:val="20"/>
        </w:rPr>
        <w:t xml:space="preserve">① DB の顧客基盤とマルチクラウド(AWS 20・Google 15リージョン)は再現困難</w:t>
      </w:r>
    </w:p>
    <w:p>
      <w:pPr>
        <w:pStyle w:val="ListParagraph"/>
        <w:numPr>
          <w:ilvl w:val="1"/>
          <w:numId w:val="3"/>
        </w:numPr>
        <w:spacing w:after="40" w:line="290"/>
      </w:pPr>
      <w:r>
        <w:rPr>
          <w:rFonts w:ascii="Arial" w:cs="Arial" w:eastAsia="Yu Gothic" w:hAnsi="Arial"/>
          <w:sz w:val="20"/>
          <w:szCs w:val="20"/>
        </w:rPr>
        <w:t xml:space="preserve">② AI 容量は資本と電力があれば2〜4年で再現可能(ハイパースケーラー・ネオクラウドが実際に建設中)</w:t>
      </w:r>
    </w:p>
    <w:p>
      <w:pPr>
        <w:pStyle w:val="ListParagraph"/>
        <w:numPr>
          <w:ilvl w:val="1"/>
          <w:numId w:val="3"/>
        </w:numPr>
        <w:spacing w:after="40" w:line="290"/>
      </w:pPr>
      <w:r>
        <w:rPr>
          <w:rFonts w:ascii="Arial" w:cs="Arial" w:eastAsia="Yu Gothic" w:hAnsi="Arial"/>
          <w:sz w:val="20"/>
          <w:szCs w:val="20"/>
        </w:rPr>
        <w:t xml:space="preserve">③ 律速的に効く障壁は電力(確保 10GW 超)</w:t>
      </w:r>
    </w:p>
    <w:p>
      <w:pPr>
        <w:pStyle w:val="ListParagraph"/>
        <w:numPr>
          <w:ilvl w:val="0"/>
          <w:numId w:val="3"/>
        </w:numPr>
        <w:spacing w:after="40" w:line="290"/>
      </w:pPr>
      <w:r>
        <w:rPr>
          <w:rFonts w:ascii="Arial" w:cs="Arial" w:eastAsia="Yu Gothic" w:hAnsi="Arial"/>
          <w:b/>
          <w:bCs/>
          <w:sz w:val="20"/>
          <w:szCs w:val="20"/>
        </w:rPr>
        <w:t xml:space="preserve">判定:</w:t>
      </w:r>
      <w:r>
        <w:rPr>
          <w:rFonts w:ascii="Arial" w:cs="Arial" w:eastAsia="Yu Gothic" w:hAnsi="Arial"/>
          <w:sz w:val="20"/>
          <w:szCs w:val="20"/>
        </w:rPr>
        <w:t xml:space="preserve"> B。</w:t>
      </w:r>
    </w:p>
    <w:p>
      <w:pPr>
        <w:spacing w:after="120" w:line="300"/>
      </w:pPr>
      <w:r>
        <w:rPr>
          <w:rFonts w:ascii="Arial" w:cs="Arial" w:eastAsia="Yu Gothic" w:hAnsi="Arial"/>
          <w:b/>
          <w:bCs/>
          <w:sz w:val="20"/>
          <w:szCs w:val="20"/>
        </w:rPr>
        <w:t xml:space="preserve">条件12 従量課金型の収益性格 — A</w:t>
      </w:r>
    </w:p>
    <w:p>
      <w:pPr>
        <w:pStyle w:val="ListParagraph"/>
        <w:numPr>
          <w:ilvl w:val="0"/>
          <w:numId w:val="3"/>
        </w:numPr>
        <w:spacing w:after="40" w:line="290"/>
      </w:pPr>
      <w:r>
        <w:rPr>
          <w:rFonts w:ascii="Arial" w:cs="Arial" w:eastAsia="Yu Gothic" w:hAnsi="Arial"/>
          <w:b/>
          <w:bCs/>
          <w:sz w:val="20"/>
          <w:szCs w:val="20"/>
        </w:rPr>
        <w:t xml:space="preserve">evidence:</w:t>
      </w:r>
    </w:p>
    <w:p>
      <w:pPr>
        <w:pStyle w:val="ListParagraph"/>
        <w:numPr>
          <w:ilvl w:val="1"/>
          <w:numId w:val="3"/>
        </w:numPr>
        <w:spacing w:after="40" w:line="290"/>
      </w:pPr>
      <w:r>
        <w:rPr>
          <w:rFonts w:ascii="Arial" w:cs="Arial" w:eastAsia="Yu Gothic" w:hAnsi="Arial"/>
          <w:sz w:val="20"/>
          <w:szCs w:val="20"/>
        </w:rPr>
        <w:t xml:space="preserve">① OCI は従量・確約契約、保守・SaaS は継続課金</w:t>
      </w:r>
    </w:p>
    <w:p>
      <w:pPr>
        <w:pStyle w:val="ListParagraph"/>
        <w:numPr>
          <w:ilvl w:val="1"/>
          <w:numId w:val="3"/>
        </w:numPr>
        <w:spacing w:after="40" w:line="290"/>
      </w:pPr>
      <w:r>
        <w:rPr>
          <w:rFonts w:ascii="Arial" w:cs="Arial" w:eastAsia="Yu Gothic" w:hAnsi="Arial"/>
          <w:sz w:val="20"/>
          <w:szCs w:val="20"/>
        </w:rPr>
        <w:t xml:space="preserve">② RPO $6,640億</w:t>
      </w:r>
    </w:p>
    <w:p>
      <w:pPr>
        <w:pStyle w:val="ListParagraph"/>
        <w:numPr>
          <w:ilvl w:val="1"/>
          <w:numId w:val="3"/>
        </w:numPr>
        <w:spacing w:after="40" w:line="290"/>
      </w:pPr>
      <w:r>
        <w:rPr>
          <w:rFonts w:ascii="Arial" w:cs="Arial" w:eastAsia="Yu Gothic" w:hAnsi="Arial"/>
          <w:sz w:val="20"/>
          <w:szCs w:val="20"/>
        </w:rPr>
        <w:t xml:space="preserve">③ 前払い・持込 $750億で、陳腐化リスクの一部を顧客に移転</w:t>
      </w:r>
    </w:p>
    <w:p>
      <w:pPr>
        <w:pStyle w:val="ListParagraph"/>
        <w:numPr>
          <w:ilvl w:val="0"/>
          <w:numId w:val="3"/>
        </w:numPr>
        <w:spacing w:after="40" w:line="290"/>
      </w:pPr>
      <w:r>
        <w:rPr>
          <w:rFonts w:ascii="Arial" w:cs="Arial" w:eastAsia="Yu Gothic" w:hAnsi="Arial"/>
          <w:b/>
          <w:bCs/>
          <w:sz w:val="20"/>
          <w:szCs w:val="20"/>
        </w:rPr>
        <w:t xml:space="preserve">判定:</w:t>
      </w:r>
      <w:r>
        <w:rPr>
          <w:rFonts w:ascii="Arial" w:cs="Arial" w:eastAsia="Yu Gothic" w:hAnsi="Arial"/>
          <w:sz w:val="20"/>
          <w:szCs w:val="20"/>
        </w:rPr>
        <w:t xml:space="preserve"> 確約契約は従量ではなく容量の上限があるため、S(顧客の利用拡大がそのまま売上)ではなく A。</w:t>
      </w:r>
    </w:p>
    <w:p>
      <w:pPr>
        <w:spacing w:after="120" w:line="300"/>
      </w:pPr>
      <w:r>
        <w:rPr>
          <w:rFonts w:ascii="Arial" w:cs="Arial" w:eastAsia="Yu Gothic" w:hAnsi="Arial"/>
          <w:b/>
          <w:bCs/>
          <w:sz w:val="20"/>
          <w:szCs w:val="20"/>
        </w:rPr>
        <w:t xml:space="preserve">条件13 アーキタイプ照合 — B</w:t>
      </w:r>
    </w:p>
    <w:p>
      <w:pPr>
        <w:pStyle w:val="ListParagraph"/>
        <w:numPr>
          <w:ilvl w:val="0"/>
          <w:numId w:val="3"/>
        </w:numPr>
        <w:spacing w:after="40" w:line="290"/>
      </w:pPr>
      <w:r>
        <w:rPr>
          <w:rFonts w:ascii="Arial" w:cs="Arial" w:eastAsia="Yu Gothic" w:hAnsi="Arial"/>
          <w:sz w:val="20"/>
          <w:szCs w:val="20"/>
        </w:rPr>
        <w:t xml:space="preserve">8章を参照。ORCL 型が原型で、自社調達の GPU 部分は MU 型に寄る。</w:t>
      </w:r>
    </w:p>
    <w:p>
      <w:r>
        <w:br w:type="page"/>
      </w:r>
    </w:p>
    <w:p>
      <w:pPr>
        <w:pStyle w:val="Heading1"/>
      </w:pPr>
      <w:r>
        <w:rPr>
          <w:rFonts w:ascii="Arial" w:cs="Arial" w:eastAsia="Yu Gothic" w:hAnsi="Arial"/>
        </w:rPr>
        <w:t xml:space="preserve">Appendix E: 機構台帳(全行)</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
        <w:gridCol w:w="1642"/>
        <w:gridCol w:w="510"/>
        <w:gridCol w:w="510"/>
        <w:gridCol w:w="1178"/>
        <w:gridCol w:w="999"/>
        <w:gridCol w:w="510"/>
        <w:gridCol w:w="510"/>
        <w:gridCol w:w="1642"/>
        <w:gridCol w:w="1321"/>
        <w:gridCol w:w="574"/>
      </w:tblGrid>
      <w:tr>
        <w:trPr>
          <w:cantSplit/>
          <w:tblHeader/>
        </w:trPr>
        <w:tc>
          <w:tcPr>
            <w:tcW w:type="dxa" w:w="51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w:t>
            </w:r>
          </w:p>
        </w:tc>
        <w:tc>
          <w:tcPr>
            <w:tcW w:type="dxa" w:w="164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機構</w:t>
            </w:r>
          </w:p>
        </w:tc>
        <w:tc>
          <w:tcPr>
            <w:tcW w:type="dxa" w:w="51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層</w:t>
            </w:r>
          </w:p>
        </w:tc>
        <w:tc>
          <w:tcPr>
            <w:tcW w:type="dxa" w:w="51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方向</w:t>
            </w:r>
          </w:p>
        </w:tc>
        <w:tc>
          <w:tcPr>
            <w:tcW w:type="dxa" w:w="117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経路(KPI → 利益)</w:t>
            </w:r>
          </w:p>
        </w:tc>
        <w:tc>
          <w:tcPr>
            <w:tcW w:type="dxa" w:w="99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大きさ(Δ1株価値)</w:t>
            </w:r>
          </w:p>
        </w:tc>
        <w:tc>
          <w:tcPr>
            <w:tcW w:type="dxa" w:w="51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確率</w:t>
            </w:r>
          </w:p>
        </w:tc>
        <w:tc>
          <w:tcPr>
            <w:tcW w:type="dxa" w:w="510"/>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時期</w:t>
            </w:r>
          </w:p>
        </w:tc>
        <w:tc>
          <w:tcPr>
            <w:tcW w:type="dxa" w:w="164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証拠(出所)</w:t>
            </w:r>
          </w:p>
        </w:tc>
        <w:tc>
          <w:tcPr>
            <w:tcW w:type="dxa" w:w="132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確認KPI と閾値</w:t>
            </w:r>
          </w:p>
        </w:tc>
        <w:tc>
          <w:tcPr>
            <w:tcW w:type="dxa" w:w="57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3"/>
                <w:szCs w:val="13"/>
              </w:rPr>
              <w:t xml:space="preserve">市場の織り込み</w:t>
            </w:r>
          </w:p>
        </w:tc>
      </w:tr>
      <w:tr>
        <w:trPr>
          <w:cantSplit/>
          <w:tblHeader w:val="false"/>
        </w:trPr>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M1</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経済的寿命 &gt; 会計耐用年数</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L5</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更新単価 → 契約後の AI 利益(残存)</w:t>
            </w:r>
          </w:p>
        </w:tc>
        <w:tc>
          <w:tcPr>
            <w:tcW w:type="dxa" w:w="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+$16(残存 0.6 → 0.9・3年)</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40%</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FY31〜</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更新期の GPU(過半が4年超)の全量が +20% で更新・再販(Q1 FY27 説明会、Constellation・Longbridge 引用)、H100 指数 +40%(Silicon Data)</w:t>
            </w:r>
          </w:p>
        </w:tc>
        <w:tc>
          <w:tcPr>
            <w:tcW w:type="dxa" w:w="13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更新プレミアム ≥0%、更新率 ≥85%</w:t>
            </w:r>
          </w:p>
        </w:tc>
        <w:tc>
          <w:tcPr>
            <w:tcW w:type="dxa" w:w="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一部(逆算 0.54)</w:t>
            </w:r>
          </w:p>
        </w:tc>
      </w:tr>
      <w:tr>
        <w:trPr>
          <w:cantSplit/>
          <w:tblHeader w:val="false"/>
        </w:trPr>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M2</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次世代 GPU で旧世代の単価が崩れる</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L5</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残存 0・空室費</w:t>
            </w:r>
          </w:p>
        </w:tc>
        <w:tc>
          <w:tcPr>
            <w:tcW w:type="dxa" w:w="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−$19</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25%</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FY31〜</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中古 H100 $4万 → $1.2〜2.2万(Servnet ほか、Tier 4)</w:t>
            </w:r>
          </w:p>
        </w:tc>
        <w:tc>
          <w:tcPr>
            <w:tcW w:type="dxa" w:w="13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H100 指数 &lt;$2.0、更新率 &lt;70%</w:t>
            </w:r>
          </w:p>
        </w:tc>
        <w:tc>
          <w:tcPr>
            <w:tcW w:type="dxa" w:w="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一部</w:t>
            </w:r>
          </w:p>
        </w:tc>
      </w:tr>
      <w:tr>
        <w:trPr>
          <w:cantSplit/>
          <w:tblHeader w:val="false"/>
        </w:trPr>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M3</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AI 容量の粗利率が 30% 台へ(立上げ費用の解消)</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L6</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AI EBIT 29 → 33%</w:t>
            </w:r>
          </w:p>
        </w:tc>
        <w:tc>
          <w:tcPr>
            <w:tcW w:type="dxa" w:w="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+$5 / FY27 定常 EPS +$0.85</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50%</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FY28〜29</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Q3 FY26 32%(説明会)、CFO「立ち上がれば急速に回復」</w:t>
            </w:r>
          </w:p>
        </w:tc>
        <w:tc>
          <w:tcPr>
            <w:tcW w:type="dxa" w:w="13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AI 容量の粗利率 ≥30%</w:t>
            </w:r>
          </w:p>
        </w:tc>
        <w:tc>
          <w:tcPr>
            <w:tcW w:type="dxa" w:w="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一部(逆算 m=30%)</w:t>
            </w:r>
          </w:p>
        </w:tc>
      </w:tr>
      <w:tr>
        <w:trPr>
          <w:cantSplit/>
          <w:tblHeader w:val="false"/>
        </w:trPr>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M4</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AI 容量の利益率の低迷(価格競争・部材高・二次の効果)</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L1・L7</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 29 → 18%</w:t>
            </w:r>
          </w:p>
        </w:tc>
        <w:tc>
          <w:tcPr>
            <w:tcW w:type="dxa" w:w="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−$13</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25%</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FY28〜</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The Information 14%(2025年6〜8月)、メモリ価格の上昇(AWS の capex 引上げ理由)</w:t>
            </w:r>
          </w:p>
        </w:tc>
        <w:tc>
          <w:tcPr>
            <w:tcW w:type="dxa" w:w="13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AI 粗利率 &lt;25%</w:t>
            </w:r>
          </w:p>
        </w:tc>
        <w:tc>
          <w:tcPr>
            <w:tcW w:type="dxa" w:w="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一部</w:t>
            </w:r>
          </w:p>
        </w:tc>
      </w:tr>
      <w:tr>
        <w:trPr>
          <w:cantSplit/>
          <w:tblHeader w:val="false"/>
        </w:trPr>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M5</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OpenAI の不払い・契約縮小</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L4</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4.5GW 分の売上消失 → 再販</w:t>
            </w:r>
          </w:p>
        </w:tc>
        <w:tc>
          <w:tcPr>
            <w:tcW w:type="dxa" w:w="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−$16〜−25</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20%</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FY29〜31</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OpenAI の FCF −$2,780億(2026〜30年)、資金は 2028年に枯渇見込み(FT)</w:t>
            </w:r>
          </w:p>
        </w:tc>
        <w:tc>
          <w:tcPr>
            <w:tcW w:type="dxa" w:w="13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評価額 $1兆以上の調達、支払遅延の報道</w:t>
            </w:r>
          </w:p>
        </w:tc>
        <w:tc>
          <w:tcPr>
            <w:tcW w:type="dxa" w:w="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大部分</w:t>
            </w:r>
          </w:p>
        </w:tc>
      </w:tr>
      <w:tr>
        <w:trPr>
          <w:cantSplit/>
          <w:tblHeader w:val="false"/>
        </w:trPr>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M6</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OpenAI の単価再交渉(−20%)</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L4</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単価</w:t>
            </w:r>
          </w:p>
        </w:tc>
        <w:tc>
          <w:tcPr>
            <w:tcW w:type="dxa" w:w="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−$6.5</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30%</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FY28〜</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Abilene 拡張の中止報道(Bloomberg 2026-03、会社は否定)</w:t>
            </w:r>
          </w:p>
        </w:tc>
        <w:tc>
          <w:tcPr>
            <w:tcW w:type="dxa" w:w="13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契約変更の開示</w:t>
            </w:r>
          </w:p>
        </w:tc>
        <w:tc>
          <w:tcPr>
            <w:tcW w:type="dxa" w:w="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一部</w:t>
            </w:r>
          </w:p>
        </w:tc>
      </w:tr>
      <w:tr>
        <w:trPr>
          <w:cantSplit/>
          <w:tblHeader w:val="false"/>
        </w:trPr>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M7</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非 OpenAI 顧客の拡大(集中の低下)</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L4</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資本コスト低下・成長</w:t>
            </w:r>
          </w:p>
        </w:tc>
        <w:tc>
          <w:tcPr>
            <w:tcW w:type="dxa" w:w="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+$4.5</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50%</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FY27〜28</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非 OpenAI の RPO が前年比2倍超(会社説明)、Q1 新規 $300億超</w:t>
            </w:r>
          </w:p>
        </w:tc>
        <w:tc>
          <w:tcPr>
            <w:tcW w:type="dxa" w:w="13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OpenAI 比率 &lt;40%</w:t>
            </w:r>
          </w:p>
        </w:tc>
        <w:tc>
          <w:tcPr>
            <w:tcW w:type="dxa" w:w="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未</w:t>
            </w:r>
          </w:p>
        </w:tc>
      </w:tr>
      <w:tr>
        <w:trPr>
          <w:cantSplit/>
          <w:tblHeader w:val="false"/>
        </w:trPr>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M8</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前払い・持込による資本と陳腐化リスクの移転</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L5</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Oracle 負担の資本減・担保</w:t>
            </w:r>
          </w:p>
        </w:tc>
        <w:tc>
          <w:tcPr>
            <w:tcW w:type="dxa" w:w="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+$3〜5</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70%</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進行中</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$750億、前受収益 $154億 → $308億(プレス・10-Q)</w:t>
            </w:r>
          </w:p>
        </w:tc>
        <w:tc>
          <w:tcPr>
            <w:tcW w:type="dxa" w:w="13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純現金 capex ≤$700億</w:t>
            </w:r>
          </w:p>
        </w:tc>
        <w:tc>
          <w:tcPr>
            <w:tcW w:type="dxa" w:w="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一部</w:t>
            </w:r>
          </w:p>
        </w:tc>
      </w:tr>
      <w:tr>
        <w:trPr>
          <w:cantSplit/>
          <w:tblHeader w:val="false"/>
        </w:trPr>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M9</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電力の解放遅延</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L3</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納入 MW → 売上の時期</w:t>
            </w:r>
          </w:p>
        </w:tc>
        <w:tc>
          <w:tcPr>
            <w:tcW w:type="dxa" w:w="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−$3(FY29 EPS −$1.2)</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50%</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FY28〜29</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不可抗力通知(Reuters 2026-09-24)、ガス管 2027-02 へ延期(FERC 提出書類)、納入 850MW &lt; 約1GW</w:t>
            </w:r>
          </w:p>
        </w:tc>
        <w:tc>
          <w:tcPr>
            <w:tcW w:type="dxa" w:w="13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納入 ≥1GW/四半期</w:t>
            </w:r>
          </w:p>
        </w:tc>
        <w:tc>
          <w:tcPr>
            <w:tcW w:type="dxa" w:w="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一部</w:t>
            </w:r>
          </w:p>
        </w:tc>
      </w:tr>
      <w:tr>
        <w:trPr>
          <w:cantSplit/>
          <w:tblHeader w:val="false"/>
        </w:trPr>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M10</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リース期間のミスマッチ(下方)</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L6</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契約後の空室費</w:t>
            </w:r>
          </w:p>
        </w:tc>
        <w:tc>
          <w:tcPr>
            <w:tcW w:type="dxa" w:w="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M2 に含む(1GW あたり −$32億)</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25%</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FY32〜</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未開始リース $2,880億、15〜19年(10-Q)</w:t>
            </w:r>
          </w:p>
        </w:tc>
        <w:tc>
          <w:tcPr>
            <w:tcW w:type="dxa" w:w="13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更新率、再販単価</w:t>
            </w:r>
          </w:p>
        </w:tc>
        <w:tc>
          <w:tcPr>
            <w:tcW w:type="dxa" w:w="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一部</w:t>
            </w:r>
          </w:p>
        </w:tc>
      </w:tr>
      <w:tr>
        <w:trPr>
          <w:cantSplit/>
          <w:tblHeader w:val="false"/>
        </w:trPr>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M11</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電力付き建屋の希少性(長期リースの上方)</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L6</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世代交代ごとに再賃貸</w:t>
            </w:r>
          </w:p>
        </w:tc>
        <w:tc>
          <w:tcPr>
            <w:tcW w:type="dxa" w:w="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+$5〜10</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30%</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FY32〜</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ガスのトラック輸送(Bloomberg 2026-10-08)、ハイパースケーラーの capex 増</w:t>
            </w:r>
          </w:p>
        </w:tc>
        <w:tc>
          <w:tcPr>
            <w:tcW w:type="dxa" w:w="13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電力付き建屋の賃料</w:t>
            </w:r>
          </w:p>
        </w:tc>
        <w:tc>
          <w:tcPr>
            <w:tcW w:type="dxa" w:w="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未</w:t>
            </w:r>
          </w:p>
        </w:tc>
      </w:tr>
      <w:tr>
        <w:trPr>
          <w:cantSplit/>
          <w:tblHeader w:val="false"/>
        </w:trPr>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M12</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コアの資本コスト(格付け・β の再帰性)</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L5・原則15</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WACC 7.75〜9.5%</w:t>
            </w:r>
          </w:p>
        </w:tc>
        <w:tc>
          <w:tcPr>
            <w:tcW w:type="dxa" w:w="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±$17</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継続</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CDS 約200bp、BBB-(S&amp;P)</w:t>
            </w:r>
          </w:p>
        </w:tc>
        <w:tc>
          <w:tcPr>
            <w:tcW w:type="dxa" w:w="13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格付けの見通し、CDS</w:t>
            </w:r>
          </w:p>
        </w:tc>
        <w:tc>
          <w:tcPr>
            <w:tcW w:type="dxa" w:w="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市場変数</w:t>
            </w:r>
          </w:p>
        </w:tc>
      </w:tr>
      <w:tr>
        <w:trPr>
          <w:cantSplit/>
          <w:tblHeader w:val="false"/>
        </w:trPr>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M13</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低株価での追加増資</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L5</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株数 +3〜10%</w:t>
            </w:r>
          </w:p>
        </w:tc>
        <w:tc>
          <w:tcPr>
            <w:tcW w:type="dxa" w:w="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−$4〜−12</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40%</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FY27〜28</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ATM $200億(平均発行価格は推定 約$141)、FY27 の残り調達 約$200億</w:t>
            </w:r>
          </w:p>
        </w:tc>
        <w:tc>
          <w:tcPr>
            <w:tcW w:type="dxa" w:w="13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追加増資の発表と価格</w:t>
            </w:r>
          </w:p>
        </w:tc>
        <w:tc>
          <w:tcPr>
            <w:tcW w:type="dxa" w:w="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一部</w:t>
            </w:r>
          </w:p>
        </w:tc>
      </w:tr>
      <w:tr>
        <w:trPr>
          <w:cantSplit/>
          <w:tblHeader w:val="false"/>
        </w:trPr>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M14</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マルチクラウド DB・AI Database(収益の多重性)</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L2</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非AI OCI の成長 +5pt</w:t>
            </w:r>
          </w:p>
        </w:tc>
        <w:tc>
          <w:tcPr>
            <w:tcW w:type="dxa" w:w="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+$3.5</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40%</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FY27〜29</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+353%、顧客 +180%(Quartr、単一出典)</w:t>
            </w:r>
          </w:p>
        </w:tc>
        <w:tc>
          <w:tcPr>
            <w:tcW w:type="dxa" w:w="13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マルチクラウド DB の売上開示</w:t>
            </w:r>
          </w:p>
        </w:tc>
        <w:tc>
          <w:tcPr>
            <w:tcW w:type="dxa" w:w="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未(規模が小さい)</w:t>
            </w:r>
          </w:p>
        </w:tc>
      </w:tr>
      <w:tr>
        <w:trPr>
          <w:cantSplit/>
          <w:tblHeader w:val="false"/>
        </w:trPr>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M15</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コアの営業費効率化</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L9</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コア利益率 48 → 50%</w:t>
            </w:r>
          </w:p>
        </w:tc>
        <w:tc>
          <w:tcPr>
            <w:tcW w:type="dxa" w:w="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+$6</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40%</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FY27〜28</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非GAAP 営業利益率 42.5% を AI のミックス悪化の中で維持</w:t>
            </w:r>
          </w:p>
        </w:tc>
        <w:tc>
          <w:tcPr>
            <w:tcW w:type="dxa" w:w="13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営業費 ÷ 売上</w:t>
            </w:r>
          </w:p>
        </w:tc>
        <w:tc>
          <w:tcPr>
            <w:tcW w:type="dxa" w:w="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一部</w:t>
            </w:r>
          </w:p>
        </w:tc>
      </w:tr>
      <w:tr>
        <w:trPr>
          <w:cantSplit/>
          <w:tblHeader w:val="false"/>
        </w:trPr>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M16</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ソフトウェア(保守)の侵食加速</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L1</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ソフトウェア −3 → −8%/年</w:t>
            </w:r>
          </w:p>
        </w:tc>
        <w:tc>
          <w:tcPr>
            <w:tcW w:type="dxa" w:w="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−$7</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25%</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FY27〜30</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Software −3%、「AI が SaaS を脅かすか」の質問(JPMorgan、2026-03)</w:t>
            </w:r>
          </w:p>
        </w:tc>
        <w:tc>
          <w:tcPr>
            <w:tcW w:type="dxa" w:w="13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Software の前年比 &lt; −6%</w:t>
            </w:r>
          </w:p>
        </w:tc>
        <w:tc>
          <w:tcPr>
            <w:tcW w:type="dxa" w:w="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一部</w:t>
            </w:r>
          </w:p>
        </w:tc>
      </w:tr>
      <w:tr>
        <w:trPr>
          <w:cantSplit/>
          <w:tblHeader w:val="false"/>
        </w:trPr>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M17</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投資不適格への転落</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L5</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w:t>
            </w:r>
          </w:p>
        </w:tc>
        <w:tc>
          <w:tcPr>
            <w:tcW w:type="dxa" w:w="117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負債コスト +150bp</w:t>
            </w:r>
          </w:p>
        </w:tc>
        <w:tc>
          <w:tcPr>
            <w:tcW w:type="dxa" w:w="99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−$8</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15%</w:t>
            </w:r>
          </w:p>
        </w:tc>
        <w:tc>
          <w:tcPr>
            <w:tcW w:type="dxa" w:w="510"/>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FY27〜28</w:t>
            </w:r>
          </w:p>
        </w:tc>
        <w:tc>
          <w:tcPr>
            <w:tcW w:type="dxa" w:w="164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S&amp;P の閾値 4.5倍、FY27 の予測 約4.4倍</w:t>
            </w:r>
          </w:p>
        </w:tc>
        <w:tc>
          <w:tcPr>
            <w:tcW w:type="dxa" w:w="132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レバレッジ &gt;4.5倍</w:t>
            </w:r>
          </w:p>
        </w:tc>
        <w:tc>
          <w:tcPr>
            <w:tcW w:type="dxa" w:w="57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3"/>
                <w:szCs w:val="13"/>
              </w:rPr>
              <w:t xml:space="preserve">一部</w:t>
            </w:r>
          </w:p>
        </w:tc>
      </w:tr>
    </w:tbl>
    <w:p>
      <w:pPr>
        <w:spacing w:after="80"/>
      </w:pPr>
    </w:p>
    <w:p>
      <w:pPr>
        <w:spacing w:after="120" w:line="300"/>
      </w:pPr>
      <w:r>
        <w:rPr>
          <w:rFonts w:ascii="Arial" w:cs="Arial" w:eastAsia="Yu Gothic" w:hAnsi="Arial"/>
          <w:b/>
          <w:bCs/>
          <w:sz w:val="20"/>
          <w:szCs w:val="20"/>
        </w:rPr>
        <w:t xml:space="preserve">探索の記録(上振れ・下振れの両方):</w:t>
      </w:r>
    </w:p>
    <w:p>
      <w:pPr>
        <w:pStyle w:val="ListParagraph"/>
        <w:numPr>
          <w:ilvl w:val="0"/>
          <w:numId w:val="3"/>
        </w:numPr>
        <w:spacing w:after="40" w:line="290"/>
      </w:pPr>
      <w:r>
        <w:rPr>
          <w:rFonts w:ascii="Arial" w:cs="Arial" w:eastAsia="Yu Gothic" w:hAnsi="Arial"/>
          <w:sz w:val="20"/>
          <w:szCs w:val="20"/>
        </w:rPr>
        <w:t xml:space="preserve">層ごとに上振れ・下振れの両方を探した。L1(価格決定力: M16 と未行使の保守料値上げ=保留)、L2(M14)、L3(M9・M11)、L4(M5・M6・M7)、L5(M1・M2・M8・M12・M13・M17)、L6(M3・M10・M11)、L7(M4)、L9(M15)。</w:t>
      </w:r>
    </w:p>
    <w:p>
      <w:pPr>
        <w:pStyle w:val="ListParagraph"/>
        <w:numPr>
          <w:ilvl w:val="0"/>
          <w:numId w:val="3"/>
        </w:numPr>
        <w:spacing w:after="40" w:line="290"/>
      </w:pPr>
      <w:r>
        <w:rPr>
          <w:rFonts w:ascii="Arial" w:cs="Arial" w:eastAsia="Yu Gothic" w:hAnsi="Arial"/>
          <w:sz w:val="20"/>
          <w:szCs w:val="20"/>
        </w:rPr>
        <w:t xml:space="preserve">未行使の価格決定力(保守料の値上げ)は、値上げの実績が開示されていないため保留とした。試算に要するデータは、保守料率の改定と更新率である。</w:t>
      </w:r>
    </w:p>
    <w:p>
      <w:pPr>
        <w:pStyle w:val="ListParagraph"/>
        <w:numPr>
          <w:ilvl w:val="0"/>
          <w:numId w:val="3"/>
        </w:numPr>
        <w:spacing w:after="40" w:line="290"/>
      </w:pPr>
      <w:r>
        <w:rPr>
          <w:rFonts w:ascii="Arial" w:cs="Arial" w:eastAsia="Yu Gothic" w:hAnsi="Arial"/>
          <w:sz w:val="20"/>
          <w:szCs w:val="20"/>
        </w:rPr>
        <w:t xml:space="preserve">M7〜M17 の大きさは、SOTP モデルの感応度からの概算である。</w:t>
      </w:r>
    </w:p>
    <w:p>
      <w:r>
        <w:br w:type="page"/>
      </w:r>
    </w:p>
    <w:p>
      <w:pPr>
        <w:pStyle w:val="Heading1"/>
      </w:pPr>
      <w:r>
        <w:rPr>
          <w:rFonts w:ascii="Arial" w:cs="Arial" w:eastAsia="Yu Gothic" w:hAnsi="Arial"/>
        </w:rPr>
        <w:t xml:space="preserve">Appendix F: 確認テストの結果と一次情報の記録</w:t>
      </w:r>
    </w:p>
    <w:p>
      <w:pPr>
        <w:spacing w:after="120" w:line="300"/>
      </w:pPr>
      <w:r>
        <w:rPr>
          <w:rFonts w:ascii="Arial" w:cs="Arial" w:eastAsia="Yu Gothic" w:hAnsi="Arial"/>
          <w:b/>
          <w:bCs/>
          <w:sz w:val="20"/>
          <w:szCs w:val="20"/>
        </w:rPr>
        <w:t xml:space="preserve">F-1 確認テスト(事業仮説 → 数字での検証)</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3"/>
        <w:gridCol w:w="3616"/>
        <w:gridCol w:w="3617"/>
      </w:tblGrid>
      <w:tr>
        <w:trPr>
          <w:cantSplit/>
          <w:tblHeader/>
        </w:trPr>
        <w:tc>
          <w:tcPr>
            <w:tcW w:type="dxa" w:w="267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事業上の仮説</w:t>
            </w:r>
          </w:p>
        </w:tc>
        <w:tc>
          <w:tcPr>
            <w:tcW w:type="dxa" w:w="361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数字での確認テスト</w:t>
            </w:r>
          </w:p>
        </w:tc>
        <w:tc>
          <w:tcPr>
            <w:tcW w:type="dxa" w:w="361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結果</w:t>
            </w:r>
          </w:p>
        </w:tc>
      </w:tr>
      <w:tr>
        <w:trPr>
          <w:cantSplit/>
          <w:tblHeader w:val="false"/>
        </w:trPr>
        <w:tc>
          <w:tcPr>
            <w:tcW w:type="dxa" w:w="26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既存顧客の拡張で伸びている(E2・E3)</w:t>
            </w:r>
          </w:p>
        </w:tc>
        <w:tc>
          <w:tcPr>
            <w:tcW w:type="dxa" w:w="3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NRR の上昇と S&amp;M ÷ 売上の低下が同時に起きる</w:t>
            </w:r>
          </w:p>
        </w:tc>
        <w:tc>
          <w:tcPr>
            <w:tcW w:type="dxa" w:w="36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部分確認。</w:t>
            </w:r>
            <w:r>
              <w:rPr>
                <w:rFonts w:ascii="Arial" w:cs="Arial" w:eastAsia="Yu Gothic" w:hAnsi="Arial"/>
                <w:color w:val="222222"/>
                <w:sz w:val="16"/>
                <w:szCs w:val="16"/>
              </w:rPr>
              <w:t xml:space="preserve"> NRR は非開示。営業費 ÷ 売上は低下(営業利益率を維持しつつ粗利率は低下)。マルチクラウド DB +353% は既存 DB 顧客の拡張</w:t>
            </w:r>
          </w:p>
        </w:tc>
      </w:tr>
      <w:tr>
        <w:trPr>
          <w:cantSplit/>
          <w:tblHeader w:val="false"/>
        </w:trPr>
        <w:tc>
          <w:tcPr>
            <w:tcW w:type="dxa" w:w="26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資産が会計耐用年数より長く稼ぐ</w:t>
            </w:r>
          </w:p>
        </w:tc>
        <w:tc>
          <w:tcPr>
            <w:tcW w:type="dxa" w:w="3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償却済み資産の比率が上がっても粗利率が落ちない。更新単価が上がる</w:t>
            </w:r>
          </w:p>
        </w:tc>
        <w:tc>
          <w:tcPr>
            <w:tcW w:type="dxa" w:w="36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確認(更新単価)。</w:t>
            </w:r>
            <w:r>
              <w:rPr>
                <w:rFonts w:ascii="Arial" w:cs="Arial" w:eastAsia="Yu Gothic" w:hAnsi="Arial"/>
                <w:color w:val="222222"/>
                <w:sz w:val="16"/>
                <w:szCs w:val="16"/>
              </w:rPr>
              <w:t xml:space="preserve"> 更新期の GPU(過半が4年超)が全量 +20% で更新・再販。粗利率は立上げ費用で低下中のため、分離できない</w:t>
            </w:r>
          </w:p>
        </w:tc>
      </w:tr>
      <w:tr>
        <w:trPr>
          <w:cantSplit/>
          <w:tblHeader w:val="false"/>
        </w:trPr>
        <w:tc>
          <w:tcPr>
            <w:tcW w:type="dxa" w:w="26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capex が契約で裏付けられている</w:t>
            </w:r>
          </w:p>
        </w:tc>
        <w:tc>
          <w:tcPr>
            <w:tcW w:type="dxa" w:w="3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前払い・受注残の転換が capex の進捗と連動</w:t>
            </w:r>
          </w:p>
        </w:tc>
        <w:tc>
          <w:tcPr>
            <w:tcW w:type="dxa" w:w="36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確認。</w:t>
            </w:r>
            <w:r>
              <w:rPr>
                <w:rFonts w:ascii="Arial" w:cs="Arial" w:eastAsia="Yu Gothic" w:hAnsi="Arial"/>
                <w:color w:val="222222"/>
                <w:sz w:val="16"/>
                <w:szCs w:val="16"/>
              </w:rPr>
              <w:t xml:space="preserve"> 前受収益 $154億 → $308億と capex $285億が同じ四半期に急増。RPO $6,640億、裏付け率 4.0倍</w:t>
            </w:r>
          </w:p>
        </w:tc>
      </w:tr>
      <w:tr>
        <w:trPr>
          <w:cantSplit/>
          <w:tblHeader w:val="false"/>
        </w:trPr>
        <w:tc>
          <w:tcPr>
            <w:tcW w:type="dxa" w:w="26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資本の外部化で ROE が上がる</w:t>
            </w:r>
          </w:p>
        </w:tc>
        <w:tc>
          <w:tcPr>
            <w:tcW w:type="dxa" w:w="3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総資産回転率と ROE の上昇</w:t>
            </w:r>
          </w:p>
        </w:tc>
        <w:tc>
          <w:tcPr>
            <w:tcW w:type="dxa" w:w="36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未確認。</w:t>
            </w:r>
            <w:r>
              <w:rPr>
                <w:rFonts w:ascii="Arial" w:cs="Arial" w:eastAsia="Yu Gothic" w:hAnsi="Arial"/>
                <w:color w:val="222222"/>
                <w:sz w:val="16"/>
                <w:szCs w:val="16"/>
              </w:rPr>
              <w:t xml:space="preserve"> ROE は増資で分母が増え、判定困難(株主資本 $425億 → $668億)。確度を下げて M8 に残す</w:t>
            </w:r>
          </w:p>
        </w:tc>
      </w:tr>
      <w:tr>
        <w:trPr>
          <w:cantSplit/>
          <w:tblHeader w:val="false"/>
        </w:trPr>
        <w:tc>
          <w:tcPr>
            <w:tcW w:type="dxa" w:w="26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収穫逓増が働いている</w:t>
            </w:r>
          </w:p>
        </w:tc>
        <w:tc>
          <w:tcPr>
            <w:tcW w:type="dxa" w:w="3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限界利益率 &gt; 平均利益率</w:t>
            </w:r>
          </w:p>
        </w:tc>
        <w:tc>
          <w:tcPr>
            <w:tcW w:type="dxa" w:w="36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否定(現時点)。</w:t>
            </w:r>
            <w:r>
              <w:rPr>
                <w:rFonts w:ascii="Arial" w:cs="Arial" w:eastAsia="Yu Gothic" w:hAnsi="Arial"/>
                <w:color w:val="222222"/>
                <w:sz w:val="16"/>
                <w:szCs w:val="16"/>
              </w:rPr>
              <w:t xml:space="preserve"> FY27E の限界利益率 約27% &lt; 平均 39%(立上げ期)。Q1 FY27 単独では 45% &gt; 42.5%(営業費削減の効果)</w:t>
            </w:r>
          </w:p>
        </w:tc>
      </w:tr>
      <w:tr>
        <w:trPr>
          <w:cantSplit/>
          <w:tblHeader w:val="false"/>
        </w:trPr>
        <w:tc>
          <w:tcPr>
            <w:tcW w:type="dxa" w:w="267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供給制約で売上が遅れている</w:t>
            </w:r>
          </w:p>
        </w:tc>
        <w:tc>
          <w:tcPr>
            <w:tcW w:type="dxa" w:w="361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受注残が積み上がり、単価が上がり、制約解放に合わせて売上が伸びる</w:t>
            </w:r>
          </w:p>
        </w:tc>
        <w:tc>
          <w:tcPr>
            <w:tcW w:type="dxa" w:w="361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確認。</w:t>
            </w:r>
            <w:r>
              <w:rPr>
                <w:rFonts w:ascii="Arial" w:cs="Arial" w:eastAsia="Yu Gothic" w:hAnsi="Arial"/>
                <w:color w:val="222222"/>
                <w:sz w:val="16"/>
                <w:szCs w:val="16"/>
              </w:rPr>
              <w:t xml:space="preserve"> RPO $6,640億、更新 +20%、納入 MW に連動して OCI が加速(+121%)</w:t>
            </w:r>
          </w:p>
        </w:tc>
      </w:tr>
    </w:tbl>
    <w:p>
      <w:pPr>
        <w:spacing w:after="80"/>
      </w:pPr>
    </w:p>
    <w:p>
      <w:pPr>
        <w:spacing w:after="120" w:line="300"/>
      </w:pPr>
      <w:r>
        <w:rPr>
          <w:rFonts w:ascii="Arial" w:cs="Arial" w:eastAsia="Yu Gothic" w:hAnsi="Arial"/>
          <w:b/>
          <w:bCs/>
          <w:sz w:val="20"/>
          <w:szCs w:val="20"/>
        </w:rPr>
        <w:t xml:space="preserve">F-2 異常検知器(兆候であり判定ではない)</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5"/>
        <w:gridCol w:w="3375"/>
        <w:gridCol w:w="3376"/>
      </w:tblGrid>
      <w:tr>
        <w:trPr>
          <w:cantSplit/>
          <w:tblHeader/>
        </w:trPr>
        <w:tc>
          <w:tcPr>
            <w:tcW w:type="dxa" w:w="315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指標</w:t>
            </w:r>
          </w:p>
        </w:tc>
        <w:tc>
          <w:tcPr>
            <w:tcW w:type="dxa" w:w="337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値</w:t>
            </w:r>
          </w:p>
        </w:tc>
        <w:tc>
          <w:tcPr>
            <w:tcW w:type="dxa" w:w="3376"/>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解釈(事業の言葉で)</w:t>
            </w:r>
          </w:p>
        </w:tc>
      </w:tr>
      <w:tr>
        <w:trPr>
          <w:cantSplit/>
          <w:tblHeader w:val="false"/>
        </w:trPr>
        <w:tc>
          <w:tcPr>
            <w:tcW w:type="dxa" w:w="31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発生主義比率((純利益 − 営業CF)÷ 平均総資産)</w:t>
            </w:r>
          </w:p>
        </w:tc>
        <w:tc>
          <w:tcPr>
            <w:tcW w:type="dxa" w:w="337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FY26: ($170億 − $320億)÷ 約$2,150億 = −7%</w:t>
            </w:r>
          </w:p>
        </w:tc>
        <w:tc>
          <w:tcPr>
            <w:tcW w:type="dxa" w:w="337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マイナス(現金 &gt; 利益)。前受金の流入による。不正の兆候ではない</w:t>
            </w:r>
          </w:p>
        </w:tc>
      </w:tr>
      <w:tr>
        <w:trPr>
          <w:cantSplit/>
          <w:tblHeader w:val="false"/>
        </w:trPr>
        <w:tc>
          <w:tcPr>
            <w:tcW w:type="dxa" w:w="31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売上債権回転日数</w:t>
            </w:r>
          </w:p>
        </w:tc>
        <w:tc>
          <w:tcPr>
            <w:tcW w:type="dxa" w:w="337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2025-05 約49日 → 2026-08 約54日</w:t>
            </w:r>
          </w:p>
        </w:tc>
        <w:tc>
          <w:tcPr>
            <w:tcW w:type="dxa" w:w="337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微増。大型 AI 顧客の支払条件の可能性があり、監視する</w:t>
            </w:r>
          </w:p>
        </w:tc>
      </w:tr>
      <w:tr>
        <w:trPr>
          <w:cantSplit/>
          <w:tblHeader w:val="false"/>
        </w:trPr>
        <w:tc>
          <w:tcPr>
            <w:tcW w:type="dxa" w:w="31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前受金・受注残 &gt; 売上の伸び</w:t>
            </w:r>
          </w:p>
        </w:tc>
        <w:tc>
          <w:tcPr>
            <w:tcW w:type="dxa" w:w="337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前受収益 +100%(1四半期)、RPO +46%(前年比)対 売上 +30%</w:t>
            </w:r>
          </w:p>
        </w:tc>
        <w:tc>
          <w:tcPr>
            <w:tcW w:type="dxa" w:w="337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上振れの兆候</w:t>
            </w:r>
            <w:r>
              <w:rPr>
                <w:rFonts w:ascii="Arial" w:cs="Arial" w:eastAsia="Yu Gothic" w:hAnsi="Arial"/>
                <w:color w:val="222222"/>
                <w:sz w:val="16"/>
                <w:szCs w:val="16"/>
              </w:rPr>
              <w:t xml:space="preserve">(顧客の前払い)</w:t>
            </w:r>
          </w:p>
        </w:tc>
      </w:tr>
      <w:tr>
        <w:trPr>
          <w:cantSplit/>
          <w:tblHeader w:val="false"/>
        </w:trPr>
        <w:tc>
          <w:tcPr>
            <w:tcW w:type="dxa" w:w="31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非営業損益の比率</w:t>
            </w:r>
          </w:p>
        </w:tc>
        <w:tc>
          <w:tcPr>
            <w:tcW w:type="dxa" w:w="337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FY26 の営業外収益 +$35億(Ampere 等)= 税前利益の約15%</w:t>
            </w:r>
          </w:p>
        </w:tc>
        <w:tc>
          <w:tcPr>
            <w:tcW w:type="dxa" w:w="337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正規化済み(B-1)</w:t>
            </w:r>
          </w:p>
        </w:tc>
      </w:tr>
      <w:tr>
        <w:trPr>
          <w:cantSplit/>
          <w:tblHeader w:val="false"/>
        </w:trPr>
        <w:tc>
          <w:tcPr>
            <w:tcW w:type="dxa" w:w="315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Beneish M-Score</w:t>
            </w:r>
          </w:p>
        </w:tc>
        <w:tc>
          <w:tcPr>
            <w:tcW w:type="dxa" w:w="337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未計算(入力データ不足)</w:t>
            </w:r>
          </w:p>
        </w:tc>
        <w:tc>
          <w:tcPr>
            <w:tcW w:type="dxa" w:w="3376"/>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既知の制約</w:t>
            </w:r>
          </w:p>
        </w:tc>
      </w:tr>
    </w:tbl>
    <w:p>
      <w:pPr>
        <w:spacing w:after="80"/>
      </w:pPr>
    </w:p>
    <w:p>
      <w:pPr>
        <w:spacing w:after="120" w:line="300"/>
      </w:pPr>
      <w:r>
        <w:rPr>
          <w:rFonts w:ascii="Arial" w:cs="Arial" w:eastAsia="Yu Gothic" w:hAnsi="Arial"/>
          <w:b/>
          <w:bCs/>
          <w:sz w:val="20"/>
          <w:szCs w:val="20"/>
        </w:rPr>
        <w:t xml:space="preserve">F-3 一次情報(開示以外の観察)の記録</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4"/>
        <w:gridCol w:w="3634"/>
        <w:gridCol w:w="3634"/>
        <w:gridCol w:w="2054"/>
      </w:tblGrid>
      <w:tr>
        <w:trPr>
          <w:cantSplit/>
          <w:tblHeader/>
        </w:trPr>
        <w:tc>
          <w:tcPr>
            <w:tcW w:type="dxa" w:w="58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w:t>
            </w:r>
          </w:p>
        </w:tc>
        <w:tc>
          <w:tcPr>
            <w:tcW w:type="dxa" w:w="363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観察</w:t>
            </w:r>
          </w:p>
        </w:tc>
        <w:tc>
          <w:tcPr>
            <w:tcW w:type="dxa" w:w="363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何を裏付けるか</w:t>
            </w:r>
          </w:p>
        </w:tc>
        <w:tc>
          <w:tcPr>
            <w:tcW w:type="dxa" w:w="2054"/>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出所</w:t>
            </w:r>
          </w:p>
        </w:tc>
      </w:tr>
      <w:tr>
        <w:trPr>
          <w:cantSplit/>
          <w:tblHeader w:val="false"/>
        </w:trPr>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w:t>
            </w:r>
          </w:p>
        </w:tc>
        <w:tc>
          <w:tcPr>
            <w:tcW w:type="dxa" w:w="36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H100 のネオクラウド貸出単価指数 $2.00(2025-12)→ $2.80(2026-08)、SemiAnalysis の H100 1年契約指数 $1.70 → $2.35</w:t>
            </w:r>
          </w:p>
        </w:tc>
        <w:tc>
          <w:tcPr>
            <w:tcW w:type="dxa" w:w="36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需給の逼迫、経済的寿命 &gt; 会計耐用年数(M1)</w:t>
            </w:r>
          </w:p>
        </w:tc>
        <w:tc>
          <w:tcPr>
            <w:tcW w:type="dxa" w:w="20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Silicon Data、SemiAnalysis</w:t>
            </w:r>
          </w:p>
        </w:tc>
      </w:tr>
      <w:tr>
        <w:trPr>
          <w:cantSplit/>
          <w:tblHeader w:val="false"/>
        </w:trPr>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w:t>
            </w:r>
          </w:p>
        </w:tc>
        <w:tc>
          <w:tcPr>
            <w:tcW w:type="dxa" w:w="36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Transwestern(Energy Transfer)の FERC 提出書類: Green Chile ガス管の稼働予定 2026-08-15 → 2027-02-01</w:t>
            </w:r>
          </w:p>
        </w:tc>
        <w:tc>
          <w:tcPr>
            <w:tcW w:type="dxa" w:w="36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電力が律速段階で、解放は遅延(M9、C3 層2)</w:t>
            </w:r>
          </w:p>
        </w:tc>
        <w:tc>
          <w:tcPr>
            <w:tcW w:type="dxa" w:w="20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FERC 提出書類(報道経由)</w:t>
            </w:r>
          </w:p>
        </w:tc>
      </w:tr>
      <w:tr>
        <w:trPr>
          <w:cantSplit/>
          <w:tblHeader w:val="false"/>
        </w:trPr>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3</w:t>
            </w:r>
          </w:p>
        </w:tc>
        <w:tc>
          <w:tcPr>
            <w:tcW w:type="dxa" w:w="36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Bloomberg(2026-10-08): Oracle を含む事業者がガスをトラックで運び、パイプラインの遅延に備える。ユタ州の拠点は1年超トラックのガスで稼働</w:t>
            </w:r>
          </w:p>
        </w:tc>
        <w:tc>
          <w:tcPr>
            <w:tcW w:type="dxa" w:w="36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電力の制約と、その回避策(コスト増)</w:t>
            </w:r>
          </w:p>
        </w:tc>
        <w:tc>
          <w:tcPr>
            <w:tcW w:type="dxa" w:w="20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Bloomberg(報道経由)</w:t>
            </w:r>
          </w:p>
        </w:tc>
      </w:tr>
      <w:tr>
        <w:trPr>
          <w:cantSplit/>
          <w:tblHeader w:val="false"/>
        </w:trPr>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4</w:t>
            </w:r>
          </w:p>
        </w:tc>
        <w:tc>
          <w:tcPr>
            <w:tcW w:type="dxa" w:w="36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CoreWeave が 2026-07 に全品目で約25%値上げし、6-30 以降は高い価格で新規契約(IR 2026-09-17)</w:t>
            </w:r>
          </w:p>
        </w:tc>
        <w:tc>
          <w:tcPr>
            <w:tcW w:type="dxa" w:w="36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業界全体の単価上昇(L1)、更新単価の上昇は Oracle 固有ではない</w:t>
            </w:r>
          </w:p>
        </w:tc>
        <w:tc>
          <w:tcPr>
            <w:tcW w:type="dxa" w:w="20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CoreWeave IR(検索要約)</w:t>
            </w:r>
          </w:p>
        </w:tc>
      </w:tr>
      <w:tr>
        <w:trPr>
          <w:cantSplit/>
          <w:tblHeader w:val="false"/>
        </w:trPr>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5</w:t>
            </w:r>
          </w:p>
        </w:tc>
        <w:tc>
          <w:tcPr>
            <w:tcW w:type="dxa" w:w="36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中古 H100 の売買価格 $4万 → $1.2〜2.2万</w:t>
            </w:r>
          </w:p>
        </w:tc>
        <w:tc>
          <w:tcPr>
            <w:tcW w:type="dxa" w:w="36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経済的寿命の下方の兆候(M2)。レンタル価値は電力付き容量の希少性に依存</w:t>
            </w:r>
          </w:p>
        </w:tc>
        <w:tc>
          <w:tcPr>
            <w:tcW w:type="dxa" w:w="20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Servnet・GPUnex(Tier 4)</w:t>
            </w:r>
          </w:p>
        </w:tc>
      </w:tr>
      <w:tr>
        <w:trPr>
          <w:cantSplit/>
          <w:tblHeader w:val="false"/>
        </w:trPr>
        <w:tc>
          <w:tcPr>
            <w:tcW w:type="dxa" w:w="58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6</w:t>
            </w:r>
          </w:p>
        </w:tc>
        <w:tc>
          <w:tcPr>
            <w:tcW w:type="dxa" w:w="36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ICE が Ornn の計算価格指数に連動する GPU 先物を準備(2026-05)、CME と Silicon Data が提携</w:t>
            </w:r>
          </w:p>
        </w:tc>
        <w:tc>
          <w:tcPr>
            <w:tcW w:type="dxa" w:w="363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GPU 計算の商品化(条件8)</w:t>
            </w:r>
          </w:p>
        </w:tc>
        <w:tc>
          <w:tcPr>
            <w:tcW w:type="dxa" w:w="2054"/>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報道</w:t>
            </w:r>
          </w:p>
        </w:tc>
      </w:tr>
    </w:tbl>
    <w:p>
      <w:pPr>
        <w:spacing w:after="80"/>
      </w:pPr>
    </w:p>
    <w:p>
      <w:r>
        <w:br w:type="page"/>
      </w:r>
    </w:p>
    <w:p>
      <w:pPr>
        <w:pStyle w:val="Heading1"/>
      </w:pPr>
      <w:r>
        <w:rPr>
          <w:rFonts w:ascii="Arial" w:cs="Arial" w:eastAsia="Yu Gothic" w:hAnsi="Arial"/>
        </w:rPr>
        <w:t xml:space="preserve">既知の制約</w:t>
      </w:r>
    </w:p>
    <w:p>
      <w:pPr>
        <w:pStyle w:val="ListParagraph"/>
        <w:numPr>
          <w:ilvl w:val="0"/>
          <w:numId w:val="2"/>
        </w:numPr>
        <w:spacing w:after="40" w:line="290"/>
      </w:pPr>
      <w:r>
        <w:rPr>
          <w:rFonts w:ascii="Arial" w:cs="Arial" w:eastAsia="Yu Gothic" w:hAnsi="Arial"/>
          <w:b/>
          <w:bCs/>
          <w:sz w:val="20"/>
          <w:szCs w:val="20"/>
        </w:rPr>
        <w:t xml:space="preserve">AI/非AI の売上内訳が非開示のため、AI エンジン式(稼働 GW × GW あたり売上)を報告値と独立に ±5% で照合できない。</w:t>
      </w:r>
      <w:r>
        <w:rPr>
          <w:rFonts w:ascii="Arial" w:cs="Arial" w:eastAsia="Yu Gothic" w:hAnsi="Arial"/>
          <w:sz w:val="20"/>
          <w:szCs w:val="20"/>
        </w:rPr>
        <w:t xml:space="preserve"> 区分合計の照合(差 0.0%)と、報道ベースの AI 売上推定から GW あたり売上を逆算した三角測量(FY26 $6.5B → Q1 FY27 $7.7B → 契約例示 $10〜13.3B)で代替した。結論への影響: GW あたり売上の前提($10〜10.5B)が ±$1.5B ずれると、1株価値は ±$7 動く(参考図1)。</w:t>
      </w:r>
    </w:p>
    <w:p>
      <w:pPr>
        <w:pStyle w:val="ListParagraph"/>
        <w:numPr>
          <w:ilvl w:val="0"/>
          <w:numId w:val="2"/>
        </w:numPr>
        <w:spacing w:after="40" w:line="290"/>
      </w:pPr>
      <w:r>
        <w:rPr>
          <w:rFonts w:ascii="Arial" w:cs="Arial" w:eastAsia="Yu Gothic" w:hAnsi="Arial"/>
          <w:b/>
          <w:bCs/>
          <w:sz w:val="20"/>
          <w:szCs w:val="20"/>
        </w:rPr>
        <w:t xml:space="preserve">原典を直接読めていない。</w:t>
      </w:r>
      <w:r>
        <w:rPr>
          <w:rFonts w:ascii="Arial" w:cs="Arial" w:eastAsia="Yu Gothic" w:hAnsi="Arial"/>
          <w:sz w:val="20"/>
          <w:szCs w:val="20"/>
        </w:rPr>
        <w:t xml:space="preserve"> 本セッションの環境では WebFetch が sec.gov・oracle.com・tradingview.com を含むほぼ全ドメインで遮断され、データ取得は Web 検索の要約に限られた。10-Q・10-K・決算説明会の全文、DEF 14A の本文は未読である。Tier 1 と記した数値も要約経由で、要原典確認。</w:t>
      </w:r>
    </w:p>
    <w:p>
      <w:pPr>
        <w:pStyle w:val="ListParagraph"/>
        <w:numPr>
          <w:ilvl w:val="0"/>
          <w:numId w:val="2"/>
        </w:numPr>
        <w:spacing w:after="40" w:line="290"/>
      </w:pPr>
      <w:r>
        <w:rPr>
          <w:rFonts w:ascii="Arial" w:cs="Arial" w:eastAsia="Yu Gothic" w:hAnsi="Arial"/>
          <w:b/>
          <w:bCs/>
          <w:sz w:val="20"/>
          <w:szCs w:val="20"/>
        </w:rPr>
        <w:t xml:space="preserve">TradingView のコンセンサスを直接取得できなかった。</w:t>
      </w:r>
      <w:r>
        <w:rPr>
          <w:rFonts w:ascii="Arial" w:cs="Arial" w:eastAsia="Yu Gothic" w:hAnsi="Arial"/>
          <w:sz w:val="20"/>
          <w:szCs w:val="20"/>
        </w:rPr>
        <w:t xml:space="preserve"> FY27・FY28 は tickerleague(25名)・TickFlow(16名)の値を使い、EPS 定義は「非GAAP 系と推定」とした(会社ガイダンス $8.10 に近いため)。FY29〜FY31 の EPS コンセンサスは欠損で、延長値を用いた。結論への影響: コンセンサス経路の目標株価($157)は延長の前提に依存する。</w:t>
      </w:r>
    </w:p>
    <w:p>
      <w:pPr>
        <w:pStyle w:val="ListParagraph"/>
        <w:numPr>
          <w:ilvl w:val="0"/>
          <w:numId w:val="2"/>
        </w:numPr>
        <w:spacing w:after="40" w:line="290"/>
      </w:pPr>
      <w:r>
        <w:rPr>
          <w:rFonts w:ascii="Arial" w:cs="Arial" w:eastAsia="Yu Gothic" w:hAnsi="Arial"/>
          <w:b/>
          <w:bCs/>
          <w:sz w:val="20"/>
          <w:szCs w:val="20"/>
        </w:rPr>
        <w:t xml:space="preserve">株価 $141.40(2026-10-09)は単一出典。</w:t>
      </w:r>
      <w:r>
        <w:rPr>
          <w:rFonts w:ascii="Arial" w:cs="Arial" w:eastAsia="Yu Gothic" w:hAnsi="Arial"/>
          <w:sz w:val="20"/>
          <w:szCs w:val="20"/>
        </w:rPr>
        <w:t xml:space="preserve"> 2026-10-08 の終値 $135.69 は複数出典で確認済み。$135.69 を使っても乖離は事業エンジン経路で −1% にとどまり、判断(監視)は変わらない。</w:t>
      </w:r>
    </w:p>
    <w:p>
      <w:pPr>
        <w:pStyle w:val="ListParagraph"/>
        <w:numPr>
          <w:ilvl w:val="0"/>
          <w:numId w:val="2"/>
        </w:numPr>
        <w:spacing w:after="40" w:line="290"/>
      </w:pPr>
      <w:r>
        <w:rPr>
          <w:rFonts w:ascii="Arial" w:cs="Arial" w:eastAsia="Yu Gothic" w:hAnsi="Arial"/>
          <w:b/>
          <w:bCs/>
          <w:sz w:val="20"/>
          <w:szCs w:val="20"/>
        </w:rPr>
        <w:t xml:space="preserve">ピア比較の大半が欠損(Amazon の PEG、Alphabet の採用できる基準の PEG、Salesforce・ServiceNow の全項目)。</w:t>
      </w:r>
      <w:r>
        <w:rPr>
          <w:rFonts w:ascii="Arial" w:cs="Arial" w:eastAsia="Yu Gothic" w:hAnsi="Arial"/>
          <w:sz w:val="20"/>
          <w:szCs w:val="20"/>
        </w:rPr>
        <w:t xml:space="preserve"> PEG の経路 a は3社(MSFT・SAP・META)で構成した。3社の PEG も EPS の定義と成長率の基準が Oracle(SBC 控除後の5年 CAGR)と揃っている保証はない。</w:t>
      </w:r>
    </w:p>
    <w:p>
      <w:pPr>
        <w:pStyle w:val="ListParagraph"/>
        <w:numPr>
          <w:ilvl w:val="0"/>
          <w:numId w:val="2"/>
        </w:numPr>
        <w:spacing w:after="40" w:line="290"/>
      </w:pPr>
      <w:r>
        <w:rPr>
          <w:rFonts w:ascii="Arial" w:cs="Arial" w:eastAsia="Yu Gothic" w:hAnsi="Arial"/>
          <w:b/>
          <w:bCs/>
          <w:sz w:val="20"/>
          <w:szCs w:val="20"/>
        </w:rPr>
        <w:t xml:space="preserve">AI 容量の粗利率は Q3 FY26 の 32% の1点しか数値がない。</w:t>
      </w:r>
      <w:r>
        <w:rPr>
          <w:rFonts w:ascii="Arial" w:cs="Arial" w:eastAsia="Yu Gothic" w:hAnsi="Arial"/>
          <w:sz w:val="20"/>
          <w:szCs w:val="20"/>
        </w:rPr>
        <w:t xml:space="preserve"> Q4 FY26・Q1 FY27 は定性的な説明のみ。</w:t>
      </w:r>
    </w:p>
    <w:p>
      <w:pPr>
        <w:pStyle w:val="ListParagraph"/>
        <w:numPr>
          <w:ilvl w:val="0"/>
          <w:numId w:val="2"/>
        </w:numPr>
        <w:spacing w:after="40" w:line="290"/>
      </w:pPr>
      <w:r>
        <w:rPr>
          <w:rFonts w:ascii="Arial" w:cs="Arial" w:eastAsia="Yu Gothic" w:hAnsi="Arial"/>
          <w:b/>
          <w:bCs/>
          <w:sz w:val="20"/>
          <w:szCs w:val="20"/>
        </w:rPr>
        <w:t xml:space="preserve">OpenAI 契約の条項(take-or-pay、解約条項、前払いの有無)は非公開。</w:t>
      </w:r>
      <w:r>
        <w:rPr>
          <w:rFonts w:ascii="Arial" w:cs="Arial" w:eastAsia="Yu Gothic" w:hAnsi="Arial"/>
          <w:sz w:val="20"/>
          <w:szCs w:val="20"/>
        </w:rPr>
        <w:t xml:space="preserve"> OpenAI 不払い時の損失は、再販単価と空白期間の仮定で幅を持たせた。</w:t>
      </w:r>
    </w:p>
    <w:p>
      <w:pPr>
        <w:pStyle w:val="ListParagraph"/>
        <w:numPr>
          <w:ilvl w:val="0"/>
          <w:numId w:val="2"/>
        </w:numPr>
        <w:spacing w:after="40" w:line="290"/>
      </w:pPr>
      <w:r>
        <w:rPr>
          <w:rFonts w:ascii="Arial" w:cs="Arial" w:eastAsia="Yu Gothic" w:hAnsi="Arial"/>
          <w:b/>
          <w:bCs/>
          <w:sz w:val="20"/>
          <w:szCs w:val="20"/>
        </w:rPr>
        <w:t xml:space="preserve">S&amp;M・R&amp;D・G&amp;A の内訳、保守の更新率、NRR は取得できなかった。</w:t>
      </w:r>
      <w:r>
        <w:rPr>
          <w:rFonts w:ascii="Arial" w:cs="Arial" w:eastAsia="Yu Gothic" w:hAnsi="Arial"/>
          <w:sz w:val="20"/>
          <w:szCs w:val="20"/>
        </w:rPr>
        <w:t xml:space="preserve"> 増収の源泉分解のうち「新規 / 既存拡張」は、エンジン単位の近似にとどまる。</w:t>
      </w:r>
    </w:p>
    <w:p>
      <w:pPr>
        <w:pStyle w:val="ListParagraph"/>
        <w:numPr>
          <w:ilvl w:val="0"/>
          <w:numId w:val="2"/>
        </w:numPr>
        <w:spacing w:after="40" w:line="290"/>
      </w:pPr>
      <w:r>
        <w:rPr>
          <w:rFonts w:ascii="Arial" w:cs="Arial" w:eastAsia="Yu Gothic" w:hAnsi="Arial"/>
          <w:b/>
          <w:bCs/>
          <w:sz w:val="20"/>
          <w:szCs w:val="20"/>
        </w:rPr>
        <w:t xml:space="preserve">事業エンジン経路と SOTP の前提には推定が含まれる。</w:t>
      </w:r>
      <w:r>
        <w:rPr>
          <w:rFonts w:ascii="Arial" w:cs="Arial" w:eastAsia="Yu Gothic" w:hAnsi="Arial"/>
          <w:sz w:val="20"/>
          <w:szCs w:val="20"/>
        </w:rPr>
        <w:t xml:space="preserve"> 主な推定は、稼働 GW(2026-08 で 2.55GW)、建設仮勘定の AI 分($350億)、コアの NOPAT(コアの利益率 48% を Q1 FY27 で較正)。</w:t>
      </w:r>
    </w:p>
    <w:p>
      <w:pPr>
        <w:pStyle w:val="ListParagraph"/>
        <w:numPr>
          <w:ilvl w:val="0"/>
          <w:numId w:val="2"/>
        </w:numPr>
        <w:spacing w:after="40" w:line="290"/>
      </w:pPr>
      <w:r>
        <w:rPr>
          <w:rFonts w:ascii="Arial" w:cs="Arial" w:eastAsia="Yu Gothic" w:hAnsi="Arial"/>
          <w:b/>
          <w:bCs/>
          <w:sz w:val="20"/>
          <w:szCs w:val="20"/>
        </w:rPr>
        <w:t xml:space="preserve">品質監査ループ(F1・F2・F9・F10):</w:t>
      </w:r>
      <w:r>
        <w:rPr>
          <w:rFonts w:ascii="Arial" w:cs="Arial" w:eastAsia="Yu Gothic" w:hAnsi="Arial"/>
          <w:sz w:val="20"/>
          <w:szCs w:val="20"/>
        </w:rPr>
        <w:t xml:space="preserve"> 3層ルーブリックで自己採点した結果は、L1 完全性 B(主要ラインは揃うが、AI の内訳は推定)、L2 密度・具体性 A(全ラインに数値と出所)、L3 示唆性 A(差分・制約・確認 KPI に接続)。総合 B 以上で合格。</w:t>
      </w:r>
    </w:p>
    <w:p>
      <w:pPr>
        <w:pStyle w:val="ListParagraph"/>
        <w:numPr>
          <w:ilvl w:val="0"/>
          <w:numId w:val="2"/>
        </w:numPr>
        <w:spacing w:after="40" w:line="290"/>
      </w:pPr>
      <w:r>
        <w:rPr>
          <w:rFonts w:ascii="Arial" w:cs="Arial" w:eastAsia="Yu Gothic" w:hAnsi="Arial"/>
          <w:b/>
          <w:bCs/>
          <w:sz w:val="20"/>
          <w:szCs w:val="20"/>
        </w:rPr>
        <w:t xml:space="preserve">評価基準の一部は確立した基準ではない。</w:t>
      </w:r>
      <w:r>
        <w:rPr>
          <w:rFonts w:ascii="Arial" w:cs="Arial" w:eastAsia="Yu Gothic" w:hAnsi="Arial"/>
          <w:sz w:val="20"/>
          <w:szCs w:val="20"/>
        </w:rPr>
        <w:t xml:space="preserve"> 経路 c の PEG の出発点、2軸マトリクスの区切り、安全余裕率 α、PER の下限 14倍は、本報告書の分析手法で設定した値である。</w:t>
      </w:r>
    </w:p>
    <w:p>
      <w:pPr>
        <w:pStyle w:val="Heading1"/>
      </w:pPr>
      <w:r>
        <w:rPr>
          <w:rFonts w:ascii="Arial" w:cs="Arial" w:eastAsia="Yu Gothic" w:hAnsi="Arial"/>
        </w:rPr>
        <w:t xml:space="preserve">品質ゲート結果</w:t>
      </w:r>
    </w:p>
    <w:p>
      <w:pPr>
        <w:spacing w:after="120" w:line="300"/>
      </w:pPr>
      <w:r>
        <w:rPr>
          <w:rFonts w:ascii="Arial" w:cs="Arial" w:eastAsia="Yu Gothic" w:hAnsi="Arial"/>
          <w:b/>
          <w:bCs/>
          <w:sz w:val="20"/>
          <w:szCs w:val="20"/>
        </w:rPr>
        <w:t xml:space="preserve">事業本体と市場との差分</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57"/>
        <w:gridCol w:w="792"/>
        <w:gridCol w:w="4557"/>
      </w:tblGrid>
      <w:tr>
        <w:trPr>
          <w:cantSplit/>
          <w:tblHeader/>
        </w:trPr>
        <w:tc>
          <w:tcPr>
            <w:tcW w:type="dxa" w:w="455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項目</w:t>
            </w:r>
          </w:p>
        </w:tc>
        <w:tc>
          <w:tcPr>
            <w:tcW w:type="dxa" w:w="792"/>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判定</w:t>
            </w:r>
          </w:p>
        </w:tc>
        <w:tc>
          <w:tcPr>
            <w:tcW w:type="dxa" w:w="455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根拠・位置</w:t>
            </w:r>
          </w:p>
        </w:tc>
      </w:tr>
      <w:tr>
        <w:trPr>
          <w:cantSplit/>
          <w:tblHeader w:val="false"/>
        </w:trPr>
        <w:tc>
          <w:tcPr>
            <w:tcW w:type="dxa" w:w="4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事業本体の品質ゲート(下表)の全項目</w:t>
            </w:r>
          </w:p>
        </w:tc>
        <w:tc>
          <w:tcPr>
            <w:tcW w:type="dxa" w:w="7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ほぼ合格</w:t>
            </w:r>
          </w:p>
        </w:tc>
        <w:tc>
          <w:tcPr>
            <w:tcW w:type="dxa" w:w="4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下表。エンジン式の ±5% 照合のみ部分達成(既知の制約1)</w:t>
            </w:r>
          </w:p>
        </w:tc>
      </w:tr>
      <w:tr>
        <w:trPr>
          <w:cantSplit/>
          <w:tblHeader w:val="false"/>
        </w:trPr>
        <w:tc>
          <w:tcPr>
            <w:tcW w:type="dxa" w:w="4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市場との差分(またはエッジなし)が出典つきで1章と2章で一致</w:t>
            </w:r>
          </w:p>
        </w:tc>
        <w:tc>
          <w:tcPr>
            <w:tcW w:type="dxa" w:w="7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w:t>
            </w:r>
          </w:p>
        </w:tc>
        <w:tc>
          <w:tcPr>
            <w:tcW w:type="dxa" w:w="4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1章・2-1(エッジなし、差分 A・B が相殺)</w:t>
            </w:r>
          </w:p>
        </w:tc>
      </w:tr>
      <w:tr>
        <w:trPr>
          <w:cantSplit/>
          <w:tblHeader w:val="false"/>
        </w:trPr>
        <w:tc>
          <w:tcPr>
            <w:tcW w:type="dxa" w:w="4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意図の解読と効果測定のない「リスク」記述がない</w:t>
            </w:r>
          </w:p>
        </w:tc>
        <w:tc>
          <w:tcPr>
            <w:tcW w:type="dxa" w:w="7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w:t>
            </w:r>
          </w:p>
        </w:tc>
        <w:tc>
          <w:tcPr>
            <w:tcW w:type="dxa" w:w="4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2-7、12-1、Appendix E</w:t>
            </w:r>
          </w:p>
        </w:tc>
      </w:tr>
      <w:tr>
        <w:trPr>
          <w:cantSplit/>
          <w:tblHeader w:val="false"/>
        </w:trPr>
        <w:tc>
          <w:tcPr>
            <w:tcW w:type="dxa" w:w="4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上振れ・下振れの両方が同じ粒度で数値化</w:t>
            </w:r>
          </w:p>
        </w:tc>
        <w:tc>
          <w:tcPr>
            <w:tcW w:type="dxa" w:w="7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w:t>
            </w:r>
          </w:p>
        </w:tc>
        <w:tc>
          <w:tcPr>
            <w:tcW w:type="dxa" w:w="4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12-1(+$16 / −$21)、7-1</w:t>
            </w:r>
          </w:p>
        </w:tc>
      </w:tr>
      <w:tr>
        <w:trPr>
          <w:cantSplit/>
          <w:tblHeader w:val="false"/>
        </w:trPr>
        <w:tc>
          <w:tcPr>
            <w:tcW w:type="dxa" w:w="4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事業エンジン経路があり、コンセンサスとの差を説明</w:t>
            </w:r>
          </w:p>
        </w:tc>
        <w:tc>
          <w:tcPr>
            <w:tcW w:type="dxa" w:w="7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w:t>
            </w:r>
          </w:p>
        </w:tc>
        <w:tc>
          <w:tcPr>
            <w:tcW w:type="dxa" w:w="4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10-2(FY29 以降、電力律速と GW あたり売上)</w:t>
            </w:r>
          </w:p>
        </w:tc>
      </w:tr>
      <w:tr>
        <w:trPr>
          <w:cantSplit/>
          <w:tblHeader w:val="false"/>
        </w:trPr>
        <w:tc>
          <w:tcPr>
            <w:tcW w:type="dxa" w:w="4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事業実態EPS の補正内訳が上下両方向</w:t>
            </w:r>
          </w:p>
        </w:tc>
        <w:tc>
          <w:tcPr>
            <w:tcW w:type="dxa" w:w="7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w:t>
            </w:r>
          </w:p>
        </w:tc>
        <w:tc>
          <w:tcPr>
            <w:tcW w:type="dxa" w:w="4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10-1、B-1</w:t>
            </w:r>
          </w:p>
        </w:tc>
      </w:tr>
      <w:tr>
        <w:trPr>
          <w:cantSplit/>
          <w:tblHeader w:val="false"/>
        </w:trPr>
        <w:tc>
          <w:tcPr>
            <w:tcW w:type="dxa" w:w="4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芯が特定され、市場が暗に置く値・自分の見積り・優位の種類</w:t>
            </w:r>
          </w:p>
        </w:tc>
        <w:tc>
          <w:tcPr>
            <w:tcW w:type="dxa" w:w="7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w:t>
            </w:r>
          </w:p>
        </w:tc>
        <w:tc>
          <w:tcPr>
            <w:tcW w:type="dxa" w:w="4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2-1b</w:t>
            </w:r>
          </w:p>
        </w:tc>
      </w:tr>
      <w:tr>
        <w:trPr>
          <w:cantSplit/>
          <w:tblHeader w:val="false"/>
        </w:trPr>
        <w:tc>
          <w:tcPr>
            <w:tcW w:type="dxa" w:w="4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成長の値段と価値の時間分布</w:t>
            </w:r>
          </w:p>
        </w:tc>
        <w:tc>
          <w:tcPr>
            <w:tcW w:type="dxa" w:w="792"/>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w:t>
            </w:r>
          </w:p>
        </w:tc>
        <w:tc>
          <w:tcPr>
            <w:tcW w:type="dxa" w:w="4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1章、10-5</w:t>
            </w:r>
          </w:p>
        </w:tc>
      </w:tr>
    </w:tbl>
    <w:p>
      <w:pPr>
        <w:spacing w:after="80"/>
      </w:pPr>
    </w:p>
    <w:p>
      <w:pPr>
        <w:spacing w:after="120" w:line="300"/>
      </w:pPr>
      <w:r>
        <w:rPr>
          <w:rFonts w:ascii="Arial" w:cs="Arial" w:eastAsia="Yu Gothic" w:hAnsi="Arial"/>
          <w:b/>
          <w:bCs/>
          <w:sz w:val="20"/>
          <w:szCs w:val="20"/>
        </w:rPr>
        <w:t xml:space="preserve">§10 事業本体のゲート</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8"/>
        <w:gridCol w:w="6158"/>
      </w:tblGrid>
      <w:tr>
        <w:trPr>
          <w:cantSplit/>
          <w:tblHeader/>
        </w:trPr>
        <w:tc>
          <w:tcPr>
            <w:tcW w:type="dxa" w:w="374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項目</w:t>
            </w:r>
          </w:p>
        </w:tc>
        <w:tc>
          <w:tcPr>
            <w:tcW w:type="dxa" w:w="6158"/>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判定</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エンジン式 ±5%</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部分(制約1)</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増収の源泉分解</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合格(2-4)</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ループの各リンクに証拠</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合格(「供給優先」は仮説と明記)</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制約と解放時期</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合格(2-5)</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定常状態利益</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合格(2-8)</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耐用年数の両方向</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合格(2-7)</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CAP</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合格(2-9)</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リスクに意図と効果</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希薄化・借入の反実仮想</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合格(B-6)</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機構台帳の両方向の探索</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合格(App. E)</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固有性テスト</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合格(2-1)</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異常値から2つ以上の問い</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合格。異常値は5つ: ①前受収益の倍増、②4年超を含む更新期 GPU の +20% 更新・再販、③OCI 加速と株価最安値圏の同居、④AI ミックス下での営業利益率の維持、⑤RPO 純増の鈍化</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一次情報2件以上</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合格(F-3 で6件)</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市場の仮説の出典</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合格(7-1)</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根幹KPI の加速度</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合格(2-10。一部の KPI は時系列不足)</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会計数値を事業実態に変換</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合格(10-1)</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芯の特定と2周目</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合格(2-1b。2周目の調査 S4 を芯に集中)</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芯の市場値・見積り・優位</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増分 ROIC</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合格(2-7、IRR 17%)</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収益の多重性</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合格(2-4)</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敵対的検証と二次の効果</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合格(2-9)</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ガイダンス達成率と開示の変化</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合格(5章・App. D の条件5、S1 調査。FY24〜FY25 の分は未取得)</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成長の値段</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w:t>
            </w:r>
          </w:p>
        </w:tc>
      </w:tr>
      <w:tr>
        <w:trPr>
          <w:cantSplit/>
          <w:tblHeader w:val="false"/>
        </w:trPr>
        <w:tc>
          <w:tcPr>
            <w:tcW w:type="dxa" w:w="374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再帰性</w:t>
            </w:r>
          </w:p>
        </w:tc>
        <w:tc>
          <w:tcPr>
            <w:tcW w:type="dxa" w:w="6158"/>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合格(2-7)</w:t>
            </w:r>
          </w:p>
        </w:tc>
      </w:tr>
    </w:tbl>
    <w:p>
      <w:pPr>
        <w:spacing w:after="80"/>
      </w:pPr>
    </w:p>
    <w:p>
      <w:pPr>
        <w:spacing w:after="120" w:line="300"/>
      </w:pPr>
      <w:r>
        <w:rPr>
          <w:rFonts w:ascii="Arial" w:cs="Arial" w:eastAsia="Yu Gothic" w:hAnsi="Arial"/>
          <w:b/>
          <w:bCs/>
          <w:sz w:val="20"/>
          <w:szCs w:val="20"/>
        </w:rPr>
        <w:t xml:space="preserve">構成と整合</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49"/>
        <w:gridCol w:w="5557"/>
      </w:tblGrid>
      <w:tr>
        <w:trPr>
          <w:cantSplit/>
          <w:tblHeader/>
        </w:trPr>
        <w:tc>
          <w:tcPr>
            <w:tcW w:type="dxa" w:w="4349"/>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項目</w:t>
            </w:r>
          </w:p>
        </w:tc>
        <w:tc>
          <w:tcPr>
            <w:tcW w:type="dxa" w:w="5557"/>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判定</w:t>
            </w:r>
          </w:p>
        </w:tc>
      </w:tr>
      <w:tr>
        <w:trPr>
          <w:cantSplit/>
          <w:tblHeader w:val="false"/>
        </w:trPr>
        <w:tc>
          <w:tcPr>
            <w:tcW w:type="dxa" w:w="43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全章の見出しがメッセージ型</w:t>
            </w:r>
          </w:p>
        </w:tc>
        <w:tc>
          <w:tcPr>
            <w:tcW w:type="dxa" w:w="5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合格(章見出し1〜12 と「見出しだけで読む判断の論理」を同文で揃えた。小見出しと付録は様式上の見出し)</w:t>
            </w:r>
          </w:p>
        </w:tc>
      </w:tr>
      <w:tr>
        <w:trPr>
          <w:cantSplit/>
          <w:tblHeader w:val="false"/>
        </w:trPr>
        <w:tc>
          <w:tcPr>
            <w:tcW w:type="dxa" w:w="43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各章に定量と定性が対で存在</w:t>
            </w:r>
          </w:p>
        </w:tc>
        <w:tc>
          <w:tcPr>
            <w:tcW w:type="dxa" w:w="5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w:t>
            </w:r>
          </w:p>
        </w:tc>
      </w:tr>
      <w:tr>
        <w:trPr>
          <w:cantSplit/>
          <w:tblHeader w:val="false"/>
        </w:trPr>
        <w:tc>
          <w:tcPr>
            <w:tcW w:type="dxa" w:w="43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未充足の図がない(または保留明記)</w:t>
            </w:r>
          </w:p>
        </w:tc>
        <w:tc>
          <w:tcPr>
            <w:tcW w:type="dxa" w:w="5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合格(F1〜F18 はすべて表または図で充足。F15 は構造記述で代替)</w:t>
            </w:r>
          </w:p>
        </w:tc>
      </w:tr>
      <w:tr>
        <w:trPr>
          <w:cantSplit/>
          <w:tblHeader w:val="false"/>
        </w:trPr>
        <w:tc>
          <w:tcPr>
            <w:tcW w:type="dxa" w:w="43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構造マップの品質監査 B 以上</w:t>
            </w:r>
          </w:p>
        </w:tc>
        <w:tc>
          <w:tcPr>
            <w:tcW w:type="dxa" w:w="5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合格(制約10)</w:t>
            </w:r>
          </w:p>
        </w:tc>
      </w:tr>
      <w:tr>
        <w:trPr>
          <w:cantSplit/>
          <w:tblHeader w:val="false"/>
        </w:trPr>
        <w:tc>
          <w:tcPr>
            <w:tcW w:type="dxa" w:w="43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評価・判断・目標株価が全章で一致</w:t>
            </w:r>
          </w:p>
        </w:tc>
        <w:tc>
          <w:tcPr>
            <w:tcW w:type="dxa" w:w="5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合格(1・8・10・12章: 監視 / B / $134 / 見送り圏)</w:t>
            </w:r>
          </w:p>
        </w:tc>
      </w:tr>
      <w:tr>
        <w:trPr>
          <w:cantSplit/>
          <w:tblHeader w:val="false"/>
        </w:trPr>
        <w:tc>
          <w:tcPr>
            <w:tcW w:type="dxa" w:w="4349"/>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報告書の軸がシナリオ、土台が事業本体</w:t>
            </w:r>
          </w:p>
        </w:tc>
        <w:tc>
          <w:tcPr>
            <w:tcW w:type="dxa" w:w="5557"/>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w:t>
            </w:r>
          </w:p>
        </w:tc>
      </w:tr>
    </w:tbl>
    <w:p>
      <w:pPr>
        <w:spacing w:after="80"/>
      </w:pPr>
    </w:p>
    <w:p>
      <w:pPr>
        <w:spacing w:after="120" w:line="300"/>
      </w:pPr>
      <w:r>
        <w:rPr>
          <w:rFonts w:ascii="Arial" w:cs="Arial" w:eastAsia="Yu Gothic" w:hAnsi="Arial"/>
          <w:b/>
          <w:bCs/>
          <w:sz w:val="20"/>
          <w:szCs w:val="20"/>
        </w:rPr>
        <w:t xml:space="preserve">シナリオと収益構造</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95"/>
        <w:gridCol w:w="2311"/>
      </w:tblGrid>
      <w:tr>
        <w:trPr>
          <w:cantSplit/>
          <w:tblHeader/>
        </w:trPr>
        <w:tc>
          <w:tcPr>
            <w:tcW w:type="dxa" w:w="7595"/>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項目</w:t>
            </w:r>
          </w:p>
        </w:tc>
        <w:tc>
          <w:tcPr>
            <w:tcW w:type="dxa" w:w="2311"/>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判定</w:t>
            </w:r>
          </w:p>
        </w:tc>
      </w:tr>
      <w:tr>
        <w:trPr>
          <w:cantSplit/>
          <w:tblHeader w:val="false"/>
        </w:trPr>
        <w:tc>
          <w:tcPr>
            <w:tcW w:type="dxa" w:w="759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ピースごとの +−・大きさ・進捗・エンジン変数への翻訳</w:t>
            </w:r>
          </w:p>
        </w:tc>
        <w:tc>
          <w:tcPr>
            <w:tcW w:type="dxa" w:w="231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合格(4-3、5-1)</w:t>
            </w:r>
          </w:p>
        </w:tc>
      </w:tr>
      <w:tr>
        <w:trPr>
          <w:cantSplit/>
          <w:tblHeader w:val="false"/>
        </w:trPr>
        <w:tc>
          <w:tcPr>
            <w:tcW w:type="dxa" w:w="759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収益ライン粒度・顧客価値定義・増収の源泉</w:t>
            </w:r>
          </w:p>
        </w:tc>
        <w:tc>
          <w:tcPr>
            <w:tcW w:type="dxa" w:w="231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合格(3-1)</w:t>
            </w:r>
          </w:p>
        </w:tc>
      </w:tr>
      <w:tr>
        <w:trPr>
          <w:cantSplit/>
          <w:tblHeader w:val="false"/>
        </w:trPr>
        <w:tc>
          <w:tcPr>
            <w:tcW w:type="dxa" w:w="759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低迷・急伸ラインの要素分解</w:t>
            </w:r>
          </w:p>
        </w:tc>
        <w:tc>
          <w:tcPr>
            <w:tcW w:type="dxa" w:w="231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合格(3-1)</w:t>
            </w:r>
          </w:p>
        </w:tc>
      </w:tr>
      <w:tr>
        <w:trPr>
          <w:cantSplit/>
          <w:tblHeader w:val="false"/>
        </w:trPr>
        <w:tc>
          <w:tcPr>
            <w:tcW w:type="dxa" w:w="7595"/>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成立条件に KPI・閾値・時期、逆側も同じ粒度</w:t>
            </w:r>
          </w:p>
        </w:tc>
        <w:tc>
          <w:tcPr>
            <w:tcW w:type="dxa" w:w="2311"/>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合格(7-2)</w:t>
            </w:r>
          </w:p>
        </w:tc>
      </w:tr>
    </w:tbl>
    <w:p>
      <w:pPr>
        <w:spacing w:after="80"/>
      </w:pPr>
    </w:p>
    <w:p>
      <w:pPr>
        <w:spacing w:after="120" w:line="300"/>
      </w:pPr>
      <w:r>
        <w:rPr>
          <w:rFonts w:ascii="Arial" w:cs="Arial" w:eastAsia="Yu Gothic" w:hAnsi="Arial"/>
          <w:b/>
          <w:bCs/>
          <w:sz w:val="20"/>
          <w:szCs w:val="20"/>
        </w:rPr>
        <w:t xml:space="preserve">バリュエーション</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3"/>
        <w:gridCol w:w="4953"/>
      </w:tblGrid>
      <w:tr>
        <w:trPr>
          <w:cantSplit/>
          <w:tblHeader/>
        </w:trPr>
        <w:tc>
          <w:tcPr>
            <w:tcW w:type="dxa" w:w="495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項目</w:t>
            </w:r>
          </w:p>
        </w:tc>
        <w:tc>
          <w:tcPr>
            <w:tcW w:type="dxa" w:w="495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判定</w:t>
            </w:r>
          </w:p>
        </w:tc>
      </w:tr>
      <w:tr>
        <w:trPr>
          <w:cantSplit/>
          <w:tblHeader w:val="false"/>
        </w:trPr>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PEG の3経路と解釈アンカー</w:t>
            </w:r>
          </w:p>
        </w:tc>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合格(9章)</w:t>
            </w:r>
          </w:p>
        </w:tc>
      </w:tr>
      <w:tr>
        <w:trPr>
          <w:cantSplit/>
          <w:tblHeader w:val="false"/>
        </w:trPr>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年度別 PEG が狭いレンジ</w:t>
            </w:r>
          </w:p>
        </w:tc>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w:t>
            </w:r>
          </w:p>
        </w:tc>
      </w:tr>
      <w:tr>
        <w:trPr>
          <w:cantSplit/>
          <w:tblHeader w:val="false"/>
        </w:trPr>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カタリストの必須4属性 + 収益ライン + 機構番号</w:t>
            </w:r>
          </w:p>
        </w:tc>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合格(11-1)</w:t>
            </w:r>
          </w:p>
        </w:tc>
      </w:tr>
      <w:tr>
        <w:trPr>
          <w:cantSplit/>
          <w:tblHeader w:val="false"/>
        </w:trPr>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EPS の対数分解と一時要因の正規化</w:t>
            </w:r>
          </w:p>
        </w:tc>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合格(10-1、B-2)</w:t>
            </w:r>
          </w:p>
        </w:tc>
      </w:tr>
      <w:tr>
        <w:trPr>
          <w:cantSplit/>
          <w:tblHeader w:val="false"/>
        </w:trPr>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判別KPI のマトリクス・合格ラインパス・確度の更新値</w:t>
            </w:r>
          </w:p>
        </w:tc>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合格(7-3)</w:t>
            </w:r>
          </w:p>
        </w:tc>
      </w:tr>
      <w:tr>
        <w:trPr>
          <w:cantSplit/>
          <w:tblHeader w:val="false"/>
        </w:trPr>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テールリスクの分離と顕在化トリガー</w:t>
            </w:r>
          </w:p>
        </w:tc>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合格(12-2)</w:t>
            </w:r>
          </w:p>
        </w:tc>
      </w:tr>
      <w:tr>
        <w:trPr>
          <w:cantSplit/>
          <w:tblHeader w:val="false"/>
        </w:trPr>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TradingView から全予想年度のコンセンサスを取得</w:t>
            </w:r>
          </w:p>
        </w:tc>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不合格(制約3)</w:t>
            </w:r>
            <w:r>
              <w:rPr>
                <w:rFonts w:ascii="Arial" w:cs="Arial" w:eastAsia="Yu Gothic" w:hAnsi="Arial"/>
                <w:color w:val="222222"/>
                <w:sz w:val="16"/>
                <w:szCs w:val="16"/>
              </w:rPr>
              <w:t xml:space="preserve">。代替出典と延長で補い、2周の追加調査で未達のため既知の制約に記載</w:t>
            </w:r>
          </w:p>
        </w:tc>
      </w:tr>
    </w:tbl>
    <w:p>
      <w:pPr>
        <w:spacing w:after="80"/>
      </w:pPr>
    </w:p>
    <w:p>
      <w:pPr>
        <w:spacing w:after="120" w:line="300"/>
      </w:pPr>
      <w:r>
        <w:rPr>
          <w:rFonts w:ascii="Arial" w:cs="Arial" w:eastAsia="Yu Gothic" w:hAnsi="Arial"/>
          <w:b/>
          <w:bCs/>
          <w:sz w:val="20"/>
          <w:szCs w:val="20"/>
        </w:rPr>
        <w:t xml:space="preserve">規律</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3"/>
        <w:gridCol w:w="4953"/>
      </w:tblGrid>
      <w:tr>
        <w:trPr>
          <w:cantSplit/>
          <w:tblHeader/>
        </w:trPr>
        <w:tc>
          <w:tcPr>
            <w:tcW w:type="dxa" w:w="495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項目</w:t>
            </w:r>
          </w:p>
        </w:tc>
        <w:tc>
          <w:tcPr>
            <w:tcW w:type="dxa" w:w="4953"/>
            <w:tcBorders>
              <w:top w:val="single" w:color="A6B4C4" w:sz="4"/>
              <w:left w:val="single" w:color="A6B4C4" w:sz="4"/>
              <w:bottom w:val="single" w:color="A6B4C4" w:sz="4"/>
              <w:right w:val="single" w:color="A6B4C4" w:sz="4"/>
            </w:tcBorders>
            <w:shd w:fill="1F3A5F" w:color="auto" w:val="clear"/>
            <w:tcMar>
              <w:top w:type="dxa" w:w="40"/>
              <w:left w:type="dxa" w:w="70"/>
              <w:bottom w:type="dxa" w:w="40"/>
              <w:right w:type="dxa" w:w="70"/>
            </w:tcMar>
            <w:vAlign w:val="center"/>
          </w:tcPr>
          <w:p>
            <w:pPr>
              <w:spacing w:after="0" w:before="0" w:line="252"/>
            </w:pPr>
            <w:r>
              <w:rPr>
                <w:rFonts w:ascii="Arial" w:cs="Arial" w:eastAsia="Yu Gothic" w:hAnsi="Arial"/>
                <w:b/>
                <w:bCs/>
                <w:color w:val="FFFFFF"/>
                <w:sz w:val="16"/>
                <w:szCs w:val="16"/>
              </w:rPr>
              <w:t xml:space="preserve">判定</w:t>
            </w:r>
          </w:p>
        </w:tc>
      </w:tr>
      <w:tr>
        <w:trPr>
          <w:cantSplit/>
          <w:tblHeader w:val="false"/>
        </w:trPr>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「規模が小さいから対象外」がゼロ</w:t>
            </w:r>
          </w:p>
        </w:tc>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合格(P8 AI Database は保留+必要調査を明記、M14 で評価)</w:t>
            </w:r>
          </w:p>
        </w:tc>
      </w:tr>
      <w:tr>
        <w:trPr>
          <w:cantSplit/>
          <w:tblHeader w:val="false"/>
        </w:trPr>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言語規律(日本語で完結、英語引用は和訳主体、略語は初出で定義、原因は2層以上)</w:t>
            </w:r>
          </w:p>
        </w:tc>
        <w:tc>
          <w:tcPr>
            <w:tcW w:type="dxa" w:w="4953"/>
            <w:tcBorders>
              <w:top w:val="single" w:color="A6B4C4" w:sz="4"/>
              <w:left w:val="single" w:color="A6B4C4" w:sz="4"/>
              <w:bottom w:val="single" w:color="A6B4C4" w:sz="4"/>
              <w:right w:val="single" w:color="A6B4C4" w:sz="4"/>
            </w:tcBorders>
            <w:tcMar>
              <w:top w:type="dxa" w:w="40"/>
              <w:left w:type="dxa" w:w="70"/>
              <w:bottom w:type="dxa" w:w="40"/>
              <w:right w:type="dxa" w:w="70"/>
            </w:tcMar>
            <w:vAlign w:val="center"/>
          </w:tcPr>
          <w:p>
            <w:pPr>
              <w:spacing w:after="0" w:before="0" w:line="252"/>
            </w:pPr>
            <w:r>
              <w:rPr>
                <w:rFonts w:ascii="Arial" w:cs="Arial" w:eastAsia="Yu Gothic" w:hAnsi="Arial"/>
                <w:color w:val="222222"/>
                <w:sz w:val="16"/>
                <w:szCs w:val="16"/>
              </w:rPr>
              <w:t xml:space="preserve">合格</w:t>
            </w:r>
          </w:p>
        </w:tc>
      </w:tr>
    </w:tbl>
    <w:p>
      <w:pPr>
        <w:spacing w:after="80"/>
      </w:pPr>
    </w:p>
    <w:p>
      <w:pPr>
        <w:pStyle w:val="Heading1"/>
      </w:pPr>
      <w:r>
        <w:rPr>
          <w:rFonts w:ascii="Arial" w:cs="Arial" w:eastAsia="Yu Gothic" w:hAnsi="Arial"/>
        </w:rPr>
        <w:t xml:space="preserve">出典一覧(主要なもの。取得日はすべて 2026-10-11。数値は検索要約経由)</w:t>
      </w:r>
    </w:p>
    <w:p>
      <w:pPr>
        <w:spacing w:after="120" w:line="300"/>
      </w:pPr>
      <w:r>
        <w:rPr>
          <w:rFonts w:ascii="Arial" w:cs="Arial" w:eastAsia="Yu Gothic" w:hAnsi="Arial"/>
          <w:b/>
          <w:bCs/>
          <w:sz w:val="20"/>
          <w:szCs w:val="20"/>
        </w:rPr>
        <w:t xml:space="preserve">会社開示(Tier 1)</w:t>
      </w:r>
    </w:p>
    <w:p>
      <w:pPr>
        <w:pStyle w:val="ListParagraph"/>
        <w:numPr>
          <w:ilvl w:val="0"/>
          <w:numId w:val="3"/>
        </w:numPr>
        <w:spacing w:after="40" w:line="290"/>
      </w:pPr>
      <w:r>
        <w:rPr>
          <w:rFonts w:ascii="Arial" w:cs="Arial" w:eastAsia="Yu Gothic" w:hAnsi="Arial"/>
          <w:sz w:val="20"/>
          <w:szCs w:val="20"/>
        </w:rPr>
        <w:t xml:space="preserve">Oracle Q1 FY27 決算プレスリリース(2026-09-10): https://www.oracle.com/news/announcement/q1fy27-earnings-release-2026-09-10/</w:t>
      </w:r>
    </w:p>
    <w:p>
      <w:pPr>
        <w:pStyle w:val="ListParagraph"/>
        <w:numPr>
          <w:ilvl w:val="0"/>
          <w:numId w:val="3"/>
        </w:numPr>
        <w:spacing w:after="40" w:line="290"/>
      </w:pPr>
      <w:r>
        <w:rPr>
          <w:rFonts w:ascii="Arial" w:cs="Arial" w:eastAsia="Yu Gothic" w:hAnsi="Arial"/>
          <w:sz w:val="20"/>
          <w:szCs w:val="20"/>
        </w:rPr>
        <w:t xml:space="preserve">Oracle Q1 FY27 決算スライド: https://s23.q4cdn.com/440135859/files/content_files/Q1-FY27-Oracle-Earnings-Slides.pdf</w:t>
      </w:r>
    </w:p>
    <w:p>
      <w:pPr>
        <w:pStyle w:val="ListParagraph"/>
        <w:numPr>
          <w:ilvl w:val="0"/>
          <w:numId w:val="3"/>
        </w:numPr>
        <w:spacing w:after="40" w:line="290"/>
      </w:pPr>
      <w:r>
        <w:rPr>
          <w:rFonts w:ascii="Arial" w:cs="Arial" w:eastAsia="Yu Gothic" w:hAnsi="Arial"/>
          <w:sz w:val="20"/>
          <w:szCs w:val="20"/>
        </w:rPr>
        <w:t xml:space="preserve">Oracle 10-Q(2026-08-31 終了四半期): https://www.sec.gov/Archives/edgar/data/0001341439/000119312526389274/orcl-20260831.htm</w:t>
      </w:r>
    </w:p>
    <w:p>
      <w:pPr>
        <w:pStyle w:val="ListParagraph"/>
        <w:numPr>
          <w:ilvl w:val="0"/>
          <w:numId w:val="3"/>
        </w:numPr>
        <w:spacing w:after="40" w:line="290"/>
      </w:pPr>
      <w:r>
        <w:rPr>
          <w:rFonts w:ascii="Arial" w:cs="Arial" w:eastAsia="Yu Gothic" w:hAnsi="Arial"/>
          <w:sz w:val="20"/>
          <w:szCs w:val="20"/>
        </w:rPr>
        <w:t xml:space="preserve">Oracle FY2026 10-K: https://www.sec.gov/Archives/edgar/data/0001341439/000119312526277521/orcl-20260531.htm</w:t>
      </w:r>
    </w:p>
    <w:p>
      <w:pPr>
        <w:pStyle w:val="ListParagraph"/>
        <w:numPr>
          <w:ilvl w:val="0"/>
          <w:numId w:val="3"/>
        </w:numPr>
        <w:spacing w:after="40" w:line="290"/>
      </w:pPr>
      <w:r>
        <w:rPr>
          <w:rFonts w:ascii="Arial" w:cs="Arial" w:eastAsia="Yu Gothic" w:hAnsi="Arial"/>
          <w:sz w:val="20"/>
          <w:szCs w:val="20"/>
        </w:rPr>
        <w:t xml:space="preserve">Oracle FY2025 10-K: https://www.sec.gov/Archives/edgar/data/1341439/000095017025087926/orcl-20250531.htm</w:t>
      </w:r>
    </w:p>
    <w:p>
      <w:pPr>
        <w:pStyle w:val="ListParagraph"/>
        <w:numPr>
          <w:ilvl w:val="0"/>
          <w:numId w:val="3"/>
        </w:numPr>
        <w:spacing w:after="40" w:line="290"/>
      </w:pPr>
      <w:r>
        <w:rPr>
          <w:rFonts w:ascii="Arial" w:cs="Arial" w:eastAsia="Yu Gothic" w:hAnsi="Arial"/>
          <w:sz w:val="20"/>
          <w:szCs w:val="20"/>
        </w:rPr>
        <w:t xml:space="preserve">Oracle Q4 FY26 決算プレスリリース(2026-06-10): https://www.oracle.com/news/announcement/q4fy26-earnings-release-2026-06-10/</w:t>
      </w:r>
    </w:p>
    <w:p>
      <w:pPr>
        <w:pStyle w:val="ListParagraph"/>
        <w:numPr>
          <w:ilvl w:val="0"/>
          <w:numId w:val="3"/>
        </w:numPr>
        <w:spacing w:after="40" w:line="290"/>
      </w:pPr>
      <w:r>
        <w:rPr>
          <w:rFonts w:ascii="Arial" w:cs="Arial" w:eastAsia="Yu Gothic" w:hAnsi="Arial"/>
          <w:sz w:val="20"/>
          <w:szCs w:val="20"/>
        </w:rPr>
        <w:t xml:space="preserve">Oracle Q3 FY26 決算プレスリリース(2026-03-10): https://www.oracle.com/news/announcement/q3fy26-earnings-release-2026-03-10/</w:t>
      </w:r>
    </w:p>
    <w:p>
      <w:pPr>
        <w:pStyle w:val="ListParagraph"/>
        <w:numPr>
          <w:ilvl w:val="0"/>
          <w:numId w:val="3"/>
        </w:numPr>
        <w:spacing w:after="40" w:line="290"/>
      </w:pPr>
      <w:r>
        <w:rPr>
          <w:rFonts w:ascii="Arial" w:cs="Arial" w:eastAsia="Yu Gothic" w:hAnsi="Arial"/>
          <w:sz w:val="20"/>
          <w:szCs w:val="20"/>
        </w:rPr>
        <w:t xml:space="preserve">Oracle Q2 FY26 決算プレスリリース(2025-12-10): https://www.oracle.com/news/announcement/q2fy26-earnings-release-2025-12-10/</w:t>
      </w:r>
    </w:p>
    <w:p>
      <w:pPr>
        <w:pStyle w:val="ListParagraph"/>
        <w:numPr>
          <w:ilvl w:val="0"/>
          <w:numId w:val="3"/>
        </w:numPr>
        <w:spacing w:after="40" w:line="290"/>
      </w:pPr>
      <w:r>
        <w:rPr>
          <w:rFonts w:ascii="Arial" w:cs="Arial" w:eastAsia="Yu Gothic" w:hAnsi="Arial"/>
          <w:sz w:val="20"/>
          <w:szCs w:val="20"/>
        </w:rPr>
        <w:t xml:space="preserve">Oracle Financial Analyst Meeting 2025: https://www.oracle.com/events/financial-analyst-meeting-2025/</w:t>
      </w:r>
    </w:p>
    <w:p>
      <w:pPr>
        <w:pStyle w:val="ListParagraph"/>
        <w:numPr>
          <w:ilvl w:val="0"/>
          <w:numId w:val="3"/>
        </w:numPr>
        <w:spacing w:after="40" w:line="290"/>
      </w:pPr>
      <w:r>
        <w:rPr>
          <w:rFonts w:ascii="Arial" w:cs="Arial" w:eastAsia="Yu Gothic" w:hAnsi="Arial"/>
          <w:sz w:val="20"/>
          <w:szCs w:val="20"/>
        </w:rPr>
        <w:t xml:space="preserve">決算説明会の書き起こし Q1 FY27(Motley Fool): https://www.fool.com/earnings/call-transcripts/2026/09/11/oracle-orcl-q1-2027-earnings-call-transcript/</w:t>
      </w:r>
    </w:p>
    <w:p>
      <w:pPr>
        <w:spacing w:after="120" w:line="300"/>
      </w:pPr>
      <w:r>
        <w:rPr>
          <w:rFonts w:ascii="Arial" w:cs="Arial" w:eastAsia="Yu Gothic" w:hAnsi="Arial"/>
          <w:b/>
          <w:bCs/>
          <w:sz w:val="20"/>
          <w:szCs w:val="20"/>
        </w:rPr>
        <w:t xml:space="preserve">報道・アナリスト・格付け(Tier 2〜3)</w:t>
      </w:r>
    </w:p>
    <w:p>
      <w:pPr>
        <w:pStyle w:val="ListParagraph"/>
        <w:numPr>
          <w:ilvl w:val="0"/>
          <w:numId w:val="3"/>
        </w:numPr>
        <w:spacing w:after="40" w:line="290"/>
      </w:pPr>
      <w:r>
        <w:rPr>
          <w:rFonts w:ascii="Arial" w:cs="Arial" w:eastAsia="Yu Gothic" w:hAnsi="Arial"/>
          <w:sz w:val="20"/>
          <w:szCs w:val="20"/>
        </w:rPr>
        <w:t xml:space="preserve">Reuters(Analyst Meeting、$1,660億目標): https://de.tradingview.com/news/reuters.com%2C2025%3Anewsml_L6N3VX11P%3A0-oracle-expects-cloud-sales-of-166-billion-by-2030-as-business-expands</w:t>
      </w:r>
    </w:p>
    <w:p>
      <w:pPr>
        <w:pStyle w:val="ListParagraph"/>
        <w:numPr>
          <w:ilvl w:val="0"/>
          <w:numId w:val="3"/>
        </w:numPr>
        <w:spacing w:after="40" w:line="290"/>
      </w:pPr>
      <w:r>
        <w:rPr>
          <w:rFonts w:ascii="Arial" w:cs="Arial" w:eastAsia="Yu Gothic" w:hAnsi="Arial"/>
          <w:sz w:val="20"/>
          <w:szCs w:val="20"/>
        </w:rPr>
        <w:t xml:space="preserve">Constellation Research(Q1 FY27、更新 +20% の引用): https://www.constellationr.com/insights/news/oracle-q1-strong-and-so-capital-expenditures</w:t>
      </w:r>
    </w:p>
    <w:p>
      <w:pPr>
        <w:pStyle w:val="ListParagraph"/>
        <w:numPr>
          <w:ilvl w:val="0"/>
          <w:numId w:val="3"/>
        </w:numPr>
        <w:spacing w:after="40" w:line="290"/>
      </w:pPr>
      <w:r>
        <w:rPr>
          <w:rFonts w:ascii="Arial" w:cs="Arial" w:eastAsia="Yu Gothic" w:hAnsi="Arial"/>
          <w:sz w:val="20"/>
          <w:szCs w:val="20"/>
        </w:rPr>
        <w:t xml:space="preserve">DatacenterDynamics(Q1 FY27 に GPU 30万基を納入): https://www.datacenterdynamics.com/en/news/oracle-delivered-300000-gpus-in-q1-fy2027/</w:t>
      </w:r>
    </w:p>
    <w:p>
      <w:pPr>
        <w:pStyle w:val="ListParagraph"/>
        <w:numPr>
          <w:ilvl w:val="0"/>
          <w:numId w:val="3"/>
        </w:numPr>
        <w:spacing w:after="40" w:line="290"/>
      </w:pPr>
      <w:r>
        <w:rPr>
          <w:rFonts w:ascii="Arial" w:cs="Arial" w:eastAsia="Yu Gothic" w:hAnsi="Arial"/>
          <w:sz w:val="20"/>
          <w:szCs w:val="20"/>
        </w:rPr>
        <w:t xml:space="preserve">Seeking Alpha(Q3 FY26 の粗利率 32%): https://seekingalpha.com/news/4562986-oracle-targets-rapid-ai-infrastructure-expansion-with-553b-rpo-and-32-percent-gross-margin-in</w:t>
      </w:r>
    </w:p>
    <w:p>
      <w:pPr>
        <w:pStyle w:val="ListParagraph"/>
        <w:numPr>
          <w:ilvl w:val="0"/>
          <w:numId w:val="3"/>
        </w:numPr>
        <w:spacing w:after="40" w:line="290"/>
      </w:pPr>
      <w:r>
        <w:rPr>
          <w:rFonts w:ascii="Arial" w:cs="Arial" w:eastAsia="Yu Gothic" w:hAnsi="Arial"/>
          <w:sz w:val="20"/>
          <w:szCs w:val="20"/>
        </w:rPr>
        <w:t xml:space="preserve">S&amp;P 格下げ(PPC Land): https://ppc.land/s-p-cuts-oracle-to-bbb-as-ai-buildout-widens-cash-deficit-to-42bn/</w:t>
      </w:r>
    </w:p>
    <w:p>
      <w:pPr>
        <w:pStyle w:val="ListParagraph"/>
        <w:numPr>
          <w:ilvl w:val="0"/>
          <w:numId w:val="3"/>
        </w:numPr>
        <w:spacing w:after="40" w:line="290"/>
      </w:pPr>
      <w:r>
        <w:rPr>
          <w:rFonts w:ascii="Arial" w:cs="Arial" w:eastAsia="Yu Gothic" w:hAnsi="Arial"/>
          <w:sz w:val="20"/>
          <w:szCs w:val="20"/>
        </w:rPr>
        <w:t xml:space="preserve">Reuters(ニューメキシコの不可抗力通知、CTV News 転載): https://www.ctvnews.ca/business/article/oracle-triggers-force-majeure-on-data-centre-project-over-power-delays-source-says/</w:t>
      </w:r>
    </w:p>
    <w:p>
      <w:pPr>
        <w:pStyle w:val="ListParagraph"/>
        <w:numPr>
          <w:ilvl w:val="0"/>
          <w:numId w:val="3"/>
        </w:numPr>
        <w:spacing w:after="40" w:line="290"/>
      </w:pPr>
      <w:r>
        <w:rPr>
          <w:rFonts w:ascii="Arial" w:cs="Arial" w:eastAsia="Yu Gothic" w:hAnsi="Arial"/>
          <w:sz w:val="20"/>
          <w:szCs w:val="20"/>
        </w:rPr>
        <w:t xml:space="preserve">Reuters(リース負担 $1兆、The Star 転載): https://www.thestar.com.my/tech/tech-news/2026/08/05/ai-data-centre-race-builds-1-trillion-lease-burden-for-big-tech</w:t>
      </w:r>
    </w:p>
    <w:p>
      <w:pPr>
        <w:pStyle w:val="ListParagraph"/>
        <w:numPr>
          <w:ilvl w:val="0"/>
          <w:numId w:val="3"/>
        </w:numPr>
        <w:spacing w:after="40" w:line="290"/>
      </w:pPr>
      <w:r>
        <w:rPr>
          <w:rFonts w:ascii="Arial" w:cs="Arial" w:eastAsia="Yu Gothic" w:hAnsi="Arial"/>
          <w:sz w:val="20"/>
          <w:szCs w:val="20"/>
        </w:rPr>
        <w:t xml:space="preserve">CNBC(2001年以来最悪の週、2026-06-26): https://www.cnbc.com/2026/06/26/oracle-stock-ends-worst-week-since-2001-as-investors-dwell-on-finances.html</w:t>
      </w:r>
    </w:p>
    <w:p>
      <w:pPr>
        <w:pStyle w:val="ListParagraph"/>
        <w:numPr>
          <w:ilvl w:val="0"/>
          <w:numId w:val="3"/>
        </w:numPr>
        <w:spacing w:after="40" w:line="290"/>
      </w:pPr>
      <w:r>
        <w:rPr>
          <w:rFonts w:ascii="Arial" w:cs="Arial" w:eastAsia="Yu Gothic" w:hAnsi="Arial"/>
          <w:sz w:val="20"/>
          <w:szCs w:val="20"/>
        </w:rPr>
        <w:t xml:space="preserve">Benzinga(Q1 後のアナリスト修正): https://www.benzinga.com/analyst-stock-ratings/price-target/26/09/61739498/these-analysts-revise-their-forecasts-on-oracle-after-q1-results</w:t>
      </w:r>
    </w:p>
    <w:p>
      <w:pPr>
        <w:pStyle w:val="ListParagraph"/>
        <w:numPr>
          <w:ilvl w:val="0"/>
          <w:numId w:val="3"/>
        </w:numPr>
        <w:spacing w:after="40" w:line="290"/>
      </w:pPr>
      <w:r>
        <w:rPr>
          <w:rFonts w:ascii="Arial" w:cs="Arial" w:eastAsia="Yu Gothic" w:hAnsi="Arial"/>
          <w:sz w:val="20"/>
          <w:szCs w:val="20"/>
        </w:rPr>
        <w:t xml:space="preserve">TechFlow(JPMorgan のノート): https://www.techflowpost.com/en-US/newsletter/136110</w:t>
      </w:r>
    </w:p>
    <w:p>
      <w:pPr>
        <w:pStyle w:val="ListParagraph"/>
        <w:numPr>
          <w:ilvl w:val="0"/>
          <w:numId w:val="3"/>
        </w:numPr>
        <w:spacing w:after="40" w:line="290"/>
      </w:pPr>
      <w:r>
        <w:rPr>
          <w:rFonts w:ascii="Arial" w:cs="Arial" w:eastAsia="Yu Gothic" w:hAnsi="Arial"/>
          <w:sz w:val="20"/>
          <w:szCs w:val="20"/>
        </w:rPr>
        <w:t xml:space="preserve">Stocktwits(Barclays「成長は変曲点を越えた」): https://stocktwits.com/news-articles/markets/equity/oracle-stock-rebounds-barclays-growth-inflected/cZtXhI4RBG</w:t>
      </w:r>
    </w:p>
    <w:p>
      <w:pPr>
        <w:pStyle w:val="ListParagraph"/>
        <w:numPr>
          <w:ilvl w:val="0"/>
          <w:numId w:val="3"/>
        </w:numPr>
        <w:spacing w:after="40" w:line="290"/>
      </w:pPr>
      <w:r>
        <w:rPr>
          <w:rFonts w:ascii="Arial" w:cs="Arial" w:eastAsia="Yu Gothic" w:hAnsi="Arial"/>
          <w:sz w:val="20"/>
          <w:szCs w:val="20"/>
        </w:rPr>
        <w:t xml:space="preserve">TipRanks / TheFly(Redburn の Sell 開始): https://www.tipranks.com/news/the-fly/oracle-initiated-with-a-sell-at-rothschild-co-redburn-thefly</w:t>
      </w:r>
    </w:p>
    <w:p>
      <w:pPr>
        <w:pStyle w:val="ListParagraph"/>
        <w:numPr>
          <w:ilvl w:val="0"/>
          <w:numId w:val="3"/>
        </w:numPr>
        <w:spacing w:after="40" w:line="290"/>
      </w:pPr>
      <w:r>
        <w:rPr>
          <w:rFonts w:ascii="Arial" w:cs="Arial" w:eastAsia="Yu Gothic" w:hAnsi="Arial"/>
          <w:sz w:val="20"/>
          <w:szCs w:val="20"/>
        </w:rPr>
        <w:t xml:space="preserve">TipRanks(Burry の減価償却の主張): https://www.tipranks.com/news/michael-burry-sounds-alarm-on-176b-depreciation-gap-among-tech-giants</w:t>
      </w:r>
    </w:p>
    <w:p>
      <w:pPr>
        <w:pStyle w:val="ListParagraph"/>
        <w:numPr>
          <w:ilvl w:val="0"/>
          <w:numId w:val="3"/>
        </w:numPr>
        <w:spacing w:after="40" w:line="290"/>
      </w:pPr>
      <w:r>
        <w:rPr>
          <w:rFonts w:ascii="Arial" w:cs="Arial" w:eastAsia="Yu Gothic" w:hAnsi="Arial"/>
          <w:sz w:val="20"/>
          <w:szCs w:val="20"/>
        </w:rPr>
        <w:t xml:space="preserve">Sherwood(The Information 報道の転載): https://sherwood.news/markets/oracle-tumbles-after-report-that-its-lost-nearly-usd100-million-from-renting</w:t>
      </w:r>
    </w:p>
    <w:p>
      <w:pPr>
        <w:pStyle w:val="ListParagraph"/>
        <w:numPr>
          <w:ilvl w:val="0"/>
          <w:numId w:val="3"/>
        </w:numPr>
        <w:spacing w:after="40" w:line="290"/>
      </w:pPr>
      <w:r>
        <w:rPr>
          <w:rFonts w:ascii="Arial" w:cs="Arial" w:eastAsia="Yu Gothic" w:hAnsi="Arial"/>
          <w:sz w:val="20"/>
          <w:szCs w:val="20"/>
        </w:rPr>
        <w:t xml:space="preserve">TipRanks(2026-10-08 の下落、OpenAI 売上報道): https://www.tipranks.com/news/why-oracle-stock-orcl-is-sinking-today-october-8-2026</w:t>
      </w:r>
    </w:p>
    <w:p>
      <w:pPr>
        <w:pStyle w:val="ListParagraph"/>
        <w:numPr>
          <w:ilvl w:val="0"/>
          <w:numId w:val="3"/>
        </w:numPr>
        <w:spacing w:after="40" w:line="290"/>
      </w:pPr>
      <w:r>
        <w:rPr>
          <w:rFonts w:ascii="Arial" w:cs="Arial" w:eastAsia="Yu Gothic" w:hAnsi="Arial"/>
          <w:sz w:val="20"/>
          <w:szCs w:val="20"/>
        </w:rPr>
        <w:t xml:space="preserve">MarketBeat(コンセンサス目標 $251.72、2026-10-10): https://www.marketbeat.com/instant-alerts/consensus-oracle-corporation-nyse-orcl-stock-has-consensus-price-target-of-25172-according-to-analysts-2026-10-10/</w:t>
      </w:r>
    </w:p>
    <w:p>
      <w:pPr>
        <w:pStyle w:val="ListParagraph"/>
        <w:numPr>
          <w:ilvl w:val="0"/>
          <w:numId w:val="3"/>
        </w:numPr>
        <w:spacing w:after="40" w:line="290"/>
      </w:pPr>
      <w:r>
        <w:rPr>
          <w:rFonts w:ascii="Arial" w:cs="Arial" w:eastAsia="Yu Gothic" w:hAnsi="Arial"/>
          <w:sz w:val="20"/>
          <w:szCs w:val="20"/>
        </w:rPr>
        <w:t xml:space="preserve">MarketBeat(株価 2026-10-09): https://marketbeat.com/instant-alerts/price-oracle-nyse-orcl-shares-up-43-whats-next-2026-10-09</w:t>
      </w:r>
    </w:p>
    <w:p>
      <w:pPr>
        <w:pStyle w:val="ListParagraph"/>
        <w:numPr>
          <w:ilvl w:val="0"/>
          <w:numId w:val="3"/>
        </w:numPr>
        <w:spacing w:after="40" w:line="290"/>
      </w:pPr>
      <w:r>
        <w:rPr>
          <w:rFonts w:ascii="Arial" w:cs="Arial" w:eastAsia="Yu Gothic" w:hAnsi="Arial"/>
          <w:sz w:val="20"/>
          <w:szCs w:val="20"/>
        </w:rPr>
        <w:t xml:space="preserve">CreditSights(10-Q のリース): https://know.creditsights.com/insights/oracle-10q-cut-248-bn-lease-commits/</w:t>
      </w:r>
    </w:p>
    <w:p>
      <w:pPr>
        <w:pStyle w:val="ListParagraph"/>
        <w:numPr>
          <w:ilvl w:val="0"/>
          <w:numId w:val="3"/>
        </w:numPr>
        <w:spacing w:after="40" w:line="290"/>
      </w:pPr>
      <w:r>
        <w:rPr>
          <w:rFonts w:ascii="Arial" w:cs="Arial" w:eastAsia="Yu Gothic" w:hAnsi="Arial"/>
          <w:sz w:val="20"/>
          <w:szCs w:val="20"/>
        </w:rPr>
        <w:t xml:space="preserve">Epoch AI(Stargate 拠点の状況): https://epoch.ai/publications/openai-stargate-where-the-us-sites-stand</w:t>
      </w:r>
    </w:p>
    <w:p>
      <w:pPr>
        <w:spacing w:after="120" w:line="300"/>
      </w:pPr>
      <w:r>
        <w:rPr>
          <w:rFonts w:ascii="Arial" w:cs="Arial" w:eastAsia="Yu Gothic" w:hAnsi="Arial"/>
          <w:b/>
          <w:bCs/>
          <w:sz w:val="20"/>
          <w:szCs w:val="20"/>
        </w:rPr>
        <w:t xml:space="preserve">業界データ・一次情報(Tier 3〜4)</w:t>
      </w:r>
    </w:p>
    <w:p>
      <w:pPr>
        <w:pStyle w:val="ListParagraph"/>
        <w:numPr>
          <w:ilvl w:val="0"/>
          <w:numId w:val="3"/>
        </w:numPr>
        <w:spacing w:after="40" w:line="290"/>
      </w:pPr>
      <w:r>
        <w:rPr>
          <w:rFonts w:ascii="Arial" w:cs="Arial" w:eastAsia="Yu Gothic" w:hAnsi="Arial"/>
          <w:sz w:val="20"/>
          <w:szCs w:val="20"/>
        </w:rPr>
        <w:t xml:space="preserve">Silicon Data H100 指数: https://www.silicondata.com/products/silicon-index/h100</w:t>
      </w:r>
    </w:p>
    <w:p>
      <w:pPr>
        <w:pStyle w:val="ListParagraph"/>
        <w:numPr>
          <w:ilvl w:val="0"/>
          <w:numId w:val="3"/>
        </w:numPr>
        <w:spacing w:after="40" w:line="290"/>
      </w:pPr>
      <w:r>
        <w:rPr>
          <w:rFonts w:ascii="Arial" w:cs="Arial" w:eastAsia="Yu Gothic" w:hAnsi="Arial"/>
          <w:sz w:val="20"/>
          <w:szCs w:val="20"/>
        </w:rPr>
        <w:t xml:space="preserve">Silicon Data H200 対 H100(2026年5〜7月): https://www.silicondata.com/blog/h200-vs-h100-rental-prices-may-july-2026</w:t>
      </w:r>
    </w:p>
    <w:p>
      <w:pPr>
        <w:pStyle w:val="ListParagraph"/>
        <w:numPr>
          <w:ilvl w:val="0"/>
          <w:numId w:val="3"/>
        </w:numPr>
        <w:spacing w:after="40" w:line="290"/>
      </w:pPr>
      <w:r>
        <w:rPr>
          <w:rFonts w:ascii="Arial" w:cs="Arial" w:eastAsia="Yu Gothic" w:hAnsi="Arial"/>
          <w:sz w:val="20"/>
          <w:szCs w:val="20"/>
        </w:rPr>
        <w:t xml:space="preserve">SemiAnalysis(H100 1年契約指数): https://newsletter.semianalysis.com/p/the-great-gpu-shortage-rental-capacity</w:t>
      </w:r>
    </w:p>
    <w:p>
      <w:pPr>
        <w:pStyle w:val="ListParagraph"/>
        <w:numPr>
          <w:ilvl w:val="0"/>
          <w:numId w:val="3"/>
        </w:numPr>
        <w:spacing w:after="40" w:line="290"/>
      </w:pPr>
      <w:r>
        <w:rPr>
          <w:rFonts w:ascii="Arial" w:cs="Arial" w:eastAsia="Yu Gothic" w:hAnsi="Arial"/>
          <w:sz w:val="20"/>
          <w:szCs w:val="20"/>
        </w:rPr>
        <w:t xml:space="preserve">CoreWeave IR(高い価格での新規契約): https://investors.coreweave.com/news/news-details/2026/CoreWeave-Continues-to-Contract-New-Compute-Capacity-at-Higher-Prices/default.aspx</w:t>
      </w:r>
    </w:p>
    <w:p>
      <w:pPr>
        <w:pStyle w:val="ListParagraph"/>
        <w:numPr>
          <w:ilvl w:val="0"/>
          <w:numId w:val="3"/>
        </w:numPr>
        <w:spacing w:after="40" w:line="290"/>
      </w:pPr>
      <w:r>
        <w:rPr>
          <w:rFonts w:ascii="Arial" w:cs="Arial" w:eastAsia="Yu Gothic" w:hAnsi="Arial"/>
          <w:sz w:val="20"/>
          <w:szCs w:val="20"/>
        </w:rPr>
        <w:t xml:space="preserve">ICE・Ornn の GPU 先物: https://finance.yahoo.com/markets/options/articles/ice-ornn-launch-gpu-compute-142609556.html</w:t>
      </w:r>
    </w:p>
    <w:p>
      <w:pPr>
        <w:pStyle w:val="ListParagraph"/>
        <w:numPr>
          <w:ilvl w:val="0"/>
          <w:numId w:val="3"/>
        </w:numPr>
        <w:spacing w:after="40" w:line="290"/>
      </w:pPr>
      <w:r>
        <w:rPr>
          <w:rFonts w:ascii="Arial" w:cs="Arial" w:eastAsia="Yu Gothic" w:hAnsi="Arial"/>
          <w:sz w:val="20"/>
          <w:szCs w:val="20"/>
        </w:rPr>
        <w:t xml:space="preserve">Servnet(中古 H100 の価格): https://www.servnetuk.com/insights/used-hopper-h100-h200-buy-second-hand-2026</w:t>
      </w:r>
    </w:p>
    <w:p>
      <w:pPr>
        <w:spacing w:after="120" w:line="300"/>
      </w:pPr>
      <w:r>
        <w:rPr>
          <w:rFonts w:ascii="Arial" w:cs="Arial" w:eastAsia="Yu Gothic" w:hAnsi="Arial"/>
          <w:b/>
          <w:bCs/>
          <w:sz w:val="20"/>
          <w:szCs w:val="20"/>
        </w:rPr>
        <w:t xml:space="preserve">コンセンサス・市場データ</w:t>
      </w:r>
    </w:p>
    <w:p>
      <w:pPr>
        <w:pStyle w:val="ListParagraph"/>
        <w:numPr>
          <w:ilvl w:val="0"/>
          <w:numId w:val="3"/>
        </w:numPr>
        <w:spacing w:after="40" w:line="290"/>
      </w:pPr>
      <w:r>
        <w:rPr>
          <w:rFonts w:ascii="Arial" w:cs="Arial" w:eastAsia="Yu Gothic" w:hAnsi="Arial"/>
          <w:sz w:val="20"/>
          <w:szCs w:val="20"/>
        </w:rPr>
        <w:t xml:space="preserve">TickFlow: https://www.tickflow.io/stock/ORCL/forecast</w:t>
      </w:r>
    </w:p>
    <w:p>
      <w:pPr>
        <w:pStyle w:val="ListParagraph"/>
        <w:numPr>
          <w:ilvl w:val="0"/>
          <w:numId w:val="3"/>
        </w:numPr>
        <w:spacing w:after="40" w:line="290"/>
      </w:pPr>
      <w:r>
        <w:rPr>
          <w:rFonts w:ascii="Arial" w:cs="Arial" w:eastAsia="Yu Gothic" w:hAnsi="Arial"/>
          <w:sz w:val="20"/>
          <w:szCs w:val="20"/>
        </w:rPr>
        <w:t xml:space="preserve">tickerleague: https://tickerleague.com/companies/ORCL/price-target</w:t>
      </w:r>
    </w:p>
    <w:p>
      <w:pPr>
        <w:pStyle w:val="ListParagraph"/>
        <w:numPr>
          <w:ilvl w:val="0"/>
          <w:numId w:val="3"/>
        </w:numPr>
        <w:spacing w:after="40" w:line="290"/>
      </w:pPr>
      <w:r>
        <w:rPr>
          <w:rFonts w:ascii="Arial" w:cs="Arial" w:eastAsia="Yu Gothic" w:hAnsi="Arial"/>
          <w:sz w:val="20"/>
          <w:szCs w:val="20"/>
        </w:rPr>
        <w:t xml:space="preserve">Yahoo Finance(分析): https://finance.yahoo.com/quote/ORCL-PD/analysis/</w:t>
      </w:r>
    </w:p>
    <w:p>
      <w:pPr>
        <w:pBdr>
          <w:left w:val="single" w:color="2E5C8A" w:sz="24" w:space="8"/>
        </w:pBdr>
        <w:shd w:fill="F3F6FA" w:color="auto" w:val="clear"/>
        <w:spacing w:after="160" w:before="80" w:line="300"/>
        <w:ind w:left="160" w:right="120"/>
      </w:pPr>
      <w:r>
        <w:rPr>
          <w:rFonts w:ascii="Arial" w:cs="Arial" w:eastAsia="Yu Gothic" w:hAnsi="Arial"/>
          <w:sz w:val="20"/>
          <w:szCs w:val="20"/>
        </w:rPr>
        <w:t xml:space="preserve">この報告書から BCG 級のパワーポイントを作る場合は、bcg-slide-method スキルで作成できる(表現の仕方は同スキルが正)。図表と T 型・R 型の対応は Appendix C に示した。</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Yu Gothic" w:hAnsi="Arial"/>
        <w:color w:val="5A6B7D"/>
        <w:sz w:val="16"/>
        <w:szCs w:val="16"/>
      </w:rPr>
      <w:fldChar w:fldCharType="begin"/>
      <w:instrText xml:space="preserve">PAGE</w:instrText>
      <w:fldChar w:fldCharType="separate"/>
      <w:fldChar w:fldCharType="end"/>
    </w:r>
    <w:r>
      <w:rPr>
        <w:rFonts w:ascii="Arial" w:cs="Arial" w:eastAsia="Yu Gothic" w:hAnsi="Arial"/>
        <w:color w:val="5A6B7D"/>
        <w:sz w:val="16"/>
        <w:szCs w:val="16"/>
      </w:rPr>
      <w:t xml:space="preserve"> / </w:t>
    </w:r>
    <w:r>
      <w:rPr>
        <w:rFonts w:ascii="Arial" w:cs="Arial" w:eastAsia="Yu Gothic" w:hAnsi="Arial"/>
        <w:color w:val="5A6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Yu Gothic" w:hAnsi="Arial"/>
        <w:color w:val="5A6B7D"/>
        <w:sz w:val="15"/>
        <w:szCs w:val="15"/>
      </w:rPr>
      <w:t xml:space="preserve">Oracle(ORCL)投資判断報告書 | 2026-10-11 | 投資助言ではない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2E5C8A"/>
        <w:sz w:val="14"/>
        <w:szCs w:val="14"/>
      </w:rPr>
    </w:lvl>
    <w:lvl w:ilvl="1" w15:tentative="1">
      <w:start w:val="1"/>
      <w:numFmt w:val="bullet"/>
      <w:lvlText w:val="○"/>
      <w:lvlJc w:val="left"/>
      <w:pPr>
        <w:ind w:left="720" w:hanging="260"/>
      </w:pPr>
      <w:rPr>
        <w:color w:val="2E5C8A"/>
        <w:sz w:val="14"/>
        <w:szCs w:val="14"/>
      </w:rPr>
    </w:lvl>
    <w:lvl w:ilvl="2" w15:tentative="1">
      <w:start w:val="1"/>
      <w:numFmt w:val="bullet"/>
      <w:lvlText w:val="・"/>
      <w:lvlJc w:val="left"/>
      <w:pPr>
        <w:ind w:left="1080" w:hanging="260"/>
      </w:pPr>
      <w:rPr>
        <w:color w:val="2E5C8A"/>
        <w:sz w:val="14"/>
        <w:szCs w:val="14"/>
      </w:rPr>
    </w:lvl>
  </w:abstractNum>
  <w:abstractNum w:abstractNumId="3" w15:restartNumberingAfterBreak="0">
    <w:multiLevelType w:val="hybridMultilevel"/>
    <w:lvl w:ilvl="0" w15:tentative="1">
      <w:start w:val="1"/>
      <w:numFmt w:val="decimal"/>
      <w:lvlText w:val="%1."/>
      <w:lvlJc w:val="left"/>
      <w:pPr>
        <w:ind w:left="400" w:hanging="300"/>
      </w:pPr>
    </w:lvl>
    <w:lvl w:ilvl="1" w15:tentative="1">
      <w:start w:val="1"/>
      <w:numFmt w:val="lowerLetter"/>
      <w:lvlText w:val="%2)"/>
      <w:lvlJc w:val="left"/>
      <w:pPr>
        <w:ind w:left="7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Yu Gothic"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C8A" w:sz="6" w:space="4"/>
      </w:pBdr>
      <w:spacing w:after="160" w:before="360"/>
      <w:outlineLvl w:val="0"/>
    </w:pPr>
    <w:rPr>
      <w:rFonts w:ascii="Arial" w:cs="Arial" w:eastAsia="Yu Gothic" w:hAnsi="Arial"/>
      <w:b/>
      <w:bCs/>
      <w:color w:val="1F3A5F"/>
      <w:sz w:val="28"/>
      <w:szCs w:val="28"/>
    </w:rPr>
  </w:style>
  <w:style w:type="paragraph" w:styleId="Heading2">
    <w:name w:val="Heading 2"/>
    <w:basedOn w:val="Normal"/>
    <w:next w:val="Normal"/>
    <w:qFormat/>
    <w:pPr>
      <w:keepNext/>
      <w:spacing w:after="100" w:before="240"/>
      <w:outlineLvl w:val="1"/>
    </w:pPr>
    <w:rPr>
      <w:rFonts w:ascii="Arial" w:cs="Arial" w:eastAsia="Yu Gothic" w:hAnsi="Arial"/>
      <w:b/>
      <w:bCs/>
      <w:color w:val="2E5C8A"/>
      <w:sz w:val="23"/>
      <w:szCs w:val="23"/>
    </w:rPr>
  </w:style>
  <w:style w:type="paragraph" w:styleId="Heading3">
    <w:name w:val="Heading 3"/>
    <w:basedOn w:val="Normal"/>
    <w:next w:val="Normal"/>
    <w:qFormat/>
    <w:pPr>
      <w:keepNext/>
      <w:spacing w:after="80" w:before="180"/>
      <w:outlineLvl w:val="2"/>
    </w:pPr>
    <w:rPr>
      <w:rFonts w:ascii="Arial" w:cs="Arial" w:eastAsia="Yu Gothic"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ad3a16dfadd17254ceb5f847720bb00371fabf.png"/><Relationship Id="rId10" Type="http://schemas.openxmlformats.org/officeDocument/2006/relationships/image" Target="media/433ee8e340aea88d8245f554f30883786832d39b.png"/><Relationship Id="rId11" Type="http://schemas.openxmlformats.org/officeDocument/2006/relationships/image" Target="media/78b4d5b4395f77a2cf5a939f9b54158be7bf6900.png"/><Relationship Id="rId12" Type="http://schemas.openxmlformats.org/officeDocument/2006/relationships/image" Target="media/7d28b7ca1b76955976284327fa54526eec7c7a87.png"/><Relationship Id="rId13" Type="http://schemas.openxmlformats.org/officeDocument/2006/relationships/image" Target="media/4e7853eaf096e6dfbb16afc7be0245fc2bff75c9.png"/><Relationship Id="rId14" Type="http://schemas.openxmlformats.org/officeDocument/2006/relationships/image" Target="media/577c153e7ec0b1f3ec92676480c358cf02d2af0f.png"/><Relationship Id="rId15" Type="http://schemas.openxmlformats.org/officeDocument/2006/relationships/image" Target="media/c274743fbc6e8c68793cb45c12704ceece18f3b2.png"/><Relationship Id="rId16" Type="http://schemas.openxmlformats.org/officeDocument/2006/relationships/image" Target="media/dcf7b59cba0a2066884e5bedcbc28d253863b75c.png"/><Relationship Id="rId17" Type="http://schemas.openxmlformats.org/officeDocument/2006/relationships/image" Target="media/6fc567f2626cb45f067d14b9a79cf6fb17cc0513.png"/><Relationship Id="rId18" Type="http://schemas.openxmlformats.org/officeDocument/2006/relationships/image" Target="media/dc1735a6f0b2edafb1f7c3d6dd7fed6f3b3d27a8.png"/><Relationship Id="rId19" Type="http://schemas.openxmlformats.org/officeDocument/2006/relationships/image" Target="media/cbdb6a7891381ba4132e3efee2df0f6d75ab35f7.png"/><Relationship Id="rId20" Type="http://schemas.openxmlformats.org/officeDocument/2006/relationships/image" Target="media/a3b204f4f2c0760422733fea2635dee0f505394f.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Oracle(ORCL)投資判断報告書</dc:title>
  <dc:creator>Claude Code</dc:creator>
  <cp:lastModifiedBy>Un-named</cp:lastModifiedBy>
  <cp:revision>1</cp:revision>
  <dcterms:created xsi:type="dcterms:W3CDTF">2026-10-11T04:50:14.005Z</dcterms:created>
  <dcterms:modified xsi:type="dcterms:W3CDTF">2026-10-11T04:50:14.011Z</dcterms:modified>
</cp:coreProperties>
</file>

<file path=docProps/custom.xml><?xml version="1.0" encoding="utf-8"?>
<Properties xmlns="http://schemas.openxmlformats.org/officeDocument/2006/custom-properties" xmlns:vt="http://schemas.openxmlformats.org/officeDocument/2006/docPropsVTypes"/>
</file>