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0.12.0 -->
  <w:body>
    <w:p>
      <w:pPr>
        <w:widowControl/>
        <w:spacing w:before="0" w:after="0" w:line="560" w:lineRule="atLeast"/>
        <w:jc w:val="center"/>
        <w:rPr>
          <w:rFonts w:ascii="Calibri" w:eastAsia="Calibri" w:hAnsi="Calibri" w:cs="Calibri"/>
          <w:sz w:val="21"/>
          <w:szCs w:val="21"/>
        </w:rPr>
      </w:pPr>
      <w:r>
        <w:rPr>
          <w:rFonts w:ascii="Microsoft YaHei" w:eastAsia="Microsoft YaHei" w:hAnsi="Microsoft YaHei" w:cs="Microsoft YaHei"/>
          <w:sz w:val="32"/>
          <w:szCs w:val="32"/>
        </w:rPr>
        <w:t>implement those with a media or mobilizing function</w:t>
      </w:r>
    </w:p>
    <w:p>
      <w:pPr>
        <w:widowControl/>
        <w:spacing w:before="0" w:after="0" w:line="560" w:lineRule="atLeast"/>
        <w:jc w:val="center"/>
        <w:rPr>
          <w:rFonts w:ascii="Calibri" w:eastAsia="Calibri" w:hAnsi="Calibri" w:cs="Calibri"/>
          <w:sz w:val="21"/>
          <w:szCs w:val="21"/>
        </w:rPr>
      </w:pPr>
      <w:r>
        <w:rPr>
          <w:rFonts w:ascii="Microsoft YaHei" w:eastAsia="Microsoft YaHei" w:hAnsi="Microsoft YaHei" w:cs="Microsoft YaHei"/>
          <w:sz w:val="32"/>
          <w:szCs w:val="32"/>
        </w:rPr>
        <w:t>Internet information services security commitment</w:t>
      </w:r>
    </w:p>
    <w:p>
      <w:pPr>
        <w:widowControl w:val="0"/>
        <w:spacing w:before="0" w:after="0" w:line="560" w:lineRule="atLeast"/>
        <w:jc w:val="both"/>
        <w:rPr>
          <w:rFonts w:ascii="Calibri" w:eastAsia="Calibri" w:hAnsi="Calibri" w:cs="Calibri"/>
          <w:sz w:val="21"/>
          <w:szCs w:val="21"/>
        </w:rPr>
      </w:pPr>
      <w:r>
        <w:rPr>
          <w:rFonts w:ascii="FangSong" w:eastAsia="FangSong" w:hAnsi="FangSong" w:cs="FangSong"/>
          <w:sz w:val="32"/>
          <w:szCs w:val="32"/>
        </w:rPr>
        <w:t>Tencent App Open Platform:</w:t>
      </w:r>
    </w:p>
    <w:p>
      <w:pPr>
        <w:widowControl w:val="0"/>
        <w:spacing w:before="0" w:after="0" w:line="560" w:lineRule="atLeast"/>
        <w:ind w:firstLine="435"/>
        <w:jc w:val="both"/>
        <w:rPr>
          <w:rFonts w:ascii="Calibri" w:eastAsia="Calibri" w:hAnsi="Calibri" w:cs="Calibri"/>
          <w:sz w:val="21"/>
          <w:szCs w:val="21"/>
        </w:rPr>
      </w:pPr>
      <w:r>
        <w:rPr>
          <w:rFonts w:ascii="FangSong" w:eastAsia="FangSong" w:hAnsi="FangSong" w:cs="FangSong"/>
          <w:sz w:val="32"/>
          <w:szCs w:val="32"/>
        </w:rPr>
        <w:t>My app (app name and version) on Tencent App Open Platform is assessed under the Regulation on Assessing Apps with Public Opinions and Social Mobilization Capabilities, and in compliance with the Cybersecurity Law of the People’s Republic of China.</w:t>
      </w:r>
    </w:p>
    <w:p>
      <w:pPr>
        <w:widowControl w:val="0"/>
        <w:spacing w:before="0" w:after="0" w:line="560" w:lineRule="atLeast"/>
        <w:ind w:firstLine="435"/>
        <w:jc w:val="both"/>
        <w:rPr>
          <w:rFonts w:ascii="Calibri" w:eastAsia="Calibri" w:hAnsi="Calibri" w:cs="Calibri"/>
          <w:sz w:val="21"/>
          <w:szCs w:val="21"/>
        </w:rPr>
      </w:pPr>
      <w:r>
        <w:rPr>
          <w:rFonts w:ascii="FangSong" w:eastAsia="FangSong" w:hAnsi="FangSong" w:cs="FangSong"/>
          <w:sz w:val="32"/>
          <w:szCs w:val="32"/>
        </w:rPr>
        <w:t>It has met the following requirements:</w:t>
      </w:r>
    </w:p>
    <w:p>
      <w:pPr>
        <w:widowControl w:val="0"/>
        <w:spacing w:before="0" w:after="0" w:line="560" w:lineRule="atLeast"/>
        <w:jc w:val="both"/>
        <w:rPr>
          <w:rFonts w:ascii="Calibri" w:eastAsia="Calibri" w:hAnsi="Calibri" w:cs="Calibri"/>
          <w:sz w:val="21"/>
          <w:szCs w:val="21"/>
        </w:rPr>
      </w:pPr>
      <w:r>
        <w:rPr>
          <w:rFonts w:ascii="FangSong" w:eastAsia="FangSong" w:hAnsi="FangSong" w:cs="FangSong"/>
          <w:b/>
          <w:bCs/>
          <w:sz w:val="32"/>
          <w:szCs w:val="32"/>
        </w:rPr>
        <w:t>One is</w:t>
      </w:r>
      <w:r>
        <w:rPr>
          <w:rFonts w:ascii="FangSong" w:eastAsia="FangSong" w:hAnsi="FangSong" w:cs="FangSong"/>
          <w:sz w:val="32"/>
          <w:szCs w:val="32"/>
        </w:rPr>
        <w:t>We have designated a data protection officer, a DPO (such as Mr/Ms [Name]), responsible for ensuring compliance with data-protection requirements;</w:t>
      </w:r>
    </w:p>
    <w:p>
      <w:pPr>
        <w:widowControl w:val="0"/>
        <w:spacing w:before="0" w:after="0" w:line="560" w:lineRule="atLeast"/>
        <w:jc w:val="both"/>
        <w:rPr>
          <w:rFonts w:ascii="Calibri" w:eastAsia="Calibri" w:hAnsi="Calibri" w:cs="Calibri"/>
          <w:sz w:val="21"/>
          <w:szCs w:val="21"/>
        </w:rPr>
      </w:pPr>
      <w:r>
        <w:rPr>
          <w:rFonts w:ascii="FangSong" w:eastAsia="FangSong" w:hAnsi="FangSong" w:cs="FangSong"/>
          <w:b/>
          <w:bCs/>
          <w:sz w:val="32"/>
          <w:szCs w:val="32"/>
        </w:rPr>
        <w:t>Second,</w:t>
      </w:r>
      <w:r>
        <w:rPr>
          <w:rFonts w:ascii="FangSong" w:eastAsia="FangSong" w:hAnsi="FangSong" w:cs="FangSong"/>
          <w:sz w:val="32"/>
          <w:szCs w:val="32"/>
        </w:rPr>
        <w:t>We have implemented mobile phone plus SMS verification, user identification number and name check via the National Resident Identity Information Verification Center or an authorized body, or other verified online accounts, and we retain users’ registration information for an extended period. The retained information includes, but is not limited to, source network address, port number, timestamp, destination network address, port number, URL, verified information (ID number and name or phone number, third-party account), account, nickname, user ID (UUID), and client device characteristics.</w:t>
      </w:r>
    </w:p>
    <w:p>
      <w:pPr>
        <w:widowControl w:val="0"/>
        <w:spacing w:before="0" w:after="0" w:line="560" w:lineRule="atLeast"/>
        <w:ind w:firstLine="645"/>
        <w:jc w:val="both"/>
        <w:rPr>
          <w:rFonts w:ascii="Calibri" w:eastAsia="Calibri" w:hAnsi="Calibri" w:cs="Calibri"/>
          <w:sz w:val="21"/>
          <w:szCs w:val="21"/>
        </w:rPr>
      </w:pPr>
      <w:r>
        <w:rPr>
          <w:rFonts w:ascii="FangSong" w:eastAsia="FangSong" w:hAnsi="FangSong" w:cs="FangSong"/>
          <w:b/>
          <w:bCs/>
          <w:sz w:val="32"/>
          <w:szCs w:val="32"/>
        </w:rPr>
        <w:t>Third,</w:t>
      </w:r>
      <w:r>
        <w:rPr>
          <w:rFonts w:ascii="FangSong" w:eastAsia="FangSong" w:hAnsi="FangSong" w:cs="FangSong"/>
          <w:sz w:val="32"/>
          <w:szCs w:val="32"/>
        </w:rPr>
        <w:t>We retain users’ account information, operation time, operation type, source and destination IP addresses, source port, device characteristics of the client, and record of user-generated content for more than 6 months.</w:t>
      </w:r>
    </w:p>
    <w:p>
      <w:pPr>
        <w:widowControl w:val="0"/>
        <w:spacing w:before="0" w:after="0" w:line="560" w:lineRule="atLeast"/>
        <w:ind w:firstLine="645"/>
        <w:jc w:val="both"/>
        <w:rPr>
          <w:rFonts w:ascii="Calibri" w:eastAsia="Calibri" w:hAnsi="Calibri" w:cs="Calibri"/>
          <w:sz w:val="21"/>
          <w:szCs w:val="21"/>
        </w:rPr>
      </w:pPr>
      <w:r>
        <w:rPr>
          <w:rFonts w:ascii="FangSong" w:eastAsia="FangSong" w:hAnsi="FangSong" w:cs="FangSong"/>
          <w:b/>
          <w:bCs/>
          <w:sz w:val="32"/>
          <w:szCs w:val="32"/>
        </w:rPr>
        <w:t>fourth,</w:t>
      </w:r>
      <w:r>
        <w:rPr>
          <w:rFonts w:ascii="FangSong" w:eastAsia="FangSong" w:hAnsi="FangSong" w:cs="FangSong"/>
          <w:sz w:val="32"/>
          <w:szCs w:val="32"/>
        </w:rPr>
        <w:t>Our company / I have formulated rules and technical measures to combat illegal and harmful information. We use a combination of technical filtering and manual review to filter out illegal and harmful information in user accounts, group names, nicknames, profiles, annotations, tags, posts, forwarding, comments, and other services. When new restrictions are notified by the police or self-confirmed, they take effect within 10 minutes, covering previous account and group names, nicknames, profiles, annotations, tags, and posted content, with an effective blocking rate of 100%. We conduct regular patrols for illegal and harmful information. Any violations are handled within five minutes and original records kept in the backend.</w:t>
      </w:r>
    </w:p>
    <w:p>
      <w:pPr>
        <w:widowControl w:val="0"/>
        <w:spacing w:before="0" w:after="0" w:line="560" w:lineRule="atLeast"/>
        <w:ind w:firstLine="645"/>
        <w:jc w:val="both"/>
        <w:rPr>
          <w:rFonts w:ascii="Calibri" w:eastAsia="Calibri" w:hAnsi="Calibri" w:cs="Calibri"/>
          <w:sz w:val="21"/>
          <w:szCs w:val="21"/>
        </w:rPr>
      </w:pPr>
      <w:r>
        <w:rPr>
          <w:rFonts w:ascii="FangSong" w:eastAsia="FangSong" w:hAnsi="FangSong" w:cs="FangSong"/>
          <w:b/>
          <w:bCs/>
          <w:sz w:val="32"/>
          <w:szCs w:val="32"/>
        </w:rPr>
        <w:t>five</w:t>
      </w:r>
      <w:r>
        <w:rPr>
          <w:rFonts w:ascii="FangSong" w:eastAsia="FangSong" w:hAnsi="FangSong" w:cs="FangSong"/>
          <w:sz w:val="32"/>
          <w:szCs w:val="32"/>
        </w:rPr>
        <w:t>Our company/me has formulated protection systems covering the collection, storage, use, circulation, destruction, and reporting of personal information, as well as technical measures to support these systems. The collection and use of personal information are limited to providing services, and we do not currently collect any unnecessary personal information. We clearly disclose our rules for collecting and using such information, including the purpose, methods, and scope, and obtain user consent. For sensitive customer information, such as ID cards, mobile phones, and passwords, we have already used XXX encryption for storage. Technical measures are in place to prevent computer viruses, network attacks, and unauthorized access. Bulk access or retrieval of personal information by internal staff is prohibited, except during system migrations or when legally required to cooperate with law enforcement, which must be authorized by two or more senior managers. Personal information will only be shared with third parties with user consent, unless it has been anonymized and cannot be re-identified.</w:t>
      </w:r>
    </w:p>
    <w:p>
      <w:pPr>
        <w:widowControl w:val="0"/>
        <w:spacing w:before="0" w:after="0" w:line="560" w:lineRule="atLeast"/>
        <w:ind w:firstLine="645"/>
        <w:jc w:val="both"/>
        <w:rPr>
          <w:rFonts w:ascii="Calibri" w:eastAsia="Calibri" w:hAnsi="Calibri" w:cs="Calibri"/>
          <w:sz w:val="21"/>
          <w:szCs w:val="21"/>
        </w:rPr>
      </w:pPr>
      <w:r>
        <w:rPr>
          <w:rFonts w:ascii="FangSong" w:eastAsia="FangSong" w:hAnsi="FangSong" w:cs="FangSong"/>
          <w:b/>
          <w:bCs/>
          <w:sz w:val="32"/>
          <w:szCs w:val="32"/>
        </w:rPr>
        <w:t>sixth,</w:t>
      </w:r>
      <w:r>
        <w:rPr>
          <w:rFonts w:ascii="FangSong" w:eastAsia="FangSong" w:hAnsi="FangSong" w:cs="FangSong"/>
          <w:sz w:val="32"/>
          <w:szCs w:val="32"/>
        </w:rPr>
        <w:t>We/me have established contingency plans and technical measures to address the risks of illegal and harmful information spreading and social mobilization getting out of control; we conduct emergency response drills at least once a year; and our technical controls must include such functions as blocking specific accounts, banning new account creations, prohibiting shares, comments, and replies, limiting content from certain sources, restricting access for accounts in specific regions or with designated IP addresses, disallowing push notifications, and severing interconnections with third-party apps.</w:t>
      </w:r>
    </w:p>
    <w:p>
      <w:pPr>
        <w:widowControl w:val="0"/>
        <w:spacing w:before="0" w:after="0" w:line="560" w:lineRule="atLeast"/>
        <w:ind w:firstLine="645"/>
        <w:jc w:val="both"/>
        <w:rPr>
          <w:rFonts w:ascii="Calibri" w:eastAsia="Calibri" w:hAnsi="Calibri" w:cs="Calibri"/>
          <w:sz w:val="21"/>
          <w:szCs w:val="21"/>
        </w:rPr>
      </w:pPr>
      <w:r>
        <w:rPr>
          <w:rFonts w:ascii="FangSong" w:eastAsia="FangSong" w:hAnsi="FangSong" w:cs="FangSong"/>
          <w:b/>
          <w:bCs/>
          <w:sz w:val="32"/>
          <w:szCs w:val="32"/>
        </w:rPr>
        <w:t>Seventh,</w:t>
      </w:r>
      <w:r>
        <w:rPr>
          <w:rFonts w:ascii="FangSong" w:eastAsia="FangSong" w:hAnsi="FangSong" w:cs="FangSong"/>
          <w:sz w:val="32"/>
          <w:szCs w:val="32"/>
        </w:rPr>
        <w:t>Our company/me has established a system to receive, handle, and process user complaints and reports, specifying channels, procedures, methods, and response time for receiving such information, and encouraging users to report illegal or harmful content. We retain these reports for more than 6 months.</w:t>
      </w:r>
    </w:p>
    <w:p>
      <w:pPr>
        <w:widowControl w:val="0"/>
        <w:spacing w:before="0" w:after="0" w:line="560" w:lineRule="atLeast"/>
        <w:ind w:firstLine="645"/>
        <w:jc w:val="both"/>
        <w:rPr>
          <w:rFonts w:ascii="Calibri" w:eastAsia="Calibri" w:hAnsi="Calibri" w:cs="Calibri"/>
          <w:sz w:val="21"/>
          <w:szCs w:val="21"/>
        </w:rPr>
      </w:pPr>
      <w:r>
        <w:rPr>
          <w:rFonts w:ascii="FangSong" w:eastAsia="FangSong" w:hAnsi="FangSong" w:cs="FangSong"/>
          <w:b/>
          <w:bCs/>
          <w:sz w:val="32"/>
          <w:szCs w:val="32"/>
        </w:rPr>
        <w:t>Eight is</w:t>
      </w:r>
      <w:r>
        <w:rPr>
          <w:rFonts w:ascii="FangSong" w:eastAsia="FangSong" w:hAnsi="FangSong" w:cs="FangSong"/>
          <w:sz w:val="32"/>
          <w:szCs w:val="32"/>
        </w:rPr>
        <w:t>We have an established law-enforcement assistance mechanism with clear procedures, plans, timelines, responsible units and points of contact.</w:t>
      </w:r>
    </w:p>
    <w:p>
      <w:pPr>
        <w:widowControl w:val="0"/>
        <w:spacing w:before="0" w:after="0" w:line="560" w:lineRule="atLeast"/>
        <w:ind w:firstLine="645"/>
        <w:jc w:val="both"/>
        <w:rPr>
          <w:rFonts w:ascii="Calibri" w:eastAsia="Calibri" w:hAnsi="Calibri" w:cs="Calibri"/>
          <w:sz w:val="21"/>
          <w:szCs w:val="21"/>
        </w:rPr>
      </w:pPr>
      <w:r>
        <w:rPr>
          <w:rFonts w:ascii="FangSong" w:eastAsia="FangSong" w:hAnsi="FangSong" w:cs="FangSong"/>
          <w:sz w:val="32"/>
          <w:szCs w:val="32"/>
        </w:rPr>
        <w:t>This unit solemnly undertakes to abide by the relevant provisions in this commitment, and agrees that it will take voluntary and independent measures to withdraw from the market if it violates any of the commitments. This unit shall bear legal responsibility should it fail to implement or inadequately implement the above provisions and cause adverse consequences.</w:t>
      </w:r>
    </w:p>
    <w:p>
      <w:pPr>
        <w:widowControl/>
        <w:spacing w:before="0" w:after="0"/>
        <w:ind w:left="720" w:hanging="480"/>
        <w:jc w:val="left"/>
        <w:rPr>
          <w:rFonts w:ascii="Calibri" w:eastAsia="Calibri" w:hAnsi="Calibri" w:cs="Calibri"/>
          <w:sz w:val="32"/>
          <w:szCs w:val="32"/>
        </w:rPr>
      </w:pPr>
      <w:r>
        <w:rPr>
          <w:rFonts w:ascii="FangSong" w:eastAsia="FangSong" w:hAnsi="FangSong" w:cs="FangSong"/>
          <w:sz w:val="32"/>
          <w:szCs w:val="32"/>
        </w:rPr>
        <w:t>This Agreement shall come into force on the date of its execution.</w:t>
      </w:r>
    </w:p>
    <w:p>
      <w:pPr>
        <w:widowControl/>
        <w:spacing w:before="0" w:after="0"/>
        <w:ind w:left="105" w:firstLine="320"/>
        <w:jc w:val="left"/>
        <w:rPr>
          <w:rFonts w:ascii="Calibri" w:eastAsia="Calibri" w:hAnsi="Calibri" w:cs="Calibri"/>
          <w:sz w:val="32"/>
          <w:szCs w:val="32"/>
        </w:rPr>
      </w:pPr>
      <w:r>
        <w:rPr>
          <w:rFonts w:ascii="FangSong" w:eastAsia="FangSong" w:hAnsi="FangSong" w:cs="FangSong"/>
          <w:sz w:val="32"/>
          <w:szCs w:val="32"/>
        </w:rPr>
        <w:t>Responsible unit/person:</w:t>
      </w:r>
    </w:p>
    <w:p>
      <w:pPr>
        <w:widowControl/>
        <w:spacing w:before="0" w:after="0"/>
        <w:ind w:firstLine="480"/>
        <w:jc w:val="left"/>
        <w:rPr>
          <w:rFonts w:ascii="Calibri" w:eastAsia="Calibri" w:hAnsi="Calibri" w:cs="Calibri"/>
          <w:sz w:val="32"/>
          <w:szCs w:val="32"/>
        </w:rPr>
      </w:pPr>
      <w:r>
        <w:rPr>
          <w:rFonts w:ascii="FangSong" w:eastAsia="FangSong" w:hAnsi="FangSong" w:cs="FangSong"/>
          <w:sz w:val="32"/>
          <w:szCs w:val="32"/>
        </w:rPr>
        <w:t>Principal(s)/Individual:</w:t>
      </w:r>
    </w:p>
    <w:p>
      <w:pPr>
        <w:widowControl/>
        <w:spacing w:before="0" w:after="0"/>
        <w:ind w:left="720" w:hanging="480"/>
        <w:jc w:val="left"/>
        <w:rPr>
          <w:rFonts w:ascii="Calibri" w:eastAsia="Calibri" w:hAnsi="Calibri" w:cs="Calibri"/>
          <w:sz w:val="32"/>
          <w:szCs w:val="32"/>
        </w:rPr>
      </w:pPr>
      <w:r>
        <w:rPr>
          <w:rFonts w:ascii="FangSong" w:eastAsia="FangSong" w:hAnsi="FangSong" w:cs="FangSong"/>
          <w:sz w:val="32"/>
          <w:szCs w:val="32"/>
        </w:rPr>
        <w:t>year</w:t>
      </w:r>
      <w:r>
        <w:rPr>
          <w:rFonts w:ascii="FangSong" w:eastAsia="FangSong" w:hAnsi="FangSong" w:cs="FangSong"/>
          <w:sz w:val="32"/>
          <w:szCs w:val="32"/>
        </w:rPr>
        <w:t xml:space="preserve"> </w:t>
      </w:r>
      <w:r>
        <w:rPr>
          <w:rFonts w:ascii="FangSong" w:eastAsia="FangSong" w:hAnsi="FangSong" w:cs="FangSong"/>
          <w:sz w:val="32"/>
          <w:szCs w:val="32"/>
        </w:rPr>
        <w:t>moon</w:t>
      </w:r>
      <w:r>
        <w:rPr>
          <w:rFonts w:ascii="FangSong" w:eastAsia="FangSong" w:hAnsi="FangSong" w:cs="FangSong"/>
          <w:sz w:val="32"/>
          <w:szCs w:val="32"/>
        </w:rPr>
        <w:t xml:space="preserve"> </w:t>
      </w:r>
      <w:r>
        <w:rPr>
          <w:rFonts w:ascii="FangSong" w:eastAsia="FangSong" w:hAnsi="FangSong" w:cs="FangSong"/>
          <w:sz w:val="32"/>
          <w:szCs w:val="32"/>
        </w:rPr>
        <w:t>day</w:t>
      </w:r>
    </w:p>
    <w:p w:rsidR="00A77B3E"/>
    <w:sectPr>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